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736A5" w:rsidRPr="00A736A5" w:rsidRDefault="00982CAD" w:rsidP="00A736A5">
      <w:pPr>
        <w:pStyle w:val="Title"/>
        <w:spacing w:before="0" w:after="0" w:line="264" w:lineRule="auto"/>
        <w:jc w:val="right"/>
        <w:rPr>
          <w:rFonts w:cstheme="majorHAnsi"/>
          <w:b/>
          <w:color w:val="auto"/>
          <w:sz w:val="10"/>
          <w:szCs w:val="10"/>
        </w:rPr>
      </w:pPr>
      <w:bookmarkStart w:id="0" w:name="_GoBack"/>
      <w:bookmarkEnd w:id="0"/>
      <w:r>
        <w:rPr>
          <w:rFonts w:cstheme="majorHAnsi"/>
          <w:b/>
          <w:color w:val="auto"/>
          <w:sz w:val="28"/>
          <w:szCs w:val="28"/>
        </w:rPr>
        <w:t>3</w:t>
      </w:r>
      <w:r w:rsidR="00A736A5" w:rsidRPr="00A736A5">
        <w:rPr>
          <w:rFonts w:cstheme="majorHAnsi"/>
          <w:b/>
          <w:color w:val="auto"/>
          <w:sz w:val="28"/>
          <w:szCs w:val="28"/>
        </w:rPr>
        <w:t xml:space="preserve"> July 2018</w:t>
      </w:r>
      <w:r w:rsidR="00A736A5">
        <w:rPr>
          <w:rFonts w:cstheme="majorHAnsi"/>
          <w:b/>
          <w:color w:val="auto"/>
          <w:sz w:val="28"/>
          <w:szCs w:val="28"/>
        </w:rPr>
        <w:br/>
      </w:r>
    </w:p>
    <w:p w:rsidR="00A54990" w:rsidRPr="00FF1CEF" w:rsidRDefault="00085196" w:rsidP="00A736A5">
      <w:pPr>
        <w:pStyle w:val="Title"/>
        <w:spacing w:before="0" w:after="0" w:line="264" w:lineRule="auto"/>
        <w:jc w:val="both"/>
        <w:rPr>
          <w:rFonts w:cstheme="majorHAnsi"/>
          <w:b/>
          <w:color w:val="0099CC"/>
          <w:sz w:val="40"/>
          <w:szCs w:val="40"/>
        </w:rPr>
      </w:pPr>
      <w:r w:rsidRPr="00FF1CEF">
        <w:rPr>
          <w:rFonts w:cstheme="majorHAnsi"/>
          <w:b/>
          <w:color w:val="0099CC"/>
          <w:sz w:val="40"/>
          <w:szCs w:val="40"/>
        </w:rPr>
        <w:t>Information Paper</w:t>
      </w:r>
      <w:r w:rsidR="00A74A3C" w:rsidRPr="00FF1CEF">
        <w:rPr>
          <w:rFonts w:cstheme="majorHAnsi"/>
          <w:b/>
          <w:color w:val="0099CC"/>
          <w:sz w:val="40"/>
          <w:szCs w:val="40"/>
        </w:rPr>
        <w:t>: C</w:t>
      </w:r>
      <w:r w:rsidR="003D62AC" w:rsidRPr="00FF1CEF">
        <w:rPr>
          <w:rFonts w:cstheme="majorHAnsi"/>
          <w:b/>
          <w:color w:val="0099CC"/>
          <w:sz w:val="40"/>
          <w:szCs w:val="40"/>
        </w:rPr>
        <w:t xml:space="preserve">apacity trading reform package </w:t>
      </w:r>
      <w:r w:rsidR="00EE36AE" w:rsidRPr="00FF1CEF">
        <w:rPr>
          <w:rFonts w:cstheme="majorHAnsi"/>
          <w:b/>
          <w:color w:val="0099CC"/>
          <w:sz w:val="40"/>
          <w:szCs w:val="40"/>
        </w:rPr>
        <w:t xml:space="preserve">legal and regulatory </w:t>
      </w:r>
      <w:r w:rsidR="00014648" w:rsidRPr="00FF1CEF">
        <w:rPr>
          <w:rFonts w:cstheme="majorHAnsi"/>
          <w:b/>
          <w:color w:val="0099CC"/>
          <w:sz w:val="40"/>
          <w:szCs w:val="40"/>
        </w:rPr>
        <w:t>instruments</w:t>
      </w:r>
    </w:p>
    <w:p w:rsidR="00482072" w:rsidRDefault="00482072" w:rsidP="00482072">
      <w:pPr>
        <w:rPr>
          <w:rFonts w:asciiTheme="majorHAnsi" w:hAnsiTheme="majorHAnsi" w:cstheme="majorHAnsi"/>
        </w:rPr>
      </w:pPr>
    </w:p>
    <w:p w:rsidR="00BD79DE" w:rsidRPr="00FF1CEF" w:rsidRDefault="00F43119" w:rsidP="00482072">
      <w:pPr>
        <w:rPr>
          <w:rFonts w:asciiTheme="majorHAnsi" w:hAnsiTheme="majorHAnsi" w:cstheme="majorHAnsi"/>
          <w:b/>
          <w:sz w:val="26"/>
          <w:szCs w:val="26"/>
        </w:rPr>
      </w:pPr>
      <w:r w:rsidRPr="00FF1CEF">
        <w:rPr>
          <w:rFonts w:asciiTheme="majorHAnsi" w:hAnsiTheme="majorHAnsi" w:cstheme="majorHAnsi"/>
          <w:b/>
          <w:sz w:val="26"/>
          <w:szCs w:val="26"/>
        </w:rPr>
        <w:t xml:space="preserve">The </w:t>
      </w:r>
      <w:r w:rsidR="00F52474" w:rsidRPr="00FF1CEF">
        <w:rPr>
          <w:rFonts w:asciiTheme="majorHAnsi" w:hAnsiTheme="majorHAnsi" w:cstheme="majorHAnsi"/>
          <w:b/>
          <w:sz w:val="26"/>
          <w:szCs w:val="26"/>
        </w:rPr>
        <w:t xml:space="preserve">COAG </w:t>
      </w:r>
      <w:r w:rsidR="0054054C" w:rsidRPr="00FF1CEF">
        <w:rPr>
          <w:rFonts w:asciiTheme="majorHAnsi" w:hAnsiTheme="majorHAnsi" w:cstheme="majorHAnsi"/>
          <w:b/>
          <w:sz w:val="26"/>
          <w:szCs w:val="26"/>
        </w:rPr>
        <w:t xml:space="preserve">Energy Council has approved the </w:t>
      </w:r>
      <w:r w:rsidR="00440AEA" w:rsidRPr="00FF1CEF">
        <w:rPr>
          <w:rFonts w:asciiTheme="majorHAnsi" w:hAnsiTheme="majorHAnsi" w:cstheme="majorHAnsi"/>
          <w:b/>
          <w:sz w:val="26"/>
          <w:szCs w:val="26"/>
        </w:rPr>
        <w:t xml:space="preserve">legal and regulatory </w:t>
      </w:r>
      <w:r w:rsidR="00014648" w:rsidRPr="00FF1CEF">
        <w:rPr>
          <w:rFonts w:asciiTheme="majorHAnsi" w:hAnsiTheme="majorHAnsi" w:cstheme="majorHAnsi"/>
          <w:b/>
          <w:sz w:val="26"/>
          <w:szCs w:val="26"/>
        </w:rPr>
        <w:t xml:space="preserve">instruments </w:t>
      </w:r>
      <w:r w:rsidR="00C52376" w:rsidRPr="00FF1CEF">
        <w:rPr>
          <w:rFonts w:asciiTheme="majorHAnsi" w:hAnsiTheme="majorHAnsi" w:cstheme="majorHAnsi"/>
          <w:b/>
          <w:sz w:val="26"/>
          <w:szCs w:val="26"/>
        </w:rPr>
        <w:t>that will implement the capacity trading reform package</w:t>
      </w:r>
      <w:r w:rsidR="009126A1" w:rsidRPr="00FF1CEF">
        <w:rPr>
          <w:rFonts w:asciiTheme="majorHAnsi" w:hAnsiTheme="majorHAnsi" w:cstheme="majorHAnsi"/>
          <w:b/>
          <w:sz w:val="26"/>
          <w:szCs w:val="26"/>
        </w:rPr>
        <w:t>.</w:t>
      </w:r>
    </w:p>
    <w:p w:rsidR="001C7FC3" w:rsidRPr="00F402F5" w:rsidRDefault="001C7FC3" w:rsidP="001C7FC3">
      <w:pPr>
        <w:pStyle w:val="BodyText"/>
        <w:rPr>
          <w:b/>
          <w:sz w:val="24"/>
          <w:szCs w:val="24"/>
        </w:rPr>
      </w:pPr>
      <w:r w:rsidRPr="00F402F5">
        <w:rPr>
          <w:rFonts w:cstheme="majorHAnsi"/>
          <w:b/>
          <w:color w:val="0099CC"/>
          <w:sz w:val="24"/>
          <w:szCs w:val="24"/>
        </w:rPr>
        <w:t>Background</w:t>
      </w:r>
    </w:p>
    <w:p w:rsidR="00A95648" w:rsidRDefault="00892DE9" w:rsidP="00A736A5">
      <w:pPr>
        <w:tabs>
          <w:tab w:val="left" w:pos="2268"/>
          <w:tab w:val="left" w:pos="4536"/>
          <w:tab w:val="left" w:pos="6804"/>
          <w:tab w:val="right" w:pos="9638"/>
        </w:tabs>
        <w:spacing w:after="120" w:line="252" w:lineRule="auto"/>
        <w:rPr>
          <w:rFonts w:asciiTheme="majorHAnsi" w:hAnsiTheme="majorHAnsi" w:cstheme="majorHAnsi"/>
        </w:rPr>
      </w:pPr>
      <w:r>
        <w:rPr>
          <w:rFonts w:ascii="Arial" w:hAnsi="Arial" w:cs="Arial"/>
        </w:rPr>
        <w:t>T</w:t>
      </w:r>
      <w:r w:rsidRPr="00762921">
        <w:rPr>
          <w:rFonts w:ascii="Arial" w:hAnsi="Arial" w:cs="Arial"/>
        </w:rPr>
        <w:t>he</w:t>
      </w:r>
      <w:r>
        <w:rPr>
          <w:rFonts w:ascii="Arial" w:hAnsi="Arial" w:cs="Arial"/>
        </w:rPr>
        <w:t xml:space="preserve"> capacity trading reform package was originally recommended by the </w:t>
      </w:r>
      <w:r w:rsidRPr="00762921">
        <w:rPr>
          <w:rFonts w:ascii="Arial" w:hAnsi="Arial" w:cs="Arial"/>
        </w:rPr>
        <w:t xml:space="preserve">Australian Energy Market Commission (AEMC) </w:t>
      </w:r>
      <w:r>
        <w:rPr>
          <w:rFonts w:ascii="Arial" w:hAnsi="Arial" w:cs="Arial"/>
        </w:rPr>
        <w:t xml:space="preserve">in </w:t>
      </w:r>
      <w:r w:rsidRPr="00762921">
        <w:rPr>
          <w:rFonts w:ascii="Arial" w:hAnsi="Arial" w:cs="Arial"/>
        </w:rPr>
        <w:t xml:space="preserve">its </w:t>
      </w:r>
      <w:r w:rsidRPr="00762921">
        <w:rPr>
          <w:rFonts w:ascii="Arial" w:hAnsi="Arial" w:cs="Arial"/>
          <w:i/>
          <w:iCs/>
        </w:rPr>
        <w:t>Eastern Australian Wholesale Gas Market and Pipeline</w:t>
      </w:r>
      <w:r w:rsidRPr="004D2852">
        <w:rPr>
          <w:rFonts w:asciiTheme="majorHAnsi" w:hAnsiTheme="majorHAnsi" w:cstheme="majorHAnsi"/>
          <w:i/>
          <w:iCs/>
        </w:rPr>
        <w:t xml:space="preserve">s Framework Review </w:t>
      </w:r>
      <w:r w:rsidRPr="004D2852">
        <w:rPr>
          <w:rFonts w:asciiTheme="majorHAnsi" w:hAnsiTheme="majorHAnsi" w:cstheme="majorHAnsi"/>
        </w:rPr>
        <w:t xml:space="preserve">and endorsed by the COAG Energy Council (Energy Council) at its August 2016 meeting. </w:t>
      </w:r>
      <w:r w:rsidR="00A95648">
        <w:rPr>
          <w:rFonts w:asciiTheme="majorHAnsi" w:hAnsiTheme="majorHAnsi" w:cstheme="majorHAnsi"/>
        </w:rPr>
        <w:t xml:space="preserve">In the latter half of 2016 the </w:t>
      </w:r>
      <w:r w:rsidR="00091378">
        <w:rPr>
          <w:rFonts w:asciiTheme="majorHAnsi" w:hAnsiTheme="majorHAnsi" w:cstheme="majorHAnsi"/>
        </w:rPr>
        <w:t>Gas Market Reform Group (GMRG) was accorded responsibility for leading the design and development of</w:t>
      </w:r>
      <w:r w:rsidR="00A95648">
        <w:rPr>
          <w:rFonts w:asciiTheme="majorHAnsi" w:hAnsiTheme="majorHAnsi" w:cstheme="majorHAnsi"/>
        </w:rPr>
        <w:t xml:space="preserve"> this reform package.</w:t>
      </w:r>
    </w:p>
    <w:p w:rsidR="003D784C" w:rsidRPr="00511F80" w:rsidRDefault="003D784C" w:rsidP="00027450">
      <w:pPr>
        <w:pStyle w:val="BodyText"/>
        <w:spacing w:line="252" w:lineRule="auto"/>
        <w:rPr>
          <w:rFonts w:cs="Arial"/>
        </w:rPr>
      </w:pPr>
      <w:r>
        <w:rPr>
          <w:rFonts w:cs="Arial"/>
          <w:iCs/>
        </w:rPr>
        <w:t xml:space="preserve">The reforms, which </w:t>
      </w:r>
      <w:r w:rsidR="00CA12F4">
        <w:rPr>
          <w:rFonts w:cs="Arial"/>
          <w:iCs/>
        </w:rPr>
        <w:t>apply</w:t>
      </w:r>
      <w:r>
        <w:rPr>
          <w:rFonts w:cs="Arial"/>
          <w:iCs/>
        </w:rPr>
        <w:t xml:space="preserve"> to transmission pipeline</w:t>
      </w:r>
      <w:r w:rsidR="00CA12F4">
        <w:rPr>
          <w:rFonts w:cs="Arial"/>
          <w:iCs/>
        </w:rPr>
        <w:t>s</w:t>
      </w:r>
      <w:r>
        <w:rPr>
          <w:rFonts w:cs="Arial"/>
          <w:iCs/>
        </w:rPr>
        <w:t xml:space="preserve"> and compression </w:t>
      </w:r>
      <w:r w:rsidR="00CA12F4">
        <w:rPr>
          <w:rFonts w:cs="Arial"/>
          <w:iCs/>
        </w:rPr>
        <w:t xml:space="preserve">facilities </w:t>
      </w:r>
      <w:r w:rsidR="00C44559">
        <w:rPr>
          <w:rFonts w:cs="Arial"/>
          <w:iCs/>
        </w:rPr>
        <w:t>operating under the contract carriage model</w:t>
      </w:r>
      <w:r w:rsidR="00C44559">
        <w:rPr>
          <w:rStyle w:val="FootnoteReference"/>
          <w:rFonts w:cs="Arial"/>
          <w:iCs/>
        </w:rPr>
        <w:footnoteReference w:id="2"/>
      </w:r>
      <w:r w:rsidR="00C44559">
        <w:rPr>
          <w:rFonts w:cs="Arial"/>
          <w:iCs/>
        </w:rPr>
        <w:t xml:space="preserve"> </w:t>
      </w:r>
      <w:r>
        <w:rPr>
          <w:rFonts w:cs="Arial"/>
          <w:iCs/>
        </w:rPr>
        <w:t xml:space="preserve">(jointly referred to as ‘transportation </w:t>
      </w:r>
      <w:r w:rsidR="00CA12F4">
        <w:rPr>
          <w:rFonts w:cs="Arial"/>
          <w:iCs/>
        </w:rPr>
        <w:t>facilities</w:t>
      </w:r>
      <w:r>
        <w:rPr>
          <w:rFonts w:cs="Arial"/>
          <w:iCs/>
        </w:rPr>
        <w:t xml:space="preserve">’), include </w:t>
      </w:r>
      <w:r w:rsidRPr="00511F80">
        <w:rPr>
          <w:rFonts w:cs="Arial"/>
        </w:rPr>
        <w:t xml:space="preserve">the </w:t>
      </w:r>
      <w:r>
        <w:rPr>
          <w:rFonts w:cs="Arial"/>
        </w:rPr>
        <w:t xml:space="preserve">implementation </w:t>
      </w:r>
      <w:r w:rsidRPr="00511F80">
        <w:rPr>
          <w:rFonts w:cs="Arial"/>
        </w:rPr>
        <w:t>of:</w:t>
      </w:r>
    </w:p>
    <w:p w:rsidR="003D784C" w:rsidRPr="001C06D5" w:rsidRDefault="003D784C" w:rsidP="00FF1CEF">
      <w:pPr>
        <w:pStyle w:val="ListNumber"/>
        <w:numPr>
          <w:ilvl w:val="0"/>
          <w:numId w:val="39"/>
        </w:numPr>
        <w:spacing w:before="160" w:after="160" w:line="252" w:lineRule="auto"/>
        <w:ind w:left="357" w:hanging="357"/>
      </w:pPr>
      <w:r w:rsidRPr="00293665">
        <w:t>A capacity trading platform that will form part of the gas trading exchange (</w:t>
      </w:r>
      <w:r>
        <w:t xml:space="preserve">Gas Supply Hub (GSH)) </w:t>
      </w:r>
      <w:r w:rsidRPr="001C06D5">
        <w:t>and provide for exchange-based trading of commonly traded transportation products and a listing service for more bespoke products.</w:t>
      </w:r>
    </w:p>
    <w:p w:rsidR="003D784C" w:rsidRPr="001C06D5" w:rsidRDefault="003D784C" w:rsidP="00FF1CEF">
      <w:pPr>
        <w:pStyle w:val="ListNumber"/>
        <w:numPr>
          <w:ilvl w:val="0"/>
          <w:numId w:val="39"/>
        </w:numPr>
        <w:spacing w:before="160" w:after="160" w:line="252" w:lineRule="auto"/>
        <w:ind w:left="357" w:hanging="357"/>
      </w:pPr>
      <w:bookmarkStart w:id="1" w:name="_Hlk499658950"/>
      <w:r w:rsidRPr="001C06D5">
        <w:t>A day-ahead auction of contracted but un-nominated capacity</w:t>
      </w:r>
      <w:r>
        <w:t xml:space="preserve"> (CBU)</w:t>
      </w:r>
      <w:r w:rsidRPr="001C06D5">
        <w:t xml:space="preserve">, which will be conducted each day on non-exempt transportation facilities shortly after nomination cut-off </w:t>
      </w:r>
      <w:r w:rsidR="00427784">
        <w:t xml:space="preserve">time </w:t>
      </w:r>
      <w:r w:rsidRPr="001C06D5">
        <w:t>and subject to a reserve price of zero</w:t>
      </w:r>
      <w:bookmarkEnd w:id="1"/>
      <w:r w:rsidRPr="001C06D5">
        <w:t>.</w:t>
      </w:r>
    </w:p>
    <w:p w:rsidR="003D784C" w:rsidRPr="001C06D5" w:rsidRDefault="003D784C" w:rsidP="00FF1CEF">
      <w:pPr>
        <w:pStyle w:val="ListNumber"/>
        <w:numPr>
          <w:ilvl w:val="0"/>
          <w:numId w:val="39"/>
        </w:numPr>
        <w:spacing w:before="160" w:after="160" w:line="252" w:lineRule="auto"/>
        <w:ind w:left="357" w:hanging="357"/>
      </w:pPr>
      <w:r>
        <w:t>A range of measures to facilitate capacity trading and the auction, including the development of s</w:t>
      </w:r>
      <w:r w:rsidRPr="001C06D5">
        <w:t xml:space="preserve">tandard operational </w:t>
      </w:r>
      <w:r>
        <w:t xml:space="preserve">transportation service </w:t>
      </w:r>
      <w:r w:rsidRPr="001C06D5">
        <w:t xml:space="preserve">agreements </w:t>
      </w:r>
      <w:r>
        <w:t>(standard OTSA</w:t>
      </w:r>
      <w:r w:rsidR="00432617">
        <w:t>s</w:t>
      </w:r>
      <w:r>
        <w:t xml:space="preserve">) </w:t>
      </w:r>
      <w:r w:rsidRPr="001C06D5">
        <w:t xml:space="preserve">that will establish the standard contract terms between service providers and shippers for capacity procured through the </w:t>
      </w:r>
      <w:r w:rsidR="00014648">
        <w:t xml:space="preserve">capacity </w:t>
      </w:r>
      <w:r w:rsidRPr="001C06D5">
        <w:t>trading platform</w:t>
      </w:r>
      <w:r>
        <w:t xml:space="preserve"> </w:t>
      </w:r>
      <w:r w:rsidR="00394641">
        <w:t xml:space="preserve">and </w:t>
      </w:r>
      <w:r w:rsidRPr="001C06D5">
        <w:t xml:space="preserve">day-ahead auction. </w:t>
      </w:r>
    </w:p>
    <w:p w:rsidR="003D784C" w:rsidRPr="001C06D5" w:rsidRDefault="003D784C" w:rsidP="00FF1CEF">
      <w:pPr>
        <w:pStyle w:val="ListNumber"/>
        <w:numPr>
          <w:ilvl w:val="0"/>
          <w:numId w:val="39"/>
        </w:numPr>
        <w:spacing w:before="160" w:after="160" w:line="252" w:lineRule="auto"/>
        <w:ind w:left="357" w:hanging="357"/>
      </w:pPr>
      <w:r w:rsidRPr="001C06D5">
        <w:t>A reporting framework for secondary capacity trades and a number of other transparency measures that are designed to facilitate capacity trad</w:t>
      </w:r>
      <w:r w:rsidR="00637B2A">
        <w:t>ing</w:t>
      </w:r>
      <w:r w:rsidRPr="001C06D5">
        <w:t xml:space="preserve"> and the auction.</w:t>
      </w:r>
    </w:p>
    <w:p w:rsidR="00512CB3" w:rsidRDefault="003D784C" w:rsidP="00FF1CEF">
      <w:pPr>
        <w:pStyle w:val="ListNumber"/>
        <w:numPr>
          <w:ilvl w:val="0"/>
          <w:numId w:val="39"/>
        </w:numPr>
        <w:spacing w:before="160" w:after="160" w:line="252" w:lineRule="auto"/>
        <w:ind w:left="357" w:hanging="357"/>
      </w:pPr>
      <w:bookmarkStart w:id="2" w:name="_Hlk516419560"/>
      <w:r w:rsidRPr="001C06D5">
        <w:t xml:space="preserve">A </w:t>
      </w:r>
      <w:r w:rsidR="00A97ABA">
        <w:t>standard market timetable that provides for</w:t>
      </w:r>
      <w:r w:rsidR="00512CB3">
        <w:t>:</w:t>
      </w:r>
      <w:r w:rsidRPr="001C06D5">
        <w:t xml:space="preserve"> </w:t>
      </w:r>
    </w:p>
    <w:p w:rsidR="00D64759" w:rsidRPr="00FA400C" w:rsidRDefault="00512CB3" w:rsidP="00A736A5">
      <w:pPr>
        <w:pStyle w:val="ListBullet2"/>
        <w:spacing w:before="40" w:after="60" w:line="252" w:lineRule="auto"/>
      </w:pPr>
      <w:r>
        <w:t xml:space="preserve">a common </w:t>
      </w:r>
      <w:r w:rsidR="003D784C" w:rsidRPr="001C06D5">
        <w:t xml:space="preserve">gas day start time of 6 am (AEST) </w:t>
      </w:r>
      <w:r w:rsidR="00A97ABA" w:rsidRPr="00FA400C">
        <w:t xml:space="preserve">across the east coast (and </w:t>
      </w:r>
      <w:r w:rsidR="00A97ABA">
        <w:t>Northern Territory</w:t>
      </w:r>
      <w:r w:rsidR="00A97ABA" w:rsidRPr="00FA400C">
        <w:t xml:space="preserve"> once connected</w:t>
      </w:r>
      <w:r w:rsidR="00A97ABA">
        <w:t xml:space="preserve"> to the east coast</w:t>
      </w:r>
      <w:r w:rsidR="00A97ABA" w:rsidRPr="00FA400C">
        <w:t>)</w:t>
      </w:r>
      <w:r w:rsidR="004130F7">
        <w:t xml:space="preserve"> </w:t>
      </w:r>
      <w:r w:rsidR="00D64759">
        <w:t xml:space="preserve">that will </w:t>
      </w:r>
      <w:r w:rsidR="00D64759" w:rsidRPr="00FA400C">
        <w:t>apply to all production, pipeline, compress</w:t>
      </w:r>
      <w:r w:rsidR="00D64759">
        <w:t>ion</w:t>
      </w:r>
      <w:r w:rsidR="00D64759" w:rsidRPr="00FA400C">
        <w:t xml:space="preserve"> and storage </w:t>
      </w:r>
      <w:r w:rsidR="00D64759">
        <w:t>facilities and in the facilitated markets</w:t>
      </w:r>
      <w:r w:rsidR="00D64759" w:rsidRPr="00FA400C">
        <w:t xml:space="preserve">; </w:t>
      </w:r>
    </w:p>
    <w:p w:rsidR="00005355" w:rsidRDefault="00D64759" w:rsidP="00A736A5">
      <w:pPr>
        <w:pStyle w:val="ListBullet2"/>
        <w:spacing w:before="40" w:after="60" w:line="252" w:lineRule="auto"/>
      </w:pPr>
      <w:r w:rsidRPr="00FA400C">
        <w:t>a common nomination cut-off time of 3 pm (AEST)</w:t>
      </w:r>
      <w:r w:rsidR="00005355">
        <w:t xml:space="preserve"> </w:t>
      </w:r>
      <w:r w:rsidR="00005355" w:rsidRPr="00C37D44">
        <w:rPr>
          <w:rFonts w:asciiTheme="majorHAnsi" w:hAnsiTheme="majorHAnsi" w:cstheme="majorHAnsi"/>
        </w:rPr>
        <w:t>for transportation facilities that will be subject to the capacity trading reforms</w:t>
      </w:r>
      <w:r w:rsidR="00005355">
        <w:t>;</w:t>
      </w:r>
      <w:r w:rsidRPr="00FA400C">
        <w:t xml:space="preserve"> </w:t>
      </w:r>
      <w:r w:rsidR="005D3E6F">
        <w:t xml:space="preserve">and </w:t>
      </w:r>
    </w:p>
    <w:p w:rsidR="00D64759" w:rsidRDefault="00005355" w:rsidP="00A736A5">
      <w:pPr>
        <w:pStyle w:val="ListBullet2"/>
        <w:spacing w:before="40" w:after="60" w:line="252" w:lineRule="auto"/>
      </w:pPr>
      <w:r>
        <w:t xml:space="preserve">a </w:t>
      </w:r>
      <w:r w:rsidR="00D64759">
        <w:t xml:space="preserve">common auction service nomination cut-off time of 6:45 pm (AEST) </w:t>
      </w:r>
      <w:r w:rsidR="00D64759" w:rsidRPr="00FA400C">
        <w:t xml:space="preserve">for </w:t>
      </w:r>
      <w:r w:rsidR="00D64759">
        <w:t xml:space="preserve">transportation </w:t>
      </w:r>
      <w:r w:rsidR="00D64759" w:rsidRPr="00FA400C">
        <w:t xml:space="preserve">facilities that will be subject to the </w:t>
      </w:r>
      <w:r>
        <w:t>day</w:t>
      </w:r>
      <w:r w:rsidR="004964D5">
        <w:t>-</w:t>
      </w:r>
      <w:r>
        <w:t>ahead auction</w:t>
      </w:r>
      <w:r w:rsidR="00D64759">
        <w:t>.</w:t>
      </w:r>
    </w:p>
    <w:bookmarkEnd w:id="2"/>
    <w:p w:rsidR="00091378" w:rsidRDefault="00091378" w:rsidP="00A736A5">
      <w:pPr>
        <w:pStyle w:val="BodyText"/>
        <w:spacing w:before="60" w:after="0" w:line="252" w:lineRule="auto"/>
      </w:pPr>
      <w:r>
        <w:t>Figure 1 provides further detail on the key elements of these reforms.</w:t>
      </w:r>
    </w:p>
    <w:p w:rsidR="00E776BA" w:rsidRDefault="00E776BA" w:rsidP="00A736A5">
      <w:pPr>
        <w:pStyle w:val="BodyText"/>
        <w:spacing w:before="60" w:after="0" w:line="252" w:lineRule="auto"/>
        <w:sectPr w:rsidR="00E776BA" w:rsidSect="00EE36AE">
          <w:headerReference w:type="default" r:id="rId11"/>
          <w:footerReference w:type="default" r:id="rId12"/>
          <w:headerReference w:type="first" r:id="rId13"/>
          <w:footerReference w:type="first" r:id="rId14"/>
          <w:pgSz w:w="11906" w:h="16838" w:code="9"/>
          <w:pgMar w:top="2126" w:right="1418" w:bottom="992" w:left="1701" w:header="709" w:footer="601" w:gutter="0"/>
          <w:cols w:space="708"/>
          <w:titlePg/>
          <w:docGrid w:linePitch="360"/>
        </w:sectPr>
      </w:pPr>
    </w:p>
    <w:p w:rsidR="00C52376" w:rsidRPr="007534D5" w:rsidRDefault="00C52376" w:rsidP="007534D5">
      <w:pPr>
        <w:pStyle w:val="BodyText"/>
        <w:spacing w:before="0" w:after="0"/>
        <w:rPr>
          <w:b/>
        </w:rPr>
      </w:pPr>
      <w:r w:rsidRPr="007534D5">
        <w:rPr>
          <w:b/>
        </w:rPr>
        <w:lastRenderedPageBreak/>
        <w:t>Figure 1: Key elements of the reform package</w:t>
      </w:r>
    </w:p>
    <w:p w:rsidR="00C52376" w:rsidRDefault="00C52376" w:rsidP="007534D5">
      <w:pPr>
        <w:pStyle w:val="BodyText"/>
        <w:spacing w:before="0" w:after="0"/>
      </w:pPr>
      <w:r>
        <w:rPr>
          <w:noProof/>
        </w:rPr>
        <w:drawing>
          <wp:inline distT="0" distB="0" distL="0" distR="0" wp14:anchorId="7FE4A701" wp14:editId="01E7C13C">
            <wp:extent cx="8486775" cy="5059504"/>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498112" cy="5066263"/>
                    </a:xfrm>
                    <a:prstGeom prst="rect">
                      <a:avLst/>
                    </a:prstGeom>
                    <a:noFill/>
                  </pic:spPr>
                </pic:pic>
              </a:graphicData>
            </a:graphic>
          </wp:inline>
        </w:drawing>
      </w:r>
    </w:p>
    <w:p w:rsidR="00C52376" w:rsidRDefault="00C52376" w:rsidP="00C52376">
      <w:pPr>
        <w:pStyle w:val="BodyText"/>
        <w:sectPr w:rsidR="00C52376" w:rsidSect="007534D5">
          <w:pgSz w:w="16839" w:h="11907" w:orient="landscape" w:code="9"/>
          <w:pgMar w:top="2126" w:right="1418" w:bottom="992" w:left="1701" w:header="709" w:footer="601" w:gutter="0"/>
          <w:cols w:space="708"/>
          <w:docGrid w:linePitch="360"/>
        </w:sectPr>
      </w:pPr>
    </w:p>
    <w:p w:rsidR="00937AB0" w:rsidRDefault="00937AB0" w:rsidP="00937AB0">
      <w:pPr>
        <w:pStyle w:val="BodyText"/>
      </w:pPr>
      <w:bookmarkStart w:id="3" w:name="_Hlk518307935"/>
      <w:r>
        <w:lastRenderedPageBreak/>
        <w:t>Work on the design of the reform package commenced in early 2017. Following a</w:t>
      </w:r>
      <w:r w:rsidR="006255B2">
        <w:t>n extensive</w:t>
      </w:r>
      <w:r>
        <w:t xml:space="preserve"> consultation process, which included a large number of meetings with industry-based project teams, the GMRG provided its final recommendations to the Energy Council on:</w:t>
      </w:r>
      <w:r>
        <w:rPr>
          <w:rStyle w:val="FootnoteReference"/>
        </w:rPr>
        <w:footnoteReference w:id="3"/>
      </w:r>
      <w:r>
        <w:rPr>
          <w:rStyle w:val="FootnoteReference"/>
        </w:rPr>
        <w:t>:</w:t>
      </w:r>
    </w:p>
    <w:p w:rsidR="00937AB0" w:rsidRDefault="00937AB0" w:rsidP="00937AB0">
      <w:pPr>
        <w:pStyle w:val="ListBullet"/>
      </w:pPr>
      <w:r>
        <w:t xml:space="preserve">the proposal to accord </w:t>
      </w:r>
      <w:r w:rsidR="006255B2">
        <w:t xml:space="preserve">the Australian Energy Market Operator (AEMO) </w:t>
      </w:r>
      <w:r>
        <w:t xml:space="preserve">responsibility for operating the capacity trading platform and auction, which was approved by the Energy Council at its 14 </w:t>
      </w:r>
      <w:r w:rsidRPr="00585D28">
        <w:t>July 2017</w:t>
      </w:r>
      <w:r>
        <w:t xml:space="preserve"> meeting;</w:t>
      </w:r>
    </w:p>
    <w:p w:rsidR="00937AB0" w:rsidRPr="000A46B1" w:rsidRDefault="00937AB0" w:rsidP="00937AB0">
      <w:pPr>
        <w:pStyle w:val="ListBullet"/>
      </w:pPr>
      <w:r w:rsidRPr="000A46B1">
        <w:t xml:space="preserve">the proposed design of the trading platform, </w:t>
      </w:r>
      <w:r>
        <w:t xml:space="preserve">the measures required to facilitate capacity trading and the auction, </w:t>
      </w:r>
      <w:r w:rsidRPr="000A46B1">
        <w:t>the reporting framework</w:t>
      </w:r>
      <w:r>
        <w:t xml:space="preserve"> </w:t>
      </w:r>
      <w:r w:rsidR="003837E3">
        <w:t xml:space="preserve">for secondary trades </w:t>
      </w:r>
      <w:r>
        <w:t>and the adoption of a standard market timetable</w:t>
      </w:r>
      <w:r w:rsidRPr="000A46B1">
        <w:t xml:space="preserve">, which were approved by the Energy Council </w:t>
      </w:r>
      <w:r>
        <w:t xml:space="preserve">at its </w:t>
      </w:r>
      <w:r w:rsidRPr="000A46B1">
        <w:t>24 November 2017</w:t>
      </w:r>
      <w:r>
        <w:t xml:space="preserve"> meeting</w:t>
      </w:r>
      <w:r w:rsidRPr="000A46B1">
        <w:t>; and</w:t>
      </w:r>
    </w:p>
    <w:p w:rsidR="00937AB0" w:rsidRPr="000A46B1" w:rsidRDefault="00937AB0" w:rsidP="00937AB0">
      <w:pPr>
        <w:pStyle w:val="ListBullet"/>
      </w:pPr>
      <w:r w:rsidRPr="000A46B1">
        <w:t xml:space="preserve">the proposed design of the </w:t>
      </w:r>
      <w:r w:rsidR="003837E3">
        <w:t xml:space="preserve">day-ahead </w:t>
      </w:r>
      <w:r w:rsidRPr="000A46B1">
        <w:t xml:space="preserve">auction, which </w:t>
      </w:r>
      <w:r>
        <w:t>was</w:t>
      </w:r>
      <w:r w:rsidRPr="000A46B1">
        <w:t xml:space="preserve"> approved by the Energy Council out-of-session on 3 January 2018.</w:t>
      </w:r>
    </w:p>
    <w:p w:rsidR="00937AB0" w:rsidRDefault="00937AB0" w:rsidP="00937AB0">
      <w:pPr>
        <w:pStyle w:val="BodyText"/>
      </w:pPr>
      <w:r>
        <w:t xml:space="preserve">The Energy Council also agreed at its 24 November 2017 meeting that: </w:t>
      </w:r>
    </w:p>
    <w:p w:rsidR="00937AB0" w:rsidRDefault="00937AB0" w:rsidP="00937AB0">
      <w:pPr>
        <w:pStyle w:val="ListBullet"/>
      </w:pPr>
      <w:r>
        <w:t xml:space="preserve">the capacity trading reform package should be implemented by </w:t>
      </w:r>
      <w:r w:rsidRPr="004D2852">
        <w:rPr>
          <w:b/>
        </w:rPr>
        <w:t>1 March 2019</w:t>
      </w:r>
      <w:r>
        <w:t xml:space="preserve">; and </w:t>
      </w:r>
    </w:p>
    <w:p w:rsidR="00937AB0" w:rsidRDefault="00937AB0" w:rsidP="00937AB0">
      <w:pPr>
        <w:pStyle w:val="ListBullet"/>
      </w:pPr>
      <w:r>
        <w:t xml:space="preserve">the harmonisation of gas day start times and nomination cut-off times should occur by </w:t>
      </w:r>
      <w:r w:rsidRPr="00937AB0">
        <w:rPr>
          <w:b/>
        </w:rPr>
        <w:t>1 October 2019</w:t>
      </w:r>
      <w:r>
        <w:t xml:space="preserve">. </w:t>
      </w:r>
    </w:p>
    <w:p w:rsidR="0058237E" w:rsidRPr="00F402F5" w:rsidRDefault="0058237E" w:rsidP="0058237E">
      <w:pPr>
        <w:pStyle w:val="BodyText"/>
        <w:rPr>
          <w:b/>
          <w:sz w:val="24"/>
          <w:szCs w:val="24"/>
        </w:rPr>
      </w:pPr>
      <w:bookmarkStart w:id="4" w:name="_Hlk518305978"/>
      <w:r>
        <w:rPr>
          <w:rFonts w:cstheme="majorHAnsi"/>
          <w:b/>
          <w:color w:val="0099CC"/>
          <w:sz w:val="24"/>
          <w:szCs w:val="24"/>
        </w:rPr>
        <w:t>Application of the reforms</w:t>
      </w:r>
    </w:p>
    <w:p w:rsidR="00E63865" w:rsidRDefault="003D2B02" w:rsidP="00E63865">
      <w:pPr>
        <w:pStyle w:val="BodyText"/>
      </w:pPr>
      <w:r w:rsidRPr="003D2B02">
        <w:t xml:space="preserve">The </w:t>
      </w:r>
      <w:r w:rsidR="00E63865">
        <w:t xml:space="preserve">Energy Council has agreed that the </w:t>
      </w:r>
      <w:r w:rsidRPr="003D2B02">
        <w:t>reform package will initially apply in the Australian Capital Territory, New South Wales, Queensland, South Australia, Tasmania</w:t>
      </w:r>
      <w:r w:rsidR="006255B2">
        <w:t xml:space="preserve"> and Victoria</w:t>
      </w:r>
      <w:r w:rsidR="00A74A3C">
        <w:t xml:space="preserve"> (outside the Declared Transmission System (DTS))</w:t>
      </w:r>
      <w:r w:rsidRPr="003D2B02">
        <w:t xml:space="preserve">. </w:t>
      </w:r>
      <w:r w:rsidR="00E63865">
        <w:t xml:space="preserve">The </w:t>
      </w:r>
      <w:r w:rsidRPr="00C06848">
        <w:t>Energy Council has</w:t>
      </w:r>
      <w:r w:rsidR="00E63865">
        <w:t xml:space="preserve"> also agreed</w:t>
      </w:r>
      <w:r w:rsidRPr="00C06848">
        <w:t xml:space="preserve">, at the request of the </w:t>
      </w:r>
      <w:r w:rsidR="00901A3A">
        <w:t xml:space="preserve">Northern Territory </w:t>
      </w:r>
      <w:r w:rsidRPr="00C06848">
        <w:t xml:space="preserve">Government, </w:t>
      </w:r>
      <w:r w:rsidR="00E63865" w:rsidRPr="00C06848">
        <w:t>to</w:t>
      </w:r>
      <w:r w:rsidR="00E63865">
        <w:t>:</w:t>
      </w:r>
      <w:r w:rsidR="00E63865" w:rsidRPr="00C06848">
        <w:t xml:space="preserve"> </w:t>
      </w:r>
    </w:p>
    <w:p w:rsidR="00E63865" w:rsidRDefault="00E63865" w:rsidP="00E63865">
      <w:pPr>
        <w:pStyle w:val="ListBullet"/>
      </w:pPr>
      <w:r w:rsidRPr="00C06848">
        <w:t xml:space="preserve">implement </w:t>
      </w:r>
      <w:r w:rsidRPr="00FF1CEF">
        <w:t xml:space="preserve">a derogation </w:t>
      </w:r>
      <w:r w:rsidRPr="00C06848">
        <w:t xml:space="preserve">that will </w:t>
      </w:r>
      <w:r w:rsidRPr="00FF1CEF">
        <w:t xml:space="preserve">delay the application of the day-ahead auction </w:t>
      </w:r>
      <w:r w:rsidRPr="00C06848">
        <w:t>to transportation facilities located wholly or partly in the NT</w:t>
      </w:r>
      <w:r>
        <w:t>; and</w:t>
      </w:r>
    </w:p>
    <w:p w:rsidR="00E63865" w:rsidRDefault="00E63865" w:rsidP="00E63865">
      <w:pPr>
        <w:pStyle w:val="ListBullet"/>
      </w:pPr>
      <w:r>
        <w:t xml:space="preserve">apply all other aspects of the capacity trading reform package in the NT once the Northern Gas Pipeline (NGP) is commissioned. </w:t>
      </w:r>
    </w:p>
    <w:p w:rsidR="003837E3" w:rsidRPr="00C06848" w:rsidRDefault="003837E3" w:rsidP="003837E3">
      <w:pPr>
        <w:pStyle w:val="ListBullet2"/>
        <w:numPr>
          <w:ilvl w:val="0"/>
          <w:numId w:val="0"/>
        </w:numPr>
      </w:pPr>
      <w:r>
        <w:t xml:space="preserve">Further detail on the derogation can be found in the Senior Committee of Officials’ Bulletin dated </w:t>
      </w:r>
      <w:r w:rsidR="00E63865">
        <w:t>3 July 2018.</w:t>
      </w:r>
      <w:r>
        <w:t xml:space="preserve"> </w:t>
      </w:r>
    </w:p>
    <w:bookmarkEnd w:id="3"/>
    <w:p w:rsidR="003D2B02" w:rsidRPr="003D2B02" w:rsidRDefault="00C30AD4" w:rsidP="00FF1CEF">
      <w:pPr>
        <w:pStyle w:val="BodyText"/>
        <w:rPr>
          <w:rFonts w:cs="Arial"/>
        </w:rPr>
      </w:pPr>
      <w:r>
        <w:t>In relation to Western Australia (WA), the GMRG understands that t</w:t>
      </w:r>
      <w:r w:rsidR="003D2B02" w:rsidRPr="003D2B02">
        <w:rPr>
          <w:rFonts w:cs="Arial"/>
        </w:rPr>
        <w:t xml:space="preserve">he Energy Council intends to direct the AEMC to conduct a separate review in 2020 (at the earliest) into whether the reforms should apply in </w:t>
      </w:r>
      <w:r>
        <w:rPr>
          <w:rFonts w:cs="Arial"/>
        </w:rPr>
        <w:t>that state</w:t>
      </w:r>
      <w:r w:rsidR="003D2B02" w:rsidRPr="003D2B02">
        <w:rPr>
          <w:rFonts w:cs="Arial"/>
        </w:rPr>
        <w:t xml:space="preserve">.  </w:t>
      </w:r>
    </w:p>
    <w:p w:rsidR="0058237E" w:rsidRPr="006A1974" w:rsidRDefault="001522F8" w:rsidP="0058237E">
      <w:pPr>
        <w:pStyle w:val="BodyText"/>
      </w:pPr>
      <w:bookmarkStart w:id="5" w:name="_Hlk518308044"/>
      <w:bookmarkEnd w:id="4"/>
      <w:r w:rsidRPr="000175C2">
        <w:t xml:space="preserve">The map </w:t>
      </w:r>
      <w:r w:rsidR="00C30AD4" w:rsidRPr="000175C2">
        <w:t xml:space="preserve">below </w:t>
      </w:r>
      <w:r w:rsidRPr="000175C2">
        <w:t xml:space="preserve">provides an indication of </w:t>
      </w:r>
      <w:r w:rsidR="006A1974" w:rsidRPr="000175C2">
        <w:t xml:space="preserve">the </w:t>
      </w:r>
      <w:r w:rsidR="000175C2">
        <w:t xml:space="preserve">coverage of the capacity trading reforms and </w:t>
      </w:r>
      <w:r w:rsidR="000175C2" w:rsidRPr="000175C2">
        <w:t>identifies those facilities located wholly or partly in the NT that, by virtue of the operation of the derogation, will not</w:t>
      </w:r>
      <w:r w:rsidR="000175C2" w:rsidRPr="006A1974">
        <w:t xml:space="preserve"> be subject to the auction</w:t>
      </w:r>
      <w:r w:rsidR="000175C2">
        <w:t xml:space="preserve"> until the derogation</w:t>
      </w:r>
      <w:r w:rsidR="000175C2" w:rsidRPr="006A1974">
        <w:t xml:space="preserve"> </w:t>
      </w:r>
      <w:r w:rsidR="000175C2">
        <w:t>expires (see facilities circled in yellow)</w:t>
      </w:r>
      <w:r w:rsidR="000175C2" w:rsidRPr="006A1974">
        <w:t>.</w:t>
      </w:r>
      <w:r w:rsidR="006A1974" w:rsidRPr="000175C2">
        <w:t xml:space="preserve"> </w:t>
      </w:r>
      <w:r w:rsidR="000175C2" w:rsidRPr="000175C2">
        <w:t xml:space="preserve">Note that </w:t>
      </w:r>
      <w:r w:rsidR="00901A3A">
        <w:t xml:space="preserve">the </w:t>
      </w:r>
      <w:r w:rsidR="000175C2" w:rsidRPr="000175C2">
        <w:t xml:space="preserve">map excludes those transportation facilities that will be </w:t>
      </w:r>
      <w:r w:rsidR="000175C2" w:rsidRPr="000175C2">
        <w:lastRenderedPageBreak/>
        <w:t>automatically exempt from the reforms and those that are likely to obtain a full or conditional exemption from the reforms (see Table A.1 for more detail on exemptions</w:t>
      </w:r>
      <w:r w:rsidR="000175C2">
        <w:t>)</w:t>
      </w:r>
      <w:r w:rsidR="000175C2" w:rsidRPr="000175C2">
        <w:t xml:space="preserve">. </w:t>
      </w:r>
      <w:bookmarkEnd w:id="5"/>
    </w:p>
    <w:p w:rsidR="001522F8" w:rsidRPr="001522F8" w:rsidRDefault="001522F8" w:rsidP="001522F8">
      <w:pPr>
        <w:pStyle w:val="Caption"/>
        <w:spacing w:after="0"/>
        <w:jc w:val="center"/>
        <w:rPr>
          <w:rFonts w:asciiTheme="majorHAnsi" w:hAnsiTheme="majorHAnsi" w:cstheme="majorHAnsi"/>
        </w:rPr>
      </w:pPr>
      <w:bookmarkStart w:id="6" w:name="_Ref508938757"/>
      <w:r w:rsidRPr="001522F8">
        <w:rPr>
          <w:rFonts w:asciiTheme="majorHAnsi" w:hAnsiTheme="majorHAnsi" w:cstheme="majorHAnsi"/>
        </w:rPr>
        <w:t>Figure 2</w:t>
      </w:r>
      <w:bookmarkEnd w:id="6"/>
      <w:r w:rsidRPr="001522F8">
        <w:rPr>
          <w:rFonts w:asciiTheme="majorHAnsi" w:hAnsiTheme="majorHAnsi" w:cstheme="majorHAnsi"/>
        </w:rPr>
        <w:t>: Indicative coverage of the capacity trading reforms (excl. harmonisation)</w:t>
      </w:r>
    </w:p>
    <w:p w:rsidR="001522F8" w:rsidRDefault="001522F8" w:rsidP="001522F8">
      <w:pPr>
        <w:pStyle w:val="BodyText"/>
        <w:spacing w:before="0" w:after="0"/>
        <w:jc w:val="center"/>
        <w:rPr>
          <w:lang w:eastAsia="fr-CA"/>
        </w:rPr>
      </w:pPr>
      <w:r>
        <w:rPr>
          <w:noProof/>
        </w:rPr>
        <w:drawing>
          <wp:inline distT="0" distB="0" distL="0" distR="0" wp14:anchorId="32ECD59E" wp14:editId="42CBD86E">
            <wp:extent cx="5781675" cy="53625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94837" cy="5374783"/>
                    </a:xfrm>
                    <a:prstGeom prst="rect">
                      <a:avLst/>
                    </a:prstGeom>
                    <a:noFill/>
                  </pic:spPr>
                </pic:pic>
              </a:graphicData>
            </a:graphic>
          </wp:inline>
        </w:drawing>
      </w:r>
    </w:p>
    <w:p w:rsidR="001522F8" w:rsidRPr="00050692" w:rsidRDefault="001522F8" w:rsidP="001522F8">
      <w:pPr>
        <w:pStyle w:val="BodyText"/>
        <w:spacing w:before="0" w:after="0"/>
      </w:pPr>
      <w:r w:rsidRPr="002A662A">
        <w:rPr>
          <w:sz w:val="18"/>
          <w:szCs w:val="18"/>
          <w:lang w:eastAsia="fr-CA"/>
        </w:rPr>
        <w:t>M</w:t>
      </w:r>
      <w:r w:rsidRPr="003837E3">
        <w:rPr>
          <w:sz w:val="16"/>
          <w:szCs w:val="16"/>
          <w:lang w:eastAsia="fr-CA"/>
        </w:rPr>
        <w:t>ap source: AEMC with additions made by the GMRG.</w:t>
      </w:r>
    </w:p>
    <w:p w:rsidR="001C7FC3" w:rsidRPr="00F402F5" w:rsidRDefault="001C7FC3" w:rsidP="001C7FC3">
      <w:pPr>
        <w:pStyle w:val="BodyText"/>
        <w:rPr>
          <w:b/>
          <w:sz w:val="24"/>
          <w:szCs w:val="24"/>
        </w:rPr>
      </w:pPr>
      <w:r w:rsidRPr="00F402F5">
        <w:rPr>
          <w:rFonts w:cstheme="majorHAnsi"/>
          <w:b/>
          <w:color w:val="0099CC"/>
          <w:sz w:val="24"/>
          <w:szCs w:val="24"/>
        </w:rPr>
        <w:t xml:space="preserve">Legal and regulatory instruments </w:t>
      </w:r>
    </w:p>
    <w:p w:rsidR="00052CE3" w:rsidRDefault="00052CE3" w:rsidP="00014648">
      <w:pPr>
        <w:pStyle w:val="BodyText"/>
      </w:pPr>
      <w:r>
        <w:t xml:space="preserve">The legal and regulatory </w:t>
      </w:r>
      <w:r w:rsidR="00014648">
        <w:t>instruments</w:t>
      </w:r>
      <w:r>
        <w:t xml:space="preserve"> required to give effect to the reform package comprise:</w:t>
      </w:r>
    </w:p>
    <w:p w:rsidR="00052CE3" w:rsidRPr="00FD32DB" w:rsidRDefault="00052CE3" w:rsidP="00A74A3C">
      <w:pPr>
        <w:pStyle w:val="ListBullet"/>
        <w:rPr>
          <w:rFonts w:eastAsiaTheme="minorEastAsia"/>
        </w:rPr>
      </w:pPr>
      <w:r w:rsidRPr="00FD32DB">
        <w:rPr>
          <w:rFonts w:eastAsiaTheme="minorEastAsia"/>
        </w:rPr>
        <w:t xml:space="preserve">amendments to the National Gas Law (NGL), the regulations made under the NGL (Regulations) and the National Gas Rules (NGR or Rules); </w:t>
      </w:r>
      <w:r w:rsidR="00997D1D">
        <w:rPr>
          <w:rFonts w:eastAsiaTheme="minorEastAsia"/>
        </w:rPr>
        <w:t>and</w:t>
      </w:r>
    </w:p>
    <w:p w:rsidR="00B16E92" w:rsidRPr="00FD32DB" w:rsidRDefault="00052CE3" w:rsidP="00A74A3C">
      <w:pPr>
        <w:pStyle w:val="ListBullet"/>
        <w:rPr>
          <w:rFonts w:eastAsiaTheme="minorEastAsia"/>
        </w:rPr>
      </w:pPr>
      <w:r w:rsidRPr="00FD32DB">
        <w:rPr>
          <w:rFonts w:eastAsiaTheme="minorEastAsia"/>
        </w:rPr>
        <w:t xml:space="preserve">the </w:t>
      </w:r>
      <w:r w:rsidR="00F006CD">
        <w:rPr>
          <w:rFonts w:eastAsiaTheme="minorEastAsia"/>
        </w:rPr>
        <w:t xml:space="preserve">introduction </w:t>
      </w:r>
      <w:r w:rsidRPr="00FD32DB">
        <w:rPr>
          <w:rFonts w:eastAsiaTheme="minorEastAsia"/>
        </w:rPr>
        <w:t xml:space="preserve">of </w:t>
      </w:r>
      <w:r w:rsidR="00F006CD">
        <w:rPr>
          <w:rFonts w:eastAsiaTheme="minorEastAsia"/>
        </w:rPr>
        <w:t xml:space="preserve">a new regulatory instrument, the </w:t>
      </w:r>
      <w:r w:rsidRPr="00FD32DB">
        <w:rPr>
          <w:rFonts w:eastAsiaTheme="minorEastAsia"/>
        </w:rPr>
        <w:t>Operational Transportation Service Code (Code)</w:t>
      </w:r>
      <w:r w:rsidR="00997D1D">
        <w:rPr>
          <w:rFonts w:eastAsiaTheme="minorEastAsia"/>
        </w:rPr>
        <w:t>.</w:t>
      </w:r>
    </w:p>
    <w:p w:rsidR="003E46F0" w:rsidRDefault="003E46F0" w:rsidP="00E776BA">
      <w:pPr>
        <w:pStyle w:val="BodyText"/>
      </w:pPr>
      <w:r>
        <w:t>On 19 Ma</w:t>
      </w:r>
      <w:r w:rsidR="00B16E92">
        <w:t>r</w:t>
      </w:r>
      <w:r>
        <w:t>ch 2018, t</w:t>
      </w:r>
      <w:r w:rsidRPr="003E46F0">
        <w:t xml:space="preserve">he GMRG released </w:t>
      </w:r>
      <w:r w:rsidR="00F006CD">
        <w:t xml:space="preserve">the </w:t>
      </w:r>
      <w:r w:rsidRPr="003E46F0">
        <w:t xml:space="preserve">draft legal </w:t>
      </w:r>
      <w:r w:rsidR="00323F19">
        <w:t xml:space="preserve">and regulatory </w:t>
      </w:r>
      <w:r w:rsidR="00014648">
        <w:t xml:space="preserve">instruments </w:t>
      </w:r>
      <w:r w:rsidR="00107742">
        <w:t xml:space="preserve">for consultation and </w:t>
      </w:r>
      <w:r>
        <w:t>invited stakeholder</w:t>
      </w:r>
      <w:r w:rsidR="00107742">
        <w:t>s</w:t>
      </w:r>
      <w:r>
        <w:t xml:space="preserve"> </w:t>
      </w:r>
      <w:r w:rsidR="00107742">
        <w:t>to provide feedback</w:t>
      </w:r>
      <w:r w:rsidR="00F53904" w:rsidRPr="00541E16">
        <w:t xml:space="preserve"> by </w:t>
      </w:r>
      <w:r w:rsidR="00F53904" w:rsidRPr="00541E16">
        <w:rPr>
          <w:bCs/>
        </w:rPr>
        <w:t>Friday 27 April 2018</w:t>
      </w:r>
      <w:r w:rsidR="00107742">
        <w:t xml:space="preserve"> </w:t>
      </w:r>
      <w:r w:rsidR="00A27ED1">
        <w:t>on the</w:t>
      </w:r>
      <w:r w:rsidR="00997D1D">
        <w:t>se</w:t>
      </w:r>
      <w:r w:rsidR="00A27ED1">
        <w:t xml:space="preserve"> </w:t>
      </w:r>
      <w:r w:rsidR="00014648">
        <w:t xml:space="preserve">instruments </w:t>
      </w:r>
      <w:r w:rsidR="00A27ED1">
        <w:t xml:space="preserve">and </w:t>
      </w:r>
      <w:r w:rsidR="00F53904">
        <w:t xml:space="preserve">on </w:t>
      </w:r>
      <w:r w:rsidR="00A27ED1">
        <w:t xml:space="preserve">a number </w:t>
      </w:r>
      <w:r w:rsidR="00A27ED1" w:rsidRPr="00541E16">
        <w:t xml:space="preserve">of proposed refinements to the design of the reform </w:t>
      </w:r>
      <w:r w:rsidR="00A27ED1" w:rsidRPr="00541E16">
        <w:lastRenderedPageBreak/>
        <w:t>package</w:t>
      </w:r>
      <w:r w:rsidRPr="00541E16">
        <w:t xml:space="preserve">. In total, </w:t>
      </w:r>
      <w:r w:rsidR="004E11E5">
        <w:t xml:space="preserve">the GMRG received </w:t>
      </w:r>
      <w:r w:rsidR="00107742" w:rsidRPr="00541E16">
        <w:t>24</w:t>
      </w:r>
      <w:r w:rsidRPr="00541E16">
        <w:t xml:space="preserve"> submissions</w:t>
      </w:r>
      <w:r w:rsidR="004E11E5">
        <w:t>. These submissions</w:t>
      </w:r>
      <w:r w:rsidRPr="00541E16">
        <w:t xml:space="preserve"> were received from organisations with interests across the gas supply chain</w:t>
      </w:r>
      <w:r w:rsidR="005918D9" w:rsidRPr="00541E16">
        <w:t xml:space="preserve"> </w:t>
      </w:r>
      <w:r w:rsidR="00586DB2" w:rsidRPr="00541E16">
        <w:t>and a number of consumer and user representatives</w:t>
      </w:r>
      <w:r w:rsidRPr="00541E16">
        <w:t>.</w:t>
      </w:r>
      <w:r>
        <w:t xml:space="preserve"> </w:t>
      </w:r>
    </w:p>
    <w:p w:rsidR="00391E23" w:rsidRPr="00DD24B7" w:rsidRDefault="003E46F0" w:rsidP="001F63C2">
      <w:pPr>
        <w:pStyle w:val="BodyText"/>
      </w:pPr>
      <w:r>
        <w:t xml:space="preserve">Having regard to the feedback provided by </w:t>
      </w:r>
      <w:r w:rsidR="00F006CD">
        <w:t xml:space="preserve">these </w:t>
      </w:r>
      <w:r>
        <w:t xml:space="preserve">stakeholders, </w:t>
      </w:r>
      <w:r w:rsidR="00C52376">
        <w:t xml:space="preserve">the overarching objectives of the reforms, </w:t>
      </w:r>
      <w:r>
        <w:t>the rule making test set out in section 291 of the NGL</w:t>
      </w:r>
      <w:r w:rsidR="00F006CD">
        <w:t>,</w:t>
      </w:r>
      <w:r>
        <w:rPr>
          <w:rStyle w:val="FootnoteReference"/>
        </w:rPr>
        <w:footnoteReference w:id="4"/>
      </w:r>
      <w:r>
        <w:t xml:space="preserve"> and the Energy </w:t>
      </w:r>
      <w:r w:rsidRPr="00465134">
        <w:t xml:space="preserve">Council’s </w:t>
      </w:r>
      <w:r w:rsidRPr="00091A31">
        <w:rPr>
          <w:i/>
        </w:rPr>
        <w:t>Australian Gas Market</w:t>
      </w:r>
      <w:r>
        <w:t xml:space="preserve"> </w:t>
      </w:r>
      <w:r w:rsidRPr="00EF5F04">
        <w:rPr>
          <w:i/>
        </w:rPr>
        <w:t>Vision</w:t>
      </w:r>
      <w:r w:rsidRPr="00F678F6">
        <w:rPr>
          <w:i/>
        </w:rPr>
        <w:t>,</w:t>
      </w:r>
      <w:r w:rsidRPr="00F678F6">
        <w:rPr>
          <w:rStyle w:val="FootnoteReference"/>
          <w:bCs/>
        </w:rPr>
        <w:footnoteReference w:id="5"/>
      </w:r>
      <w:r>
        <w:rPr>
          <w:i/>
        </w:rPr>
        <w:t xml:space="preserve"> </w:t>
      </w:r>
      <w:r w:rsidRPr="00835BC4">
        <w:t>the</w:t>
      </w:r>
      <w:r>
        <w:rPr>
          <w:i/>
        </w:rPr>
        <w:t xml:space="preserve"> </w:t>
      </w:r>
      <w:r>
        <w:t xml:space="preserve">GMRG developed the final legal and regulatory </w:t>
      </w:r>
      <w:r w:rsidR="00014648">
        <w:t>instruments</w:t>
      </w:r>
      <w:r>
        <w:t xml:space="preserve"> for the </w:t>
      </w:r>
      <w:r w:rsidR="00C52376">
        <w:t xml:space="preserve">Energy </w:t>
      </w:r>
      <w:r>
        <w:t xml:space="preserve">Council’s consideration and approval. </w:t>
      </w:r>
      <w:r w:rsidR="00892DE9">
        <w:t>The</w:t>
      </w:r>
      <w:r w:rsidR="00031E24">
        <w:t>se</w:t>
      </w:r>
      <w:r w:rsidR="00892DE9">
        <w:t xml:space="preserve"> </w:t>
      </w:r>
      <w:r w:rsidR="00014648">
        <w:t>instruments</w:t>
      </w:r>
      <w:r w:rsidR="00EC0954" w:rsidRPr="00DD24B7">
        <w:t xml:space="preserve">, which </w:t>
      </w:r>
      <w:r w:rsidR="00233319">
        <w:t>w</w:t>
      </w:r>
      <w:r w:rsidR="00014648">
        <w:t>ere</w:t>
      </w:r>
      <w:r w:rsidR="00233319">
        <w:t xml:space="preserve"> approved </w:t>
      </w:r>
      <w:r w:rsidR="000C48D6">
        <w:t xml:space="preserve">out-of-session </w:t>
      </w:r>
      <w:r w:rsidR="00233319">
        <w:t xml:space="preserve">by the Energy Council </w:t>
      </w:r>
      <w:r w:rsidR="00233319" w:rsidRPr="00982CAD">
        <w:t xml:space="preserve">on </w:t>
      </w:r>
      <w:r w:rsidR="00D01584" w:rsidRPr="00982CAD">
        <w:t>29 June</w:t>
      </w:r>
      <w:r w:rsidR="00233319" w:rsidRPr="00982CAD">
        <w:t xml:space="preserve"> 2018,</w:t>
      </w:r>
      <w:r w:rsidR="00233319">
        <w:t xml:space="preserve"> </w:t>
      </w:r>
      <w:r w:rsidR="00F637EB" w:rsidRPr="00DD24B7">
        <w:t>reflect</w:t>
      </w:r>
      <w:r w:rsidR="00391E23" w:rsidRPr="00DD24B7">
        <w:t>:</w:t>
      </w:r>
      <w:r w:rsidR="00F637EB" w:rsidRPr="00DD24B7">
        <w:t xml:space="preserve"> </w:t>
      </w:r>
    </w:p>
    <w:p w:rsidR="00391E23" w:rsidRPr="00DD24B7" w:rsidRDefault="00CF2AF1" w:rsidP="00A74A3C">
      <w:pPr>
        <w:pStyle w:val="ListBullet"/>
      </w:pPr>
      <w:r w:rsidRPr="00DD24B7">
        <w:t xml:space="preserve">a number of </w:t>
      </w:r>
      <w:r w:rsidR="00A27ED1" w:rsidRPr="00DD24B7">
        <w:t xml:space="preserve">refinements </w:t>
      </w:r>
      <w:r w:rsidR="00F637EB" w:rsidRPr="00DD24B7">
        <w:t xml:space="preserve">to the design </w:t>
      </w:r>
      <w:r w:rsidR="00F006CD">
        <w:t xml:space="preserve">of the reform package </w:t>
      </w:r>
      <w:r w:rsidR="00E03561" w:rsidRPr="00DD24B7">
        <w:t xml:space="preserve">that </w:t>
      </w:r>
      <w:r w:rsidR="001500D7" w:rsidRPr="00DD24B7">
        <w:t xml:space="preserve">were </w:t>
      </w:r>
      <w:r w:rsidR="00735520" w:rsidRPr="00DD24B7">
        <w:t>identified in the 19 March 2018 consultation paper</w:t>
      </w:r>
      <w:r w:rsidR="00391E23" w:rsidRPr="00DD24B7">
        <w:t>;</w:t>
      </w:r>
      <w:r w:rsidR="002A6205">
        <w:rPr>
          <w:rStyle w:val="FootnoteReference"/>
        </w:rPr>
        <w:footnoteReference w:id="6"/>
      </w:r>
      <w:r w:rsidR="00735520" w:rsidRPr="00DD24B7">
        <w:t xml:space="preserve"> </w:t>
      </w:r>
      <w:r w:rsidR="00E9369B" w:rsidRPr="00DD24B7">
        <w:t xml:space="preserve">and </w:t>
      </w:r>
    </w:p>
    <w:p w:rsidR="001F63C2" w:rsidRDefault="00E03561" w:rsidP="00A74A3C">
      <w:pPr>
        <w:pStyle w:val="ListBullet"/>
      </w:pPr>
      <w:r w:rsidRPr="00DD24B7">
        <w:t xml:space="preserve">a </w:t>
      </w:r>
      <w:r w:rsidR="00CF2AF1" w:rsidRPr="00DD24B7">
        <w:t xml:space="preserve">range </w:t>
      </w:r>
      <w:r w:rsidRPr="00DD24B7">
        <w:t xml:space="preserve">of </w:t>
      </w:r>
      <w:r w:rsidR="00712FDF" w:rsidRPr="00DD24B7">
        <w:t xml:space="preserve">other </w:t>
      </w:r>
      <w:r w:rsidR="001F63C2" w:rsidRPr="00DD24B7">
        <w:t xml:space="preserve">amendments </w:t>
      </w:r>
      <w:r w:rsidR="00712FDF" w:rsidRPr="00DD24B7">
        <w:t xml:space="preserve">to </w:t>
      </w:r>
      <w:r w:rsidR="00712FDF">
        <w:t xml:space="preserve">specific provisions </w:t>
      </w:r>
      <w:r w:rsidR="00391E23">
        <w:t>in the NGL, Regulation</w:t>
      </w:r>
      <w:r w:rsidR="006255B2">
        <w:t>s</w:t>
      </w:r>
      <w:r w:rsidR="00391E23">
        <w:t xml:space="preserve">, NGR and Code, </w:t>
      </w:r>
      <w:r>
        <w:t xml:space="preserve">that </w:t>
      </w:r>
      <w:r w:rsidR="001F63C2">
        <w:t xml:space="preserve">have been made to provide market participants with: </w:t>
      </w:r>
    </w:p>
    <w:p w:rsidR="001F63C2" w:rsidRDefault="001F63C2" w:rsidP="00A74A3C">
      <w:pPr>
        <w:pStyle w:val="ListBullet2"/>
      </w:pPr>
      <w:r>
        <w:t xml:space="preserve">greater clarity about their rights and obligations under the various elements of the capacity trading reform package; and </w:t>
      </w:r>
    </w:p>
    <w:p w:rsidR="001F63C2" w:rsidRDefault="001F63C2" w:rsidP="00A74A3C">
      <w:pPr>
        <w:pStyle w:val="ListBullet2"/>
      </w:pPr>
      <w:r>
        <w:t xml:space="preserve">greater confidence in the </w:t>
      </w:r>
      <w:r w:rsidR="000175C2">
        <w:t xml:space="preserve">capacity trading </w:t>
      </w:r>
      <w:r>
        <w:t xml:space="preserve">platform and </w:t>
      </w:r>
      <w:r w:rsidR="000175C2">
        <w:t xml:space="preserve">day-ahead </w:t>
      </w:r>
      <w:r>
        <w:t xml:space="preserve">auction by providing for </w:t>
      </w:r>
      <w:r w:rsidR="008937DE">
        <w:t>enhanced</w:t>
      </w:r>
      <w:r>
        <w:t xml:space="preserve"> transparency, </w:t>
      </w:r>
      <w:r w:rsidR="00F53904">
        <w:t xml:space="preserve">increased </w:t>
      </w:r>
      <w:r>
        <w:t xml:space="preserve">stakeholder consultation and </w:t>
      </w:r>
      <w:r w:rsidR="00F53904">
        <w:t xml:space="preserve">additional </w:t>
      </w:r>
      <w:r>
        <w:t>oversight by the AER.</w:t>
      </w:r>
    </w:p>
    <w:p w:rsidR="00233319" w:rsidRDefault="00EB547C" w:rsidP="00031E24">
      <w:pPr>
        <w:pStyle w:val="BodyText"/>
        <w:spacing w:before="120" w:after="0"/>
      </w:pPr>
      <w:r>
        <w:t xml:space="preserve">These refinements and amendments are reflected in the </w:t>
      </w:r>
      <w:r w:rsidR="00D2694F">
        <w:t xml:space="preserve">final design tables in Appendix A. </w:t>
      </w:r>
    </w:p>
    <w:p w:rsidR="00CE418B" w:rsidRDefault="00CE418B" w:rsidP="00B16E92">
      <w:pPr>
        <w:pStyle w:val="Heading1"/>
        <w:numPr>
          <w:ilvl w:val="0"/>
          <w:numId w:val="0"/>
        </w:numPr>
        <w:spacing w:after="120"/>
        <w:rPr>
          <w:rFonts w:cstheme="majorHAnsi"/>
          <w:color w:val="0099CC"/>
        </w:rPr>
      </w:pPr>
      <w:r>
        <w:rPr>
          <w:rFonts w:cstheme="majorHAnsi"/>
          <w:color w:val="0099CC"/>
        </w:rPr>
        <w:t xml:space="preserve">Next steps </w:t>
      </w:r>
    </w:p>
    <w:p w:rsidR="00D01584" w:rsidRDefault="006D613F" w:rsidP="0008789E">
      <w:pPr>
        <w:pStyle w:val="BodyText"/>
        <w:spacing w:before="0"/>
      </w:pPr>
      <w:r>
        <w:t xml:space="preserve">The </w:t>
      </w:r>
      <w:r w:rsidR="005B10A6">
        <w:t xml:space="preserve">changes to the NGL that are required to give effect to the reform package are </w:t>
      </w:r>
      <w:r>
        <w:t xml:space="preserve">expected to be tabled in the South Australian Parliament in the coming weeks. </w:t>
      </w:r>
      <w:r w:rsidRPr="003E46F0">
        <w:t>Following the proclamation of the</w:t>
      </w:r>
      <w:r w:rsidR="002D72B3">
        <w:t>se</w:t>
      </w:r>
      <w:r w:rsidRPr="003E46F0">
        <w:t xml:space="preserve"> changes, </w:t>
      </w:r>
      <w:r>
        <w:t>the required amendments to the Regulations and NGR, and the initial Code</w:t>
      </w:r>
      <w:r w:rsidR="00D01584">
        <w:t xml:space="preserve"> will be made</w:t>
      </w:r>
      <w:r w:rsidRPr="003E46F0">
        <w:t xml:space="preserve">. </w:t>
      </w:r>
      <w:r>
        <w:t>T</w:t>
      </w:r>
      <w:r>
        <w:rPr>
          <w:iCs/>
        </w:rPr>
        <w:t xml:space="preserve">his is expected to occur </w:t>
      </w:r>
      <w:r w:rsidR="00C85B74">
        <w:rPr>
          <w:iCs/>
        </w:rPr>
        <w:t xml:space="preserve">in late </w:t>
      </w:r>
      <w:r>
        <w:rPr>
          <w:iCs/>
        </w:rPr>
        <w:t>October</w:t>
      </w:r>
      <w:r w:rsidR="00C85B74">
        <w:rPr>
          <w:iCs/>
        </w:rPr>
        <w:t xml:space="preserve"> or early November</w:t>
      </w:r>
      <w:r>
        <w:rPr>
          <w:iCs/>
        </w:rPr>
        <w:t xml:space="preserve">.  </w:t>
      </w:r>
    </w:p>
    <w:p w:rsidR="0008789E" w:rsidRDefault="006D613F" w:rsidP="0008789E">
      <w:pPr>
        <w:pStyle w:val="BodyText"/>
      </w:pPr>
      <w:r>
        <w:t xml:space="preserve">Once </w:t>
      </w:r>
      <w:r w:rsidR="00997D1D">
        <w:t xml:space="preserve">these legal and regulatory instruments are </w:t>
      </w:r>
      <w:r w:rsidR="0008789E">
        <w:t xml:space="preserve">made, </w:t>
      </w:r>
      <w:r w:rsidR="00B16E92">
        <w:t xml:space="preserve">AEMO </w:t>
      </w:r>
      <w:r w:rsidR="0008789E">
        <w:t xml:space="preserve">will make and amend a number of subordinate instruments that it is responsible for and the Australian Energy Regulator (AER) will publish the guidelines it is responsible for making. </w:t>
      </w:r>
    </w:p>
    <w:p w:rsidR="00937AB0" w:rsidRDefault="00937AB0" w:rsidP="00937AB0">
      <w:pPr>
        <w:pStyle w:val="BodyText"/>
        <w:rPr>
          <w:iCs/>
        </w:rPr>
      </w:pPr>
      <w:r>
        <w:t xml:space="preserve">Further detail on the next steps and the key dates </w:t>
      </w:r>
      <w:r>
        <w:rPr>
          <w:iCs/>
        </w:rPr>
        <w:t>is provided in:</w:t>
      </w:r>
    </w:p>
    <w:p w:rsidR="00937AB0" w:rsidRDefault="00937AB0" w:rsidP="00937AB0">
      <w:pPr>
        <w:pStyle w:val="ListBullet"/>
      </w:pPr>
      <w:r>
        <w:t xml:space="preserve">Table 1, which sets out the </w:t>
      </w:r>
      <w:r w:rsidR="00862A50" w:rsidRPr="00E50846">
        <w:t>expected timing</w:t>
      </w:r>
      <w:r w:rsidR="004E11E5">
        <w:t>s</w:t>
      </w:r>
      <w:r w:rsidR="00862A50" w:rsidRPr="00E50846">
        <w:t xml:space="preserve"> associated with </w:t>
      </w:r>
      <w:r>
        <w:t xml:space="preserve">the legal and regulatory instruments and </w:t>
      </w:r>
      <w:r w:rsidR="00862A50" w:rsidRPr="00E50846">
        <w:t>subordinate instruments</w:t>
      </w:r>
      <w:r>
        <w:t>;</w:t>
      </w:r>
    </w:p>
    <w:p w:rsidR="00937AB0" w:rsidRDefault="00E50846" w:rsidP="00937AB0">
      <w:pPr>
        <w:pStyle w:val="ListBullet"/>
      </w:pPr>
      <w:r w:rsidRPr="00E50846">
        <w:t>Table 2</w:t>
      </w:r>
      <w:r w:rsidR="00937AB0">
        <w:t>, which</w:t>
      </w:r>
      <w:r w:rsidRPr="00E50846">
        <w:t xml:space="preserve"> sets out the </w:t>
      </w:r>
      <w:bookmarkStart w:id="7" w:name="_Hlk516416890"/>
      <w:r w:rsidRPr="00E50846">
        <w:t>timing</w:t>
      </w:r>
      <w:r w:rsidR="00AA6D3D">
        <w:t>s</w:t>
      </w:r>
      <w:r w:rsidRPr="00E50846">
        <w:t xml:space="preserve"> associated with the various obligations </w:t>
      </w:r>
      <w:r w:rsidR="00997D1D">
        <w:t xml:space="preserve">that service providers and other </w:t>
      </w:r>
      <w:r w:rsidRPr="00E50846">
        <w:t>market participants will have</w:t>
      </w:r>
      <w:r w:rsidR="00937AB0">
        <w:t xml:space="preserve"> in relation to facilities located in </w:t>
      </w:r>
      <w:r w:rsidR="004E11E5">
        <w:t xml:space="preserve">the </w:t>
      </w:r>
      <w:r w:rsidR="00937AB0" w:rsidRPr="00050692">
        <w:lastRenderedPageBreak/>
        <w:t xml:space="preserve">Australian Capital Territory, New South Wales, Queensland, South Australia, </w:t>
      </w:r>
      <w:r w:rsidR="006255B2">
        <w:t xml:space="preserve">Tasmania and </w:t>
      </w:r>
      <w:r w:rsidR="00937AB0" w:rsidRPr="00050692">
        <w:t>Victoria</w:t>
      </w:r>
      <w:r w:rsidR="00A74A3C">
        <w:t xml:space="preserve"> (outside the DTS)</w:t>
      </w:r>
      <w:bookmarkEnd w:id="7"/>
      <w:r w:rsidR="00937AB0">
        <w:t>; and</w:t>
      </w:r>
    </w:p>
    <w:p w:rsidR="00937AB0" w:rsidRDefault="00937AB0" w:rsidP="00937AB0">
      <w:pPr>
        <w:pStyle w:val="ListBullet"/>
      </w:pPr>
      <w:r w:rsidRPr="00E50846">
        <w:t xml:space="preserve">Table </w:t>
      </w:r>
      <w:r>
        <w:t>3, which</w:t>
      </w:r>
      <w:r w:rsidRPr="00E50846">
        <w:t xml:space="preserve"> sets out</w:t>
      </w:r>
      <w:bookmarkStart w:id="8" w:name="_Hlk516416911"/>
      <w:r w:rsidRPr="00E50846">
        <w:t xml:space="preserve"> the timing</w:t>
      </w:r>
      <w:r w:rsidR="00065A61">
        <w:t>s</w:t>
      </w:r>
      <w:r w:rsidRPr="00E50846">
        <w:t xml:space="preserve"> associated with the various obligations </w:t>
      </w:r>
      <w:r>
        <w:t xml:space="preserve">that service providers and other </w:t>
      </w:r>
      <w:r w:rsidRPr="00E50846">
        <w:t>market participants will have</w:t>
      </w:r>
      <w:r>
        <w:t xml:space="preserve"> in relation to facilities wholly or partly located in the </w:t>
      </w:r>
      <w:bookmarkEnd w:id="8"/>
      <w:r w:rsidR="000175C2">
        <w:t>NT</w:t>
      </w:r>
      <w:r>
        <w:t>.</w:t>
      </w:r>
    </w:p>
    <w:p w:rsidR="0054701B" w:rsidRPr="00E50846" w:rsidRDefault="000175C2" w:rsidP="00937AB0">
      <w:pPr>
        <w:pStyle w:val="BodyText"/>
      </w:pPr>
      <w:r>
        <w:t>N</w:t>
      </w:r>
      <w:r w:rsidR="00257B24" w:rsidRPr="00E50846">
        <w:t xml:space="preserve">ote </w:t>
      </w:r>
      <w:r w:rsidR="00E50846" w:rsidRPr="00E50846">
        <w:rPr>
          <w:iCs/>
        </w:rPr>
        <w:t xml:space="preserve">these </w:t>
      </w:r>
      <w:r w:rsidR="0054701B" w:rsidRPr="00E50846">
        <w:rPr>
          <w:iCs/>
        </w:rPr>
        <w:t>table</w:t>
      </w:r>
      <w:r w:rsidR="00E50846" w:rsidRPr="00E50846">
        <w:rPr>
          <w:iCs/>
        </w:rPr>
        <w:t>s</w:t>
      </w:r>
      <w:r w:rsidR="0054701B" w:rsidRPr="00E50846">
        <w:rPr>
          <w:iCs/>
        </w:rPr>
        <w:t xml:space="preserve"> </w:t>
      </w:r>
      <w:r w:rsidR="00E50846" w:rsidRPr="00E50846">
        <w:rPr>
          <w:iCs/>
        </w:rPr>
        <w:t xml:space="preserve">have </w:t>
      </w:r>
      <w:r w:rsidR="0054701B" w:rsidRPr="00E50846">
        <w:t>been developed on the basis that amendments to the NGL</w:t>
      </w:r>
      <w:r w:rsidR="00257B24">
        <w:t>, Regulations</w:t>
      </w:r>
      <w:r w:rsidR="0054701B" w:rsidRPr="00E50846">
        <w:t xml:space="preserve"> and NGR</w:t>
      </w:r>
      <w:r w:rsidR="00257B24">
        <w:t>, and the initial Code</w:t>
      </w:r>
      <w:r w:rsidR="0054701B" w:rsidRPr="00E50846">
        <w:t xml:space="preserve"> will </w:t>
      </w:r>
      <w:r w:rsidR="00257B24">
        <w:t>b</w:t>
      </w:r>
      <w:r w:rsidR="00F80FA8">
        <w:t>e made</w:t>
      </w:r>
      <w:r w:rsidR="00257B24" w:rsidRPr="00E50846">
        <w:t xml:space="preserve"> </w:t>
      </w:r>
      <w:r w:rsidR="00B84BDB">
        <w:t xml:space="preserve">on or </w:t>
      </w:r>
      <w:r w:rsidR="0054701B" w:rsidRPr="00E50846">
        <w:t>before 1 December 2018.</w:t>
      </w:r>
      <w:r w:rsidR="00997D1D">
        <w:rPr>
          <w:rStyle w:val="FootnoteReference"/>
        </w:rPr>
        <w:footnoteReference w:id="7"/>
      </w:r>
    </w:p>
    <w:p w:rsidR="003E667A" w:rsidRPr="001A443F" w:rsidRDefault="006D613F" w:rsidP="00937AB0">
      <w:pPr>
        <w:pStyle w:val="Caption"/>
        <w:keepLines w:val="0"/>
        <w:spacing w:after="0"/>
        <w:rPr>
          <w:rFonts w:ascii="Arial" w:hAnsi="Arial" w:cs="Arial"/>
          <w:iCs/>
        </w:rPr>
      </w:pPr>
      <w:r w:rsidRPr="003E667A">
        <w:rPr>
          <w:rFonts w:ascii="Arial" w:hAnsi="Arial" w:cs="Arial"/>
        </w:rPr>
        <w:t xml:space="preserve">Table </w:t>
      </w:r>
      <w:r w:rsidR="00E776BA" w:rsidRPr="003E667A">
        <w:rPr>
          <w:rFonts w:ascii="Arial" w:hAnsi="Arial" w:cs="Arial"/>
        </w:rPr>
        <w:t>1</w:t>
      </w:r>
      <w:r w:rsidRPr="003E667A">
        <w:rPr>
          <w:rFonts w:ascii="Arial" w:hAnsi="Arial" w:cs="Arial"/>
        </w:rPr>
        <w:t xml:space="preserve">: </w:t>
      </w:r>
      <w:r w:rsidR="003E667A" w:rsidRPr="003E667A">
        <w:rPr>
          <w:rFonts w:ascii="Arial" w:hAnsi="Arial" w:cs="Arial"/>
        </w:rPr>
        <w:t xml:space="preserve">Key dates for the implementation of legal and regulatory </w:t>
      </w:r>
      <w:r w:rsidR="00014648">
        <w:rPr>
          <w:rFonts w:ascii="Arial" w:hAnsi="Arial" w:cs="Arial"/>
        </w:rPr>
        <w:t>instruments</w:t>
      </w:r>
    </w:p>
    <w:tbl>
      <w:tblPr>
        <w:tblStyle w:val="TableGrid"/>
        <w:tblW w:w="8789" w:type="dxa"/>
        <w:tblLook w:val="04A0" w:firstRow="1" w:lastRow="0" w:firstColumn="1" w:lastColumn="0" w:noHBand="0" w:noVBand="1"/>
        <w:tblCaption w:val="Table 1.1: Indicative dates for development and implementation of legal and regulatory framework"/>
        <w:tblDescription w:val="Table of indicative dates for development and implementation of legal and regulatory framework"/>
      </w:tblPr>
      <w:tblGrid>
        <w:gridCol w:w="1701"/>
        <w:gridCol w:w="1418"/>
        <w:gridCol w:w="5670"/>
      </w:tblGrid>
      <w:tr w:rsidR="006D613F" w:rsidTr="00937AB0">
        <w:trPr>
          <w:cnfStyle w:val="100000000000" w:firstRow="1" w:lastRow="0" w:firstColumn="0" w:lastColumn="0" w:oddVBand="0" w:evenVBand="0" w:oddHBand="0" w:evenHBand="0" w:firstRowFirstColumn="0" w:firstRowLastColumn="0" w:lastRowFirstColumn="0" w:lastRowLastColumn="0"/>
          <w:tblHeader/>
        </w:trPr>
        <w:tc>
          <w:tcPr>
            <w:tcW w:w="1701" w:type="dxa"/>
            <w:shd w:val="clear" w:color="auto" w:fill="0099CC"/>
          </w:tcPr>
          <w:p w:rsidR="006D613F" w:rsidRDefault="006D613F" w:rsidP="00937AB0">
            <w:pPr>
              <w:pStyle w:val="BodyText"/>
              <w:keepNext/>
              <w:spacing w:before="20" w:after="20" w:line="240" w:lineRule="auto"/>
              <w:rPr>
                <w:iCs/>
              </w:rPr>
            </w:pPr>
            <w:r>
              <w:rPr>
                <w:iCs/>
              </w:rPr>
              <w:t>Date</w:t>
            </w:r>
          </w:p>
        </w:tc>
        <w:tc>
          <w:tcPr>
            <w:tcW w:w="1418" w:type="dxa"/>
            <w:shd w:val="clear" w:color="auto" w:fill="0099CC"/>
          </w:tcPr>
          <w:p w:rsidR="006D613F" w:rsidRDefault="006D613F" w:rsidP="00937AB0">
            <w:pPr>
              <w:pStyle w:val="BodyText"/>
              <w:keepNext/>
              <w:spacing w:before="20" w:after="20" w:line="240" w:lineRule="auto"/>
              <w:rPr>
                <w:iCs/>
              </w:rPr>
            </w:pPr>
            <w:r>
              <w:rPr>
                <w:iCs/>
              </w:rPr>
              <w:t>Responsibility</w:t>
            </w:r>
          </w:p>
        </w:tc>
        <w:tc>
          <w:tcPr>
            <w:tcW w:w="5670" w:type="dxa"/>
            <w:shd w:val="clear" w:color="auto" w:fill="0099CC"/>
          </w:tcPr>
          <w:p w:rsidR="006D613F" w:rsidRDefault="006D613F" w:rsidP="00937AB0">
            <w:pPr>
              <w:pStyle w:val="BodyText"/>
              <w:keepNext/>
              <w:spacing w:before="20" w:after="20" w:line="240" w:lineRule="auto"/>
              <w:ind w:right="-822"/>
              <w:rPr>
                <w:iCs/>
              </w:rPr>
            </w:pPr>
            <w:r>
              <w:rPr>
                <w:iCs/>
              </w:rPr>
              <w:t>Process</w:t>
            </w:r>
          </w:p>
        </w:tc>
      </w:tr>
      <w:tr w:rsidR="006D613F" w:rsidTr="00937AB0">
        <w:tc>
          <w:tcPr>
            <w:tcW w:w="1701" w:type="dxa"/>
          </w:tcPr>
          <w:p w:rsidR="006D613F" w:rsidRDefault="006D613F" w:rsidP="00937AB0">
            <w:pPr>
              <w:pStyle w:val="BodyText"/>
              <w:keepNext/>
              <w:spacing w:before="20" w:after="20" w:line="240" w:lineRule="auto"/>
              <w:rPr>
                <w:iCs/>
              </w:rPr>
            </w:pPr>
            <w:r w:rsidRPr="00080E3B">
              <w:rPr>
                <w:iCs/>
              </w:rPr>
              <w:t xml:space="preserve">July </w:t>
            </w:r>
            <w:r>
              <w:rPr>
                <w:iCs/>
              </w:rPr>
              <w:t xml:space="preserve">– </w:t>
            </w:r>
            <w:r w:rsidR="00464013">
              <w:rPr>
                <w:iCs/>
              </w:rPr>
              <w:t>November</w:t>
            </w:r>
            <w:r w:rsidRPr="00080E3B">
              <w:rPr>
                <w:iCs/>
              </w:rPr>
              <w:t xml:space="preserve"> 2018</w:t>
            </w:r>
          </w:p>
        </w:tc>
        <w:tc>
          <w:tcPr>
            <w:tcW w:w="1418" w:type="dxa"/>
          </w:tcPr>
          <w:p w:rsidR="006D613F" w:rsidRDefault="006D613F" w:rsidP="00937AB0">
            <w:pPr>
              <w:pStyle w:val="BodyText"/>
              <w:keepNext/>
              <w:spacing w:before="20" w:after="20" w:line="240" w:lineRule="auto"/>
              <w:rPr>
                <w:iCs/>
              </w:rPr>
            </w:pPr>
            <w:r>
              <w:rPr>
                <w:iCs/>
              </w:rPr>
              <w:t>SA Minister</w:t>
            </w:r>
          </w:p>
        </w:tc>
        <w:tc>
          <w:tcPr>
            <w:tcW w:w="5670" w:type="dxa"/>
          </w:tcPr>
          <w:p w:rsidR="006D613F" w:rsidRDefault="006D613F" w:rsidP="00F80FA8">
            <w:pPr>
              <w:pStyle w:val="BodyText"/>
              <w:keepNext/>
              <w:spacing w:before="20" w:after="20" w:line="240" w:lineRule="auto"/>
              <w:ind w:right="136"/>
              <w:rPr>
                <w:iCs/>
              </w:rPr>
            </w:pPr>
            <w:r w:rsidRPr="006D613F">
              <w:rPr>
                <w:iCs/>
              </w:rPr>
              <w:t xml:space="preserve">Amendments to the NGL progressed through SA Parliament and </w:t>
            </w:r>
            <w:r>
              <w:rPr>
                <w:iCs/>
              </w:rPr>
              <w:t>o</w:t>
            </w:r>
            <w:r w:rsidRPr="00080E3B">
              <w:rPr>
                <w:iCs/>
              </w:rPr>
              <w:t xml:space="preserve">nce NGL changes </w:t>
            </w:r>
            <w:r w:rsidR="00031E24">
              <w:rPr>
                <w:iCs/>
              </w:rPr>
              <w:t xml:space="preserve">are </w:t>
            </w:r>
            <w:r w:rsidRPr="00080E3B">
              <w:rPr>
                <w:iCs/>
              </w:rPr>
              <w:t xml:space="preserve">proclaimed, the </w:t>
            </w:r>
            <w:r w:rsidR="00540EE4">
              <w:rPr>
                <w:iCs/>
              </w:rPr>
              <w:t>amend</w:t>
            </w:r>
            <w:r w:rsidR="00F80FA8">
              <w:rPr>
                <w:iCs/>
              </w:rPr>
              <w:t>ments to</w:t>
            </w:r>
            <w:r w:rsidR="00540EE4">
              <w:rPr>
                <w:iCs/>
              </w:rPr>
              <w:t xml:space="preserve"> </w:t>
            </w:r>
            <w:r w:rsidRPr="00080E3B">
              <w:rPr>
                <w:iCs/>
              </w:rPr>
              <w:t xml:space="preserve">the </w:t>
            </w:r>
            <w:r w:rsidR="00F80FA8">
              <w:rPr>
                <w:iCs/>
              </w:rPr>
              <w:t xml:space="preserve">Regulations and the </w:t>
            </w:r>
            <w:r>
              <w:rPr>
                <w:iCs/>
              </w:rPr>
              <w:t>NGR</w:t>
            </w:r>
            <w:r w:rsidR="00F80FA8">
              <w:rPr>
                <w:iCs/>
              </w:rPr>
              <w:t xml:space="preserve">, </w:t>
            </w:r>
            <w:r w:rsidRPr="00080E3B">
              <w:rPr>
                <w:iCs/>
              </w:rPr>
              <w:t>and</w:t>
            </w:r>
            <w:r>
              <w:rPr>
                <w:iCs/>
              </w:rPr>
              <w:t xml:space="preserve"> </w:t>
            </w:r>
            <w:r w:rsidR="00F80FA8">
              <w:rPr>
                <w:iCs/>
              </w:rPr>
              <w:t>the initial</w:t>
            </w:r>
            <w:r w:rsidR="00540EE4">
              <w:rPr>
                <w:iCs/>
              </w:rPr>
              <w:t xml:space="preserve"> </w:t>
            </w:r>
            <w:r>
              <w:rPr>
                <w:iCs/>
              </w:rPr>
              <w:t>Code</w:t>
            </w:r>
            <w:r w:rsidR="00F80FA8">
              <w:rPr>
                <w:iCs/>
              </w:rPr>
              <w:t xml:space="preserve"> will be made</w:t>
            </w:r>
            <w:r w:rsidR="0008789E">
              <w:rPr>
                <w:iCs/>
              </w:rPr>
              <w:t>.</w:t>
            </w:r>
          </w:p>
        </w:tc>
      </w:tr>
      <w:tr w:rsidR="006D613F" w:rsidTr="00937AB0">
        <w:trPr>
          <w:cnfStyle w:val="000000010000" w:firstRow="0" w:lastRow="0" w:firstColumn="0" w:lastColumn="0" w:oddVBand="0" w:evenVBand="0" w:oddHBand="0" w:evenHBand="1" w:firstRowFirstColumn="0" w:firstRowLastColumn="0" w:lastRowFirstColumn="0" w:lastRowLastColumn="0"/>
        </w:trPr>
        <w:tc>
          <w:tcPr>
            <w:tcW w:w="1701" w:type="dxa"/>
          </w:tcPr>
          <w:p w:rsidR="006D613F" w:rsidRDefault="006D613F" w:rsidP="00937AB0">
            <w:pPr>
              <w:pStyle w:val="BodyText"/>
              <w:keepNext/>
              <w:spacing w:before="20" w:after="20" w:line="240" w:lineRule="auto"/>
              <w:rPr>
                <w:iCs/>
              </w:rPr>
            </w:pPr>
            <w:r>
              <w:rPr>
                <w:iCs/>
              </w:rPr>
              <w:t>August – September 2018</w:t>
            </w:r>
          </w:p>
        </w:tc>
        <w:tc>
          <w:tcPr>
            <w:tcW w:w="1418" w:type="dxa"/>
          </w:tcPr>
          <w:p w:rsidR="006D613F" w:rsidRDefault="006D613F" w:rsidP="00937AB0">
            <w:pPr>
              <w:pStyle w:val="BodyText"/>
              <w:keepNext/>
              <w:spacing w:before="20" w:after="20" w:line="240" w:lineRule="auto"/>
              <w:rPr>
                <w:iCs/>
              </w:rPr>
            </w:pPr>
            <w:r>
              <w:rPr>
                <w:iCs/>
              </w:rPr>
              <w:t>AEMO</w:t>
            </w:r>
          </w:p>
        </w:tc>
        <w:tc>
          <w:tcPr>
            <w:tcW w:w="5670" w:type="dxa"/>
          </w:tcPr>
          <w:p w:rsidR="006D613F" w:rsidRDefault="00942051" w:rsidP="00937AB0">
            <w:pPr>
              <w:pStyle w:val="BodyText"/>
              <w:keepNext/>
              <w:spacing w:before="20" w:after="20" w:line="240" w:lineRule="auto"/>
              <w:ind w:right="136"/>
              <w:rPr>
                <w:iCs/>
              </w:rPr>
            </w:pPr>
            <w:r>
              <w:rPr>
                <w:iCs/>
              </w:rPr>
              <w:t>Formal c</w:t>
            </w:r>
            <w:r w:rsidR="006D613F">
              <w:rPr>
                <w:iCs/>
              </w:rPr>
              <w:t>onsultation on the Capacity Transfer and Auction Procedures</w:t>
            </w:r>
            <w:r w:rsidR="007F6490">
              <w:rPr>
                <w:iCs/>
              </w:rPr>
              <w:t>,</w:t>
            </w:r>
            <w:r w:rsidR="00336D45">
              <w:rPr>
                <w:iCs/>
              </w:rPr>
              <w:t xml:space="preserve"> </w:t>
            </w:r>
            <w:r w:rsidR="006D613F">
              <w:rPr>
                <w:iCs/>
              </w:rPr>
              <w:t>the Auction Agreement</w:t>
            </w:r>
            <w:r w:rsidR="007F6490">
              <w:rPr>
                <w:iCs/>
              </w:rPr>
              <w:t>,</w:t>
            </w:r>
            <w:r w:rsidR="00336D45">
              <w:rPr>
                <w:iCs/>
              </w:rPr>
              <w:t xml:space="preserve"> </w:t>
            </w:r>
            <w:r w:rsidR="006D613F">
              <w:rPr>
                <w:iCs/>
              </w:rPr>
              <w:t xml:space="preserve">changes to the Exchange Agreement and </w:t>
            </w:r>
            <w:r w:rsidR="00EE25BE">
              <w:rPr>
                <w:iCs/>
              </w:rPr>
              <w:t xml:space="preserve">some amendments to the </w:t>
            </w:r>
            <w:r w:rsidR="007F6490">
              <w:rPr>
                <w:iCs/>
              </w:rPr>
              <w:t xml:space="preserve">Bulletin Board </w:t>
            </w:r>
            <w:r w:rsidR="00EE25BE">
              <w:rPr>
                <w:iCs/>
              </w:rPr>
              <w:t xml:space="preserve">(BB) </w:t>
            </w:r>
            <w:r w:rsidR="00432617">
              <w:rPr>
                <w:iCs/>
              </w:rPr>
              <w:t>P</w:t>
            </w:r>
            <w:r w:rsidR="006D613F">
              <w:rPr>
                <w:iCs/>
              </w:rPr>
              <w:t>rocedures</w:t>
            </w:r>
            <w:r w:rsidR="0008789E">
              <w:rPr>
                <w:iCs/>
              </w:rPr>
              <w:t>.</w:t>
            </w:r>
          </w:p>
        </w:tc>
      </w:tr>
      <w:tr w:rsidR="007F6490" w:rsidTr="00937AB0">
        <w:tc>
          <w:tcPr>
            <w:tcW w:w="1701" w:type="dxa"/>
          </w:tcPr>
          <w:p w:rsidR="007F6490" w:rsidRDefault="007F6490" w:rsidP="00937AB0">
            <w:pPr>
              <w:pStyle w:val="BodyText"/>
              <w:keepNext/>
              <w:spacing w:before="20" w:after="20" w:line="240" w:lineRule="auto"/>
              <w:rPr>
                <w:iCs/>
              </w:rPr>
            </w:pPr>
            <w:r>
              <w:rPr>
                <w:iCs/>
              </w:rPr>
              <w:t xml:space="preserve">October </w:t>
            </w:r>
            <w:r w:rsidR="00432617">
              <w:rPr>
                <w:iCs/>
              </w:rPr>
              <w:t xml:space="preserve">– November </w:t>
            </w:r>
            <w:r>
              <w:rPr>
                <w:iCs/>
              </w:rPr>
              <w:t>2018</w:t>
            </w:r>
          </w:p>
        </w:tc>
        <w:tc>
          <w:tcPr>
            <w:tcW w:w="1418" w:type="dxa"/>
          </w:tcPr>
          <w:p w:rsidR="007F6490" w:rsidRDefault="007F6490" w:rsidP="00937AB0">
            <w:pPr>
              <w:pStyle w:val="BodyText"/>
              <w:keepNext/>
              <w:spacing w:before="20" w:after="20" w:line="240" w:lineRule="auto"/>
              <w:rPr>
                <w:iCs/>
              </w:rPr>
            </w:pPr>
            <w:r>
              <w:rPr>
                <w:iCs/>
              </w:rPr>
              <w:t>AEMO</w:t>
            </w:r>
          </w:p>
        </w:tc>
        <w:tc>
          <w:tcPr>
            <w:tcW w:w="5670" w:type="dxa"/>
          </w:tcPr>
          <w:p w:rsidR="007F6490" w:rsidRDefault="007F6490" w:rsidP="00937AB0">
            <w:pPr>
              <w:pStyle w:val="BodyText"/>
              <w:keepNext/>
              <w:spacing w:before="20" w:after="20" w:line="240" w:lineRule="auto"/>
              <w:ind w:right="136"/>
              <w:rPr>
                <w:iCs/>
              </w:rPr>
            </w:pPr>
            <w:r>
              <w:rPr>
                <w:iCs/>
              </w:rPr>
              <w:t xml:space="preserve">Formal consultation on amendments to the </w:t>
            </w:r>
            <w:r w:rsidR="00432617">
              <w:rPr>
                <w:iCs/>
              </w:rPr>
              <w:t>Short Term Trading Market (</w:t>
            </w:r>
            <w:r>
              <w:rPr>
                <w:iCs/>
              </w:rPr>
              <w:t>STTM</w:t>
            </w:r>
            <w:r w:rsidR="00432617">
              <w:rPr>
                <w:iCs/>
              </w:rPr>
              <w:t>)</w:t>
            </w:r>
            <w:r>
              <w:rPr>
                <w:iCs/>
              </w:rPr>
              <w:t xml:space="preserve"> and </w:t>
            </w:r>
            <w:r w:rsidR="00432617">
              <w:rPr>
                <w:iCs/>
              </w:rPr>
              <w:t>Declared Wholesale Gas Market (</w:t>
            </w:r>
            <w:r>
              <w:rPr>
                <w:iCs/>
              </w:rPr>
              <w:t>DWGM</w:t>
            </w:r>
            <w:r w:rsidR="00432617">
              <w:rPr>
                <w:iCs/>
              </w:rPr>
              <w:t>)</w:t>
            </w:r>
            <w:r>
              <w:rPr>
                <w:iCs/>
              </w:rPr>
              <w:t xml:space="preserve"> </w:t>
            </w:r>
            <w:r w:rsidR="00432617">
              <w:rPr>
                <w:iCs/>
              </w:rPr>
              <w:t>P</w:t>
            </w:r>
            <w:r>
              <w:rPr>
                <w:iCs/>
              </w:rPr>
              <w:t>rocedures</w:t>
            </w:r>
            <w:r w:rsidR="00EE25BE">
              <w:rPr>
                <w:iCs/>
              </w:rPr>
              <w:t xml:space="preserve"> and the remaining amendments to the BB </w:t>
            </w:r>
            <w:r w:rsidR="00432617">
              <w:rPr>
                <w:iCs/>
              </w:rPr>
              <w:t>P</w:t>
            </w:r>
            <w:r w:rsidR="00EE25BE">
              <w:rPr>
                <w:iCs/>
              </w:rPr>
              <w:t>rocedures</w:t>
            </w:r>
            <w:r>
              <w:rPr>
                <w:iCs/>
              </w:rPr>
              <w:t>.</w:t>
            </w:r>
          </w:p>
        </w:tc>
      </w:tr>
      <w:tr w:rsidR="006D613F" w:rsidTr="00937AB0">
        <w:trPr>
          <w:cnfStyle w:val="000000010000" w:firstRow="0" w:lastRow="0" w:firstColumn="0" w:lastColumn="0" w:oddVBand="0" w:evenVBand="0" w:oddHBand="0" w:evenHBand="1" w:firstRowFirstColumn="0" w:firstRowLastColumn="0" w:lastRowFirstColumn="0" w:lastRowLastColumn="0"/>
        </w:trPr>
        <w:tc>
          <w:tcPr>
            <w:tcW w:w="1701" w:type="dxa"/>
          </w:tcPr>
          <w:p w:rsidR="006D613F" w:rsidRDefault="007918B6" w:rsidP="00937AB0">
            <w:pPr>
              <w:pStyle w:val="BodyText"/>
              <w:keepNext/>
              <w:spacing w:before="20" w:after="20" w:line="240" w:lineRule="auto"/>
              <w:rPr>
                <w:iCs/>
              </w:rPr>
            </w:pPr>
            <w:r>
              <w:rPr>
                <w:iCs/>
              </w:rPr>
              <w:t xml:space="preserve">On or before </w:t>
            </w:r>
            <w:r w:rsidR="00E70870">
              <w:rPr>
                <w:iCs/>
              </w:rPr>
              <w:t>1 </w:t>
            </w:r>
            <w:r>
              <w:rPr>
                <w:iCs/>
              </w:rPr>
              <w:t xml:space="preserve">December </w:t>
            </w:r>
            <w:r w:rsidR="006D613F">
              <w:rPr>
                <w:iCs/>
              </w:rPr>
              <w:t>2018</w:t>
            </w:r>
          </w:p>
        </w:tc>
        <w:tc>
          <w:tcPr>
            <w:tcW w:w="1418" w:type="dxa"/>
          </w:tcPr>
          <w:p w:rsidR="006D613F" w:rsidRDefault="006D613F" w:rsidP="00937AB0">
            <w:pPr>
              <w:pStyle w:val="BodyText"/>
              <w:keepNext/>
              <w:spacing w:before="20" w:after="20" w:line="240" w:lineRule="auto"/>
              <w:rPr>
                <w:iCs/>
              </w:rPr>
            </w:pPr>
            <w:r>
              <w:rPr>
                <w:iCs/>
              </w:rPr>
              <w:t>AEMO</w:t>
            </w:r>
          </w:p>
        </w:tc>
        <w:tc>
          <w:tcPr>
            <w:tcW w:w="5670" w:type="dxa"/>
          </w:tcPr>
          <w:p w:rsidR="006D613F" w:rsidRPr="006D613F" w:rsidRDefault="00B47DEE" w:rsidP="00937AB0">
            <w:pPr>
              <w:pStyle w:val="BodyText"/>
              <w:keepNext/>
              <w:spacing w:before="20" w:after="20" w:line="240" w:lineRule="auto"/>
              <w:ind w:right="136"/>
              <w:rPr>
                <w:iCs/>
              </w:rPr>
            </w:pPr>
            <w:r>
              <w:rPr>
                <w:iCs/>
              </w:rPr>
              <w:t xml:space="preserve">AEMO </w:t>
            </w:r>
            <w:r w:rsidR="0042567A">
              <w:rPr>
                <w:iCs/>
              </w:rPr>
              <w:t xml:space="preserve">to </w:t>
            </w:r>
            <w:r>
              <w:rPr>
                <w:iCs/>
              </w:rPr>
              <w:t xml:space="preserve">make the </w:t>
            </w:r>
            <w:r w:rsidR="006D613F" w:rsidRPr="006D613F">
              <w:rPr>
                <w:iCs/>
              </w:rPr>
              <w:t>Capacity Transfer and Auction Procedures</w:t>
            </w:r>
            <w:r w:rsidR="0042567A">
              <w:rPr>
                <w:iCs/>
              </w:rPr>
              <w:t xml:space="preserve"> and </w:t>
            </w:r>
            <w:r w:rsidR="006D613F" w:rsidRPr="006D613F">
              <w:rPr>
                <w:iCs/>
              </w:rPr>
              <w:t>Auction Agreement</w:t>
            </w:r>
            <w:r w:rsidR="0042567A">
              <w:rPr>
                <w:iCs/>
              </w:rPr>
              <w:t xml:space="preserve"> and </w:t>
            </w:r>
            <w:r w:rsidR="00EE25BE">
              <w:rPr>
                <w:iCs/>
              </w:rPr>
              <w:t xml:space="preserve">amend </w:t>
            </w:r>
            <w:r w:rsidR="0042567A">
              <w:rPr>
                <w:iCs/>
              </w:rPr>
              <w:t xml:space="preserve">the </w:t>
            </w:r>
            <w:r w:rsidR="006D613F" w:rsidRPr="006D613F">
              <w:rPr>
                <w:iCs/>
              </w:rPr>
              <w:t xml:space="preserve">Exchange Agreement and other </w:t>
            </w:r>
            <w:r w:rsidR="0042567A">
              <w:rPr>
                <w:iCs/>
              </w:rPr>
              <w:t xml:space="preserve">AEMO-made </w:t>
            </w:r>
            <w:r w:rsidR="006D613F" w:rsidRPr="006D613F">
              <w:rPr>
                <w:iCs/>
              </w:rPr>
              <w:t>Procedures</w:t>
            </w:r>
            <w:r w:rsidR="00E568F2">
              <w:rPr>
                <w:iCs/>
              </w:rPr>
              <w:t xml:space="preserve">. AEMO to make determination on the zones to be used for the capacity trading platform and </w:t>
            </w:r>
            <w:r w:rsidR="000175C2">
              <w:rPr>
                <w:iCs/>
              </w:rPr>
              <w:t xml:space="preserve">day-ahead </w:t>
            </w:r>
            <w:r w:rsidR="00E568F2">
              <w:rPr>
                <w:iCs/>
              </w:rPr>
              <w:t>auction</w:t>
            </w:r>
            <w:r w:rsidR="0008789E">
              <w:rPr>
                <w:iCs/>
              </w:rPr>
              <w:t xml:space="preserve"> and publish the transportation service point register</w:t>
            </w:r>
            <w:r w:rsidR="00E568F2">
              <w:rPr>
                <w:iCs/>
              </w:rPr>
              <w:t xml:space="preserve">. </w:t>
            </w:r>
            <w:r w:rsidR="006D613F" w:rsidRPr="006D613F">
              <w:rPr>
                <w:iCs/>
              </w:rPr>
              <w:t xml:space="preserve"> </w:t>
            </w:r>
          </w:p>
        </w:tc>
      </w:tr>
      <w:tr w:rsidR="00A16D2E" w:rsidTr="00937AB0">
        <w:tc>
          <w:tcPr>
            <w:tcW w:w="1701" w:type="dxa"/>
          </w:tcPr>
          <w:p w:rsidR="00A16D2E" w:rsidRDefault="00A16D2E" w:rsidP="00937AB0">
            <w:pPr>
              <w:pStyle w:val="BodyText"/>
              <w:keepNext/>
              <w:spacing w:before="20" w:after="20" w:line="240" w:lineRule="auto"/>
              <w:rPr>
                <w:iCs/>
              </w:rPr>
            </w:pPr>
            <w:r>
              <w:rPr>
                <w:iCs/>
              </w:rPr>
              <w:t xml:space="preserve">On or before </w:t>
            </w:r>
            <w:r w:rsidR="00E70870">
              <w:rPr>
                <w:iCs/>
              </w:rPr>
              <w:t>1 </w:t>
            </w:r>
            <w:r>
              <w:rPr>
                <w:iCs/>
              </w:rPr>
              <w:t>December 2018</w:t>
            </w:r>
          </w:p>
        </w:tc>
        <w:tc>
          <w:tcPr>
            <w:tcW w:w="1418" w:type="dxa"/>
          </w:tcPr>
          <w:p w:rsidR="00A16D2E" w:rsidRDefault="00A16D2E" w:rsidP="00937AB0">
            <w:pPr>
              <w:pStyle w:val="BodyText"/>
              <w:keepNext/>
              <w:spacing w:before="20" w:after="20" w:line="240" w:lineRule="auto"/>
              <w:rPr>
                <w:iCs/>
              </w:rPr>
            </w:pPr>
            <w:r>
              <w:rPr>
                <w:iCs/>
              </w:rPr>
              <w:t>AER</w:t>
            </w:r>
          </w:p>
        </w:tc>
        <w:tc>
          <w:tcPr>
            <w:tcW w:w="5670" w:type="dxa"/>
          </w:tcPr>
          <w:p w:rsidR="00A16D2E" w:rsidRDefault="00A16D2E" w:rsidP="00937AB0">
            <w:pPr>
              <w:pStyle w:val="BodyText"/>
              <w:keepNext/>
              <w:spacing w:before="20" w:after="20" w:line="240" w:lineRule="auto"/>
              <w:ind w:right="136"/>
              <w:rPr>
                <w:iCs/>
              </w:rPr>
            </w:pPr>
            <w:r w:rsidRPr="00B24F58">
              <w:t xml:space="preserve">AER </w:t>
            </w:r>
            <w:r w:rsidR="00E568F2">
              <w:t xml:space="preserve">to </w:t>
            </w:r>
            <w:r w:rsidRPr="00B24F58">
              <w:t xml:space="preserve">publish initial guidelines </w:t>
            </w:r>
            <w:r w:rsidR="00E568F2">
              <w:t xml:space="preserve">on </w:t>
            </w:r>
            <w:r w:rsidR="0008789E">
              <w:t xml:space="preserve">the </w:t>
            </w:r>
            <w:r w:rsidRPr="00B24F58">
              <w:t xml:space="preserve">nomination and scheduling </w:t>
            </w:r>
            <w:r>
              <w:t>records</w:t>
            </w:r>
            <w:r w:rsidR="00AE55A3">
              <w:t xml:space="preserve"> to be kept by auction facilit</w:t>
            </w:r>
            <w:r w:rsidR="007909BF">
              <w:t>y operators</w:t>
            </w:r>
            <w:r>
              <w:t xml:space="preserve">, and </w:t>
            </w:r>
            <w:r w:rsidR="00AE55A3">
              <w:t xml:space="preserve">the </w:t>
            </w:r>
            <w:r>
              <w:t>renomination records</w:t>
            </w:r>
            <w:r w:rsidR="00AE55A3">
              <w:t xml:space="preserve"> to be kept by users of auction facilities</w:t>
            </w:r>
            <w:r w:rsidR="0008789E">
              <w:t>.</w:t>
            </w:r>
          </w:p>
        </w:tc>
      </w:tr>
      <w:tr w:rsidR="00091378" w:rsidTr="00937AB0">
        <w:trPr>
          <w:cnfStyle w:val="000000010000" w:firstRow="0" w:lastRow="0" w:firstColumn="0" w:lastColumn="0" w:oddVBand="0" w:evenVBand="0" w:oddHBand="0" w:evenHBand="1" w:firstRowFirstColumn="0" w:firstRowLastColumn="0" w:lastRowFirstColumn="0" w:lastRowLastColumn="0"/>
        </w:trPr>
        <w:tc>
          <w:tcPr>
            <w:tcW w:w="1701" w:type="dxa"/>
          </w:tcPr>
          <w:p w:rsidR="00091378" w:rsidRDefault="00091378" w:rsidP="00937AB0">
            <w:pPr>
              <w:pStyle w:val="BodyText"/>
              <w:keepNext/>
              <w:spacing w:before="20" w:after="20" w:line="240" w:lineRule="auto"/>
              <w:rPr>
                <w:iCs/>
              </w:rPr>
            </w:pPr>
            <w:r>
              <w:rPr>
                <w:iCs/>
              </w:rPr>
              <w:t>1 March 2019</w:t>
            </w:r>
          </w:p>
        </w:tc>
        <w:tc>
          <w:tcPr>
            <w:tcW w:w="1418" w:type="dxa"/>
          </w:tcPr>
          <w:p w:rsidR="00091378" w:rsidRDefault="00091378" w:rsidP="00937AB0">
            <w:pPr>
              <w:pStyle w:val="BodyText"/>
              <w:keepNext/>
              <w:spacing w:before="20" w:after="20" w:line="240" w:lineRule="auto"/>
              <w:rPr>
                <w:iCs/>
              </w:rPr>
            </w:pPr>
            <w:r>
              <w:rPr>
                <w:iCs/>
              </w:rPr>
              <w:t>AEMO</w:t>
            </w:r>
            <w:r w:rsidR="000608DD">
              <w:rPr>
                <w:iCs/>
              </w:rPr>
              <w:t xml:space="preserve"> and </w:t>
            </w:r>
            <w:r>
              <w:rPr>
                <w:iCs/>
              </w:rPr>
              <w:t>service providers</w:t>
            </w:r>
            <w:r w:rsidR="00FB4FDC">
              <w:rPr>
                <w:iCs/>
              </w:rPr>
              <w:t xml:space="preserve"> </w:t>
            </w:r>
          </w:p>
        </w:tc>
        <w:tc>
          <w:tcPr>
            <w:tcW w:w="5670" w:type="dxa"/>
          </w:tcPr>
          <w:p w:rsidR="00091378" w:rsidRPr="006D613F" w:rsidRDefault="00091378" w:rsidP="00937AB0">
            <w:pPr>
              <w:pStyle w:val="BodyText"/>
              <w:keepNext/>
              <w:spacing w:before="20" w:after="20" w:line="240" w:lineRule="auto"/>
              <w:ind w:right="136"/>
              <w:rPr>
                <w:iCs/>
              </w:rPr>
            </w:pPr>
            <w:r>
              <w:rPr>
                <w:iCs/>
              </w:rPr>
              <w:t>Capacity trading platform and day-ahead auction commence</w:t>
            </w:r>
            <w:r w:rsidR="0008789E">
              <w:rPr>
                <w:iCs/>
              </w:rPr>
              <w:t>.</w:t>
            </w:r>
          </w:p>
        </w:tc>
      </w:tr>
      <w:tr w:rsidR="006D613F" w:rsidTr="00937AB0">
        <w:tc>
          <w:tcPr>
            <w:tcW w:w="1701" w:type="dxa"/>
          </w:tcPr>
          <w:p w:rsidR="006D613F" w:rsidRDefault="006D613F" w:rsidP="007F6490">
            <w:pPr>
              <w:pStyle w:val="BodyText"/>
              <w:spacing w:before="20" w:after="20" w:line="240" w:lineRule="auto"/>
              <w:rPr>
                <w:iCs/>
              </w:rPr>
            </w:pPr>
            <w:r>
              <w:rPr>
                <w:iCs/>
              </w:rPr>
              <w:t>On or before 1 April 2019</w:t>
            </w:r>
          </w:p>
        </w:tc>
        <w:tc>
          <w:tcPr>
            <w:tcW w:w="1418" w:type="dxa"/>
          </w:tcPr>
          <w:p w:rsidR="006D613F" w:rsidRDefault="006D613F" w:rsidP="007F6490">
            <w:pPr>
              <w:pStyle w:val="BodyText"/>
              <w:spacing w:before="20" w:after="20" w:line="240" w:lineRule="auto"/>
              <w:rPr>
                <w:iCs/>
              </w:rPr>
            </w:pPr>
            <w:r>
              <w:rPr>
                <w:iCs/>
              </w:rPr>
              <w:t>AEMO</w:t>
            </w:r>
          </w:p>
        </w:tc>
        <w:tc>
          <w:tcPr>
            <w:tcW w:w="5670" w:type="dxa"/>
          </w:tcPr>
          <w:p w:rsidR="006D613F" w:rsidRPr="00333568" w:rsidRDefault="006D613F" w:rsidP="007F6490">
            <w:pPr>
              <w:pStyle w:val="BodyText"/>
              <w:spacing w:before="20" w:after="20" w:line="240" w:lineRule="auto"/>
              <w:ind w:right="136"/>
            </w:pPr>
            <w:r w:rsidRPr="006D613F">
              <w:rPr>
                <w:iCs/>
              </w:rPr>
              <w:t xml:space="preserve">AEMO to publish information on the arrangements for transition to the standard gas day in each </w:t>
            </w:r>
            <w:r w:rsidR="000175C2">
              <w:rPr>
                <w:iCs/>
              </w:rPr>
              <w:t xml:space="preserve">facilitated </w:t>
            </w:r>
            <w:r w:rsidRPr="006D613F">
              <w:rPr>
                <w:iCs/>
              </w:rPr>
              <w:t xml:space="preserve">gas market and update relevant </w:t>
            </w:r>
            <w:r w:rsidR="00432617">
              <w:rPr>
                <w:iCs/>
              </w:rPr>
              <w:t xml:space="preserve">AEMO-made </w:t>
            </w:r>
            <w:r w:rsidRPr="006D613F">
              <w:rPr>
                <w:iCs/>
              </w:rPr>
              <w:t>Procedures</w:t>
            </w:r>
            <w:r w:rsidR="0008789E">
              <w:rPr>
                <w:iCs/>
              </w:rPr>
              <w:t>.</w:t>
            </w:r>
          </w:p>
        </w:tc>
      </w:tr>
      <w:tr w:rsidR="00091378" w:rsidTr="00937AB0">
        <w:trPr>
          <w:cnfStyle w:val="000000010000" w:firstRow="0" w:lastRow="0" w:firstColumn="0" w:lastColumn="0" w:oddVBand="0" w:evenVBand="0" w:oddHBand="0" w:evenHBand="1" w:firstRowFirstColumn="0" w:firstRowLastColumn="0" w:lastRowFirstColumn="0" w:lastRowLastColumn="0"/>
        </w:trPr>
        <w:tc>
          <w:tcPr>
            <w:tcW w:w="1701" w:type="dxa"/>
          </w:tcPr>
          <w:p w:rsidR="00091378" w:rsidRDefault="00091378" w:rsidP="007F6490">
            <w:pPr>
              <w:pStyle w:val="BodyText"/>
              <w:spacing w:before="20" w:after="20" w:line="240" w:lineRule="auto"/>
              <w:rPr>
                <w:iCs/>
              </w:rPr>
            </w:pPr>
            <w:r>
              <w:rPr>
                <w:iCs/>
              </w:rPr>
              <w:t>1 October 2019</w:t>
            </w:r>
          </w:p>
        </w:tc>
        <w:tc>
          <w:tcPr>
            <w:tcW w:w="1418" w:type="dxa"/>
          </w:tcPr>
          <w:p w:rsidR="00091378" w:rsidRDefault="00091378" w:rsidP="007F6490">
            <w:pPr>
              <w:pStyle w:val="BodyText"/>
              <w:spacing w:before="20" w:after="20" w:line="240" w:lineRule="auto"/>
              <w:rPr>
                <w:iCs/>
              </w:rPr>
            </w:pPr>
            <w:r>
              <w:rPr>
                <w:iCs/>
              </w:rPr>
              <w:t>AEMO and facility operators</w:t>
            </w:r>
          </w:p>
        </w:tc>
        <w:tc>
          <w:tcPr>
            <w:tcW w:w="5670" w:type="dxa"/>
          </w:tcPr>
          <w:p w:rsidR="00091378" w:rsidRPr="006D613F" w:rsidRDefault="009878B8" w:rsidP="007F6490">
            <w:pPr>
              <w:pStyle w:val="BodyText"/>
              <w:spacing w:before="20" w:after="20" w:line="240" w:lineRule="auto"/>
              <w:ind w:right="136"/>
              <w:rPr>
                <w:iCs/>
              </w:rPr>
            </w:pPr>
            <w:r>
              <w:rPr>
                <w:iCs/>
              </w:rPr>
              <w:t xml:space="preserve">Standard market timetable </w:t>
            </w:r>
            <w:r w:rsidR="00091378">
              <w:rPr>
                <w:iCs/>
              </w:rPr>
              <w:t>commences</w:t>
            </w:r>
            <w:r w:rsidR="0008789E">
              <w:rPr>
                <w:iCs/>
              </w:rPr>
              <w:t>.</w:t>
            </w:r>
          </w:p>
        </w:tc>
      </w:tr>
      <w:tr w:rsidR="00782D54" w:rsidTr="00937AB0">
        <w:tc>
          <w:tcPr>
            <w:tcW w:w="1701" w:type="dxa"/>
          </w:tcPr>
          <w:p w:rsidR="00782D54" w:rsidRDefault="00782D54" w:rsidP="007F6490">
            <w:pPr>
              <w:pStyle w:val="BodyText"/>
              <w:spacing w:before="20" w:after="20" w:line="240" w:lineRule="auto"/>
              <w:rPr>
                <w:iCs/>
              </w:rPr>
            </w:pPr>
            <w:r>
              <w:rPr>
                <w:iCs/>
              </w:rPr>
              <w:t>1 March 2020</w:t>
            </w:r>
          </w:p>
        </w:tc>
        <w:tc>
          <w:tcPr>
            <w:tcW w:w="1418" w:type="dxa"/>
          </w:tcPr>
          <w:p w:rsidR="00782D54" w:rsidRDefault="00782D54" w:rsidP="007F6490">
            <w:pPr>
              <w:pStyle w:val="BodyText"/>
              <w:spacing w:before="20" w:after="20" w:line="240" w:lineRule="auto"/>
              <w:rPr>
                <w:iCs/>
              </w:rPr>
            </w:pPr>
            <w:r>
              <w:rPr>
                <w:iCs/>
              </w:rPr>
              <w:t>AER</w:t>
            </w:r>
          </w:p>
        </w:tc>
        <w:tc>
          <w:tcPr>
            <w:tcW w:w="5670" w:type="dxa"/>
          </w:tcPr>
          <w:p w:rsidR="00782D54" w:rsidRDefault="00782D54" w:rsidP="007F6490">
            <w:pPr>
              <w:pStyle w:val="BodyText"/>
              <w:spacing w:before="20" w:after="20" w:line="240" w:lineRule="auto"/>
              <w:ind w:right="136"/>
              <w:rPr>
                <w:iCs/>
              </w:rPr>
            </w:pPr>
            <w:r>
              <w:rPr>
                <w:iCs/>
              </w:rPr>
              <w:t xml:space="preserve">AER to complete its review of </w:t>
            </w:r>
            <w:r w:rsidR="00F632FE">
              <w:rPr>
                <w:iCs/>
              </w:rPr>
              <w:t xml:space="preserve">service providers’ </w:t>
            </w:r>
            <w:r>
              <w:rPr>
                <w:iCs/>
              </w:rPr>
              <w:t xml:space="preserve">standard OTSAs and standardisation </w:t>
            </w:r>
            <w:r w:rsidR="00F632FE">
              <w:rPr>
                <w:iCs/>
              </w:rPr>
              <w:t xml:space="preserve">costs and </w:t>
            </w:r>
            <w:r>
              <w:rPr>
                <w:iCs/>
              </w:rPr>
              <w:t>charges</w:t>
            </w:r>
            <w:r w:rsidR="00435B02">
              <w:rPr>
                <w:iCs/>
              </w:rPr>
              <w:t>.</w:t>
            </w:r>
          </w:p>
        </w:tc>
      </w:tr>
      <w:tr w:rsidR="00782D54" w:rsidTr="00937AB0">
        <w:trPr>
          <w:cnfStyle w:val="000000010000" w:firstRow="0" w:lastRow="0" w:firstColumn="0" w:lastColumn="0" w:oddVBand="0" w:evenVBand="0" w:oddHBand="0" w:evenHBand="1" w:firstRowFirstColumn="0" w:firstRowLastColumn="0" w:lastRowFirstColumn="0" w:lastRowLastColumn="0"/>
        </w:trPr>
        <w:tc>
          <w:tcPr>
            <w:tcW w:w="1701" w:type="dxa"/>
          </w:tcPr>
          <w:p w:rsidR="00782D54" w:rsidRDefault="00F632FE" w:rsidP="007F6490">
            <w:pPr>
              <w:pStyle w:val="BodyText"/>
              <w:spacing w:before="20" w:after="20" w:line="240" w:lineRule="auto"/>
              <w:rPr>
                <w:iCs/>
              </w:rPr>
            </w:pPr>
            <w:r>
              <w:rPr>
                <w:iCs/>
              </w:rPr>
              <w:t>July 2020</w:t>
            </w:r>
          </w:p>
        </w:tc>
        <w:tc>
          <w:tcPr>
            <w:tcW w:w="1418" w:type="dxa"/>
          </w:tcPr>
          <w:p w:rsidR="00782D54" w:rsidRDefault="008B2E8E" w:rsidP="007F6490">
            <w:pPr>
              <w:pStyle w:val="BodyText"/>
              <w:spacing w:before="20" w:after="20" w:line="240" w:lineRule="auto"/>
              <w:rPr>
                <w:iCs/>
              </w:rPr>
            </w:pPr>
            <w:r>
              <w:rPr>
                <w:iCs/>
              </w:rPr>
              <w:t>AEMC</w:t>
            </w:r>
          </w:p>
        </w:tc>
        <w:tc>
          <w:tcPr>
            <w:tcW w:w="5670" w:type="dxa"/>
          </w:tcPr>
          <w:p w:rsidR="00782D54" w:rsidRDefault="00F632FE" w:rsidP="007F6490">
            <w:pPr>
              <w:pStyle w:val="BodyText"/>
              <w:spacing w:before="20" w:after="20" w:line="240" w:lineRule="auto"/>
              <w:ind w:right="136"/>
              <w:rPr>
                <w:iCs/>
              </w:rPr>
            </w:pPr>
            <w:r>
              <w:rPr>
                <w:iCs/>
              </w:rPr>
              <w:t>AEMC to complete its second biennial review into liquidity in wholesale gas and pipeline trading markets</w:t>
            </w:r>
            <w:r w:rsidR="0008789E">
              <w:rPr>
                <w:iCs/>
              </w:rPr>
              <w:t>.</w:t>
            </w:r>
          </w:p>
        </w:tc>
      </w:tr>
    </w:tbl>
    <w:p w:rsidR="00E63865" w:rsidRDefault="00E63865" w:rsidP="00E63865">
      <w:pPr>
        <w:pStyle w:val="BodyText"/>
      </w:pPr>
      <w:bookmarkStart w:id="9" w:name="_Ref509117102"/>
      <w:bookmarkStart w:id="10" w:name="_Hlk516416723"/>
    </w:p>
    <w:p w:rsidR="009403A4" w:rsidRPr="00B901E1" w:rsidRDefault="009403A4" w:rsidP="00E63865">
      <w:pPr>
        <w:pStyle w:val="Caption"/>
        <w:keepLines w:val="0"/>
        <w:spacing w:before="0" w:after="0"/>
        <w:rPr>
          <w:rFonts w:ascii="Arial" w:hAnsi="Arial" w:cs="Arial"/>
        </w:rPr>
      </w:pPr>
      <w:r w:rsidRPr="00C37D44">
        <w:rPr>
          <w:rFonts w:ascii="Arial" w:hAnsi="Arial" w:cs="Arial"/>
        </w:rPr>
        <w:lastRenderedPageBreak/>
        <w:t>Table</w:t>
      </w:r>
      <w:bookmarkEnd w:id="9"/>
      <w:r w:rsidRPr="00C37D44">
        <w:rPr>
          <w:rFonts w:ascii="Arial" w:hAnsi="Arial" w:cs="Arial"/>
        </w:rPr>
        <w:t xml:space="preserve"> 2: Key timings for existing transportation facilities and allocation agents (</w:t>
      </w:r>
      <w:r w:rsidR="00ED04AE">
        <w:rPr>
          <w:rFonts w:ascii="Arial" w:hAnsi="Arial" w:cs="Arial"/>
        </w:rPr>
        <w:t>excluding facilities located wholly or partly in the NT</w:t>
      </w:r>
      <w:r w:rsidRPr="00C37D44">
        <w:rPr>
          <w:rFonts w:ascii="Arial" w:hAnsi="Arial" w:cs="Arial"/>
        </w:rPr>
        <w:t>)</w:t>
      </w:r>
    </w:p>
    <w:tbl>
      <w:tblPr>
        <w:tblStyle w:val="TableGrid"/>
        <w:tblW w:w="5162" w:type="pct"/>
        <w:tblLook w:val="04A0" w:firstRow="1" w:lastRow="0" w:firstColumn="1" w:lastColumn="0" w:noHBand="0" w:noVBand="1"/>
        <w:tblCaption w:val="Table 9.1: Commencement of key reform measures"/>
        <w:tblDescription w:val="Table outlining timing for commencement of key reform measures"/>
      </w:tblPr>
      <w:tblGrid>
        <w:gridCol w:w="1701"/>
        <w:gridCol w:w="7371"/>
      </w:tblGrid>
      <w:tr w:rsidR="009403A4" w:rsidRPr="00B901E1" w:rsidTr="00B74F4D">
        <w:trPr>
          <w:cnfStyle w:val="100000000000" w:firstRow="1" w:lastRow="0" w:firstColumn="0" w:lastColumn="0" w:oddVBand="0" w:evenVBand="0" w:oddHBand="0" w:evenHBand="0" w:firstRowFirstColumn="0" w:firstRowLastColumn="0" w:lastRowFirstColumn="0" w:lastRowLastColumn="0"/>
          <w:tblHeader/>
        </w:trPr>
        <w:tc>
          <w:tcPr>
            <w:tcW w:w="1701" w:type="dxa"/>
            <w:shd w:val="clear" w:color="auto" w:fill="0099CC"/>
          </w:tcPr>
          <w:p w:rsidR="009403A4" w:rsidRPr="00B901E1" w:rsidRDefault="009403A4" w:rsidP="00E63865">
            <w:pPr>
              <w:pStyle w:val="TableBodyText"/>
              <w:keepNext/>
              <w:spacing w:before="20" w:after="20" w:line="252" w:lineRule="auto"/>
              <w:rPr>
                <w:rFonts w:ascii="Arial" w:hAnsi="Arial"/>
                <w:b w:val="0"/>
                <w:szCs w:val="18"/>
              </w:rPr>
            </w:pPr>
            <w:bookmarkStart w:id="11" w:name="_Hlk516304708"/>
            <w:r w:rsidRPr="00B901E1">
              <w:rPr>
                <w:rFonts w:ascii="Arial" w:hAnsi="Arial"/>
                <w:szCs w:val="18"/>
              </w:rPr>
              <w:t>Date</w:t>
            </w:r>
          </w:p>
        </w:tc>
        <w:tc>
          <w:tcPr>
            <w:tcW w:w="7371" w:type="dxa"/>
            <w:shd w:val="clear" w:color="auto" w:fill="0099CC"/>
          </w:tcPr>
          <w:p w:rsidR="009403A4" w:rsidRPr="00B901E1" w:rsidRDefault="009403A4" w:rsidP="00E63865">
            <w:pPr>
              <w:pStyle w:val="TableBodyText"/>
              <w:keepNext/>
              <w:spacing w:before="20" w:after="20" w:line="252" w:lineRule="auto"/>
              <w:rPr>
                <w:rFonts w:ascii="Arial" w:hAnsi="Arial"/>
                <w:b w:val="0"/>
                <w:szCs w:val="18"/>
              </w:rPr>
            </w:pPr>
            <w:r w:rsidRPr="00B901E1">
              <w:rPr>
                <w:rFonts w:ascii="Arial" w:hAnsi="Arial"/>
                <w:szCs w:val="18"/>
              </w:rPr>
              <w:t>Activity</w:t>
            </w:r>
          </w:p>
        </w:tc>
      </w:tr>
      <w:tr w:rsidR="00536921" w:rsidRPr="00B901E1" w:rsidTr="00B74F4D">
        <w:trPr>
          <w:trHeight w:val="458"/>
        </w:trPr>
        <w:tc>
          <w:tcPr>
            <w:tcW w:w="1701" w:type="dxa"/>
            <w:vMerge w:val="restart"/>
            <w:shd w:val="clear" w:color="auto" w:fill="E1E2E7" w:themeFill="background2"/>
          </w:tcPr>
          <w:p w:rsidR="00536921" w:rsidRPr="00B901E1" w:rsidRDefault="00536921" w:rsidP="00E63865">
            <w:pPr>
              <w:pStyle w:val="TableBodyText"/>
              <w:keepNext/>
              <w:spacing w:before="20" w:after="20" w:line="252" w:lineRule="auto"/>
              <w:rPr>
                <w:rFonts w:ascii="Arial" w:hAnsi="Arial"/>
                <w:szCs w:val="18"/>
              </w:rPr>
            </w:pPr>
            <w:r w:rsidRPr="00B901E1">
              <w:rPr>
                <w:rFonts w:ascii="Arial" w:hAnsi="Arial"/>
                <w:szCs w:val="18"/>
              </w:rPr>
              <w:t>Rules start date on or before 1</w:t>
            </w:r>
            <w:r w:rsidR="0008789E">
              <w:rPr>
                <w:rFonts w:ascii="Arial" w:hAnsi="Arial"/>
                <w:szCs w:val="18"/>
              </w:rPr>
              <w:t> </w:t>
            </w:r>
            <w:r w:rsidRPr="00B901E1">
              <w:rPr>
                <w:rFonts w:ascii="Arial" w:hAnsi="Arial"/>
                <w:szCs w:val="18"/>
              </w:rPr>
              <w:t>December 2018</w:t>
            </w:r>
          </w:p>
        </w:tc>
        <w:tc>
          <w:tcPr>
            <w:tcW w:w="7371" w:type="dxa"/>
            <w:tcBorders>
              <w:bottom w:val="single" w:sz="4" w:space="0" w:color="auto"/>
            </w:tcBorders>
            <w:shd w:val="clear" w:color="auto" w:fill="E1E2E7" w:themeFill="background2"/>
          </w:tcPr>
          <w:p w:rsidR="00536921" w:rsidRPr="00B901E1" w:rsidRDefault="004460A8" w:rsidP="00E63865">
            <w:pPr>
              <w:keepNext/>
              <w:spacing w:before="20" w:after="20" w:line="252" w:lineRule="auto"/>
              <w:rPr>
                <w:rFonts w:ascii="Arial" w:hAnsi="Arial" w:cs="Arial"/>
                <w:szCs w:val="18"/>
              </w:rPr>
            </w:pPr>
            <w:r>
              <w:rPr>
                <w:rFonts w:ascii="Arial" w:hAnsi="Arial" w:cs="Arial"/>
                <w:szCs w:val="18"/>
              </w:rPr>
              <w:t>A t</w:t>
            </w:r>
            <w:r w:rsidR="00536921">
              <w:rPr>
                <w:rFonts w:ascii="Arial" w:hAnsi="Arial" w:cs="Arial"/>
                <w:szCs w:val="18"/>
              </w:rPr>
              <w:t>ransportation facilit</w:t>
            </w:r>
            <w:r>
              <w:rPr>
                <w:rFonts w:ascii="Arial" w:hAnsi="Arial" w:cs="Arial"/>
                <w:szCs w:val="18"/>
              </w:rPr>
              <w:t xml:space="preserve">y commissioned on or before </w:t>
            </w:r>
            <w:r w:rsidR="00536921">
              <w:rPr>
                <w:rFonts w:ascii="Arial" w:hAnsi="Arial" w:cs="Arial"/>
                <w:szCs w:val="18"/>
              </w:rPr>
              <w:t xml:space="preserve">this date </w:t>
            </w:r>
            <w:r>
              <w:rPr>
                <w:rFonts w:ascii="Arial" w:hAnsi="Arial" w:cs="Arial"/>
                <w:szCs w:val="18"/>
              </w:rPr>
              <w:t xml:space="preserve">is </w:t>
            </w:r>
            <w:r w:rsidR="00536921" w:rsidRPr="00B901E1">
              <w:rPr>
                <w:rFonts w:ascii="Arial" w:hAnsi="Arial" w:cs="Arial"/>
                <w:szCs w:val="18"/>
              </w:rPr>
              <w:t xml:space="preserve">an </w:t>
            </w:r>
            <w:r w:rsidR="00536921">
              <w:rPr>
                <w:rFonts w:ascii="Arial" w:hAnsi="Arial" w:cs="Arial"/>
                <w:szCs w:val="18"/>
              </w:rPr>
              <w:t xml:space="preserve">“existing transportation </w:t>
            </w:r>
            <w:r w:rsidR="00536921" w:rsidRPr="00B901E1">
              <w:rPr>
                <w:rFonts w:ascii="Arial" w:hAnsi="Arial" w:cs="Arial"/>
                <w:szCs w:val="18"/>
              </w:rPr>
              <w:t>facility</w:t>
            </w:r>
            <w:r w:rsidR="00536921">
              <w:rPr>
                <w:rFonts w:ascii="Arial" w:hAnsi="Arial" w:cs="Arial"/>
                <w:szCs w:val="18"/>
              </w:rPr>
              <w:t xml:space="preserve">” for the purposes of the </w:t>
            </w:r>
            <w:r>
              <w:rPr>
                <w:rFonts w:ascii="Arial" w:hAnsi="Arial" w:cs="Arial"/>
                <w:szCs w:val="18"/>
              </w:rPr>
              <w:t xml:space="preserve">transitional arrangements in the </w:t>
            </w:r>
            <w:r w:rsidR="00536921">
              <w:rPr>
                <w:rFonts w:ascii="Arial" w:hAnsi="Arial" w:cs="Arial"/>
                <w:szCs w:val="18"/>
              </w:rPr>
              <w:t>NGR</w:t>
            </w:r>
            <w:r w:rsidR="0008789E">
              <w:rPr>
                <w:rFonts w:ascii="Arial" w:hAnsi="Arial" w:cs="Arial"/>
                <w:szCs w:val="18"/>
              </w:rPr>
              <w:t>.</w:t>
            </w:r>
            <w:r w:rsidR="00536921" w:rsidDel="004865D6">
              <w:rPr>
                <w:rFonts w:ascii="Arial" w:hAnsi="Arial" w:cs="Arial"/>
                <w:szCs w:val="18"/>
              </w:rPr>
              <w:t xml:space="preserve"> </w:t>
            </w:r>
          </w:p>
        </w:tc>
      </w:tr>
      <w:tr w:rsidR="00536921" w:rsidRPr="00B901E1" w:rsidTr="00B74F4D">
        <w:trPr>
          <w:cnfStyle w:val="000000010000" w:firstRow="0" w:lastRow="0" w:firstColumn="0" w:lastColumn="0" w:oddVBand="0" w:evenVBand="0" w:oddHBand="0" w:evenHBand="1" w:firstRowFirstColumn="0" w:firstRowLastColumn="0" w:lastRowFirstColumn="0" w:lastRowLastColumn="0"/>
          <w:trHeight w:val="457"/>
        </w:trPr>
        <w:tc>
          <w:tcPr>
            <w:tcW w:w="1701" w:type="dxa"/>
            <w:vMerge/>
          </w:tcPr>
          <w:p w:rsidR="00536921" w:rsidRPr="00B901E1" w:rsidRDefault="00536921" w:rsidP="00E63865">
            <w:pPr>
              <w:pStyle w:val="TableBodyText"/>
              <w:keepNext/>
              <w:spacing w:before="20" w:after="20" w:line="252" w:lineRule="auto"/>
              <w:rPr>
                <w:rFonts w:ascii="Arial" w:hAnsi="Arial"/>
                <w:szCs w:val="18"/>
              </w:rPr>
            </w:pPr>
          </w:p>
        </w:tc>
        <w:tc>
          <w:tcPr>
            <w:tcW w:w="7371" w:type="dxa"/>
          </w:tcPr>
          <w:p w:rsidR="00536921" w:rsidRPr="00B901E1" w:rsidRDefault="004460A8" w:rsidP="00E63865">
            <w:pPr>
              <w:keepNext/>
              <w:spacing w:before="20" w:after="20" w:line="252" w:lineRule="auto"/>
              <w:rPr>
                <w:rFonts w:ascii="Arial" w:hAnsi="Arial" w:cs="Arial"/>
                <w:szCs w:val="18"/>
              </w:rPr>
            </w:pPr>
            <w:r>
              <w:rPr>
                <w:rFonts w:ascii="Arial" w:hAnsi="Arial" w:cs="Arial"/>
                <w:szCs w:val="18"/>
              </w:rPr>
              <w:t xml:space="preserve">A system injection point or system withdrawal point in the </w:t>
            </w:r>
            <w:r w:rsidR="00B74F4D">
              <w:rPr>
                <w:rFonts w:ascii="Arial" w:hAnsi="Arial" w:cs="Arial"/>
                <w:szCs w:val="18"/>
              </w:rPr>
              <w:t xml:space="preserve">DTS </w:t>
            </w:r>
            <w:r>
              <w:rPr>
                <w:rFonts w:ascii="Arial" w:hAnsi="Arial" w:cs="Arial"/>
                <w:szCs w:val="18"/>
              </w:rPr>
              <w:t xml:space="preserve">that meets the relevant </w:t>
            </w:r>
            <w:r w:rsidR="00536921">
              <w:rPr>
                <w:rFonts w:ascii="Arial" w:hAnsi="Arial" w:cs="Arial"/>
                <w:szCs w:val="18"/>
              </w:rPr>
              <w:t xml:space="preserve">criteria in the NGR </w:t>
            </w:r>
            <w:r>
              <w:rPr>
                <w:rFonts w:ascii="Arial" w:hAnsi="Arial" w:cs="Arial"/>
                <w:szCs w:val="18"/>
              </w:rPr>
              <w:t xml:space="preserve">becomes an </w:t>
            </w:r>
            <w:r w:rsidR="00536921">
              <w:rPr>
                <w:rFonts w:ascii="Arial" w:hAnsi="Arial" w:cs="Arial"/>
                <w:szCs w:val="18"/>
              </w:rPr>
              <w:t xml:space="preserve">“existing </w:t>
            </w:r>
            <w:r w:rsidR="00ED04AE">
              <w:rPr>
                <w:rFonts w:ascii="Arial" w:hAnsi="Arial" w:cs="Arial"/>
                <w:szCs w:val="18"/>
              </w:rPr>
              <w:t xml:space="preserve">BB </w:t>
            </w:r>
            <w:r w:rsidR="00536921" w:rsidRPr="00B901E1">
              <w:rPr>
                <w:rFonts w:ascii="Arial" w:hAnsi="Arial" w:cs="Arial"/>
                <w:szCs w:val="18"/>
              </w:rPr>
              <w:t xml:space="preserve">allocation </w:t>
            </w:r>
            <w:r w:rsidR="00536921">
              <w:rPr>
                <w:rFonts w:ascii="Arial" w:hAnsi="Arial" w:cs="Arial"/>
                <w:szCs w:val="18"/>
              </w:rPr>
              <w:t xml:space="preserve">point” and </w:t>
            </w:r>
            <w:r>
              <w:rPr>
                <w:rFonts w:ascii="Arial" w:hAnsi="Arial" w:cs="Arial"/>
                <w:szCs w:val="18"/>
              </w:rPr>
              <w:t xml:space="preserve">the agent responsible for the point becomes an </w:t>
            </w:r>
            <w:r w:rsidR="00536921">
              <w:rPr>
                <w:rFonts w:ascii="Arial" w:hAnsi="Arial" w:cs="Arial"/>
                <w:szCs w:val="18"/>
              </w:rPr>
              <w:t xml:space="preserve">“existing </w:t>
            </w:r>
            <w:r w:rsidR="00ED04AE">
              <w:rPr>
                <w:rFonts w:ascii="Arial" w:hAnsi="Arial" w:cs="Arial"/>
                <w:szCs w:val="18"/>
              </w:rPr>
              <w:t xml:space="preserve">BB </w:t>
            </w:r>
            <w:r w:rsidR="00536921" w:rsidRPr="00B901E1">
              <w:rPr>
                <w:rFonts w:ascii="Arial" w:hAnsi="Arial" w:cs="Arial"/>
                <w:szCs w:val="18"/>
              </w:rPr>
              <w:t xml:space="preserve">allocation </w:t>
            </w:r>
            <w:r w:rsidR="00536921">
              <w:rPr>
                <w:rFonts w:ascii="Arial" w:hAnsi="Arial" w:cs="Arial"/>
                <w:szCs w:val="18"/>
              </w:rPr>
              <w:t xml:space="preserve">agent” for the purposes of the </w:t>
            </w:r>
            <w:r>
              <w:rPr>
                <w:rFonts w:ascii="Arial" w:hAnsi="Arial" w:cs="Arial"/>
                <w:szCs w:val="18"/>
              </w:rPr>
              <w:t xml:space="preserve">transitional arrangements in the </w:t>
            </w:r>
            <w:r w:rsidR="00536921">
              <w:rPr>
                <w:rFonts w:ascii="Arial" w:hAnsi="Arial" w:cs="Arial"/>
                <w:szCs w:val="18"/>
              </w:rPr>
              <w:t>NGR</w:t>
            </w:r>
            <w:r w:rsidR="0008789E">
              <w:rPr>
                <w:rFonts w:ascii="Arial" w:hAnsi="Arial" w:cs="Arial"/>
                <w:szCs w:val="18"/>
              </w:rPr>
              <w:t>.</w:t>
            </w:r>
          </w:p>
        </w:tc>
      </w:tr>
      <w:tr w:rsidR="00536921" w:rsidRPr="00B901E1" w:rsidTr="00B74F4D">
        <w:trPr>
          <w:trHeight w:val="457"/>
        </w:trPr>
        <w:tc>
          <w:tcPr>
            <w:tcW w:w="1701" w:type="dxa"/>
            <w:vMerge/>
          </w:tcPr>
          <w:p w:rsidR="00536921" w:rsidRPr="00B901E1" w:rsidRDefault="00536921" w:rsidP="00E63865">
            <w:pPr>
              <w:pStyle w:val="TableBodyText"/>
              <w:keepNext/>
              <w:spacing w:before="20" w:after="20" w:line="252" w:lineRule="auto"/>
              <w:rPr>
                <w:rFonts w:ascii="Arial" w:hAnsi="Arial"/>
                <w:szCs w:val="18"/>
              </w:rPr>
            </w:pPr>
          </w:p>
        </w:tc>
        <w:tc>
          <w:tcPr>
            <w:tcW w:w="7371" w:type="dxa"/>
            <w:shd w:val="clear" w:color="auto" w:fill="E1E2E7" w:themeFill="background2"/>
          </w:tcPr>
          <w:p w:rsidR="00536921" w:rsidRDefault="00536921" w:rsidP="00E63865">
            <w:pPr>
              <w:keepNext/>
              <w:spacing w:before="20" w:after="20" w:line="252" w:lineRule="auto"/>
              <w:rPr>
                <w:rFonts w:ascii="Arial" w:hAnsi="Arial" w:cs="Arial"/>
                <w:szCs w:val="18"/>
              </w:rPr>
            </w:pPr>
            <w:r>
              <w:rPr>
                <w:rFonts w:ascii="Arial" w:hAnsi="Arial" w:cs="Arial"/>
                <w:szCs w:val="18"/>
              </w:rPr>
              <w:t xml:space="preserve">Shippers can seek amendments to facility agreements if required to enable capacity trading to occur and can also use </w:t>
            </w:r>
            <w:r w:rsidR="0008789E">
              <w:rPr>
                <w:rFonts w:ascii="Arial" w:hAnsi="Arial" w:cs="Arial"/>
                <w:szCs w:val="18"/>
              </w:rPr>
              <w:t xml:space="preserve">the </w:t>
            </w:r>
            <w:r>
              <w:rPr>
                <w:rFonts w:ascii="Arial" w:hAnsi="Arial" w:cs="Arial"/>
                <w:szCs w:val="18"/>
              </w:rPr>
              <w:t xml:space="preserve">new framework </w:t>
            </w:r>
            <w:r w:rsidR="0008789E">
              <w:rPr>
                <w:rFonts w:ascii="Arial" w:hAnsi="Arial" w:cs="Arial"/>
                <w:szCs w:val="18"/>
              </w:rPr>
              <w:t xml:space="preserve">in the NGR </w:t>
            </w:r>
            <w:r>
              <w:rPr>
                <w:rFonts w:ascii="Arial" w:hAnsi="Arial" w:cs="Arial"/>
                <w:szCs w:val="18"/>
              </w:rPr>
              <w:t>to request changes to receipt and delivery points</w:t>
            </w:r>
            <w:r w:rsidR="0008789E">
              <w:rPr>
                <w:rFonts w:ascii="Arial" w:hAnsi="Arial" w:cs="Arial"/>
                <w:szCs w:val="18"/>
              </w:rPr>
              <w:t>.</w:t>
            </w:r>
          </w:p>
        </w:tc>
      </w:tr>
      <w:tr w:rsidR="009403A4" w:rsidRPr="00B901E1" w:rsidTr="00B74F4D">
        <w:trPr>
          <w:cnfStyle w:val="000000010000" w:firstRow="0" w:lastRow="0" w:firstColumn="0" w:lastColumn="0" w:oddVBand="0" w:evenVBand="0" w:oddHBand="0" w:evenHBand="1" w:firstRowFirstColumn="0" w:firstRowLastColumn="0" w:lastRowFirstColumn="0" w:lastRowLastColumn="0"/>
          <w:trHeight w:val="156"/>
        </w:trPr>
        <w:tc>
          <w:tcPr>
            <w:tcW w:w="1701" w:type="dxa"/>
            <w:vMerge w:val="restart"/>
            <w:shd w:val="clear" w:color="auto" w:fill="auto"/>
          </w:tcPr>
          <w:p w:rsidR="009403A4" w:rsidRPr="00B901E1" w:rsidRDefault="009403A4" w:rsidP="00E63865">
            <w:pPr>
              <w:pStyle w:val="TableBodyText"/>
              <w:keepNext/>
              <w:spacing w:before="20" w:after="20" w:line="252" w:lineRule="auto"/>
              <w:rPr>
                <w:rFonts w:ascii="Arial" w:hAnsi="Arial"/>
                <w:szCs w:val="18"/>
              </w:rPr>
            </w:pPr>
            <w:r w:rsidRPr="00B901E1">
              <w:rPr>
                <w:rFonts w:ascii="Arial" w:hAnsi="Arial"/>
                <w:szCs w:val="18"/>
              </w:rPr>
              <w:t>Rules start date + 20 business days</w:t>
            </w:r>
          </w:p>
        </w:tc>
        <w:tc>
          <w:tcPr>
            <w:tcW w:w="7371" w:type="dxa"/>
            <w:shd w:val="clear" w:color="auto" w:fill="auto"/>
          </w:tcPr>
          <w:p w:rsidR="009403A4" w:rsidRPr="00B901E1" w:rsidRDefault="009403A4" w:rsidP="00E63865">
            <w:pPr>
              <w:keepNext/>
              <w:spacing w:before="20" w:after="20" w:line="252" w:lineRule="auto"/>
              <w:rPr>
                <w:rFonts w:ascii="Arial" w:hAnsi="Arial" w:cs="Arial"/>
                <w:szCs w:val="18"/>
              </w:rPr>
            </w:pPr>
            <w:r w:rsidRPr="00B901E1">
              <w:rPr>
                <w:rFonts w:ascii="Arial" w:hAnsi="Arial" w:cs="Arial"/>
                <w:szCs w:val="18"/>
              </w:rPr>
              <w:t>Last date for the transportation service provider for a</w:t>
            </w:r>
            <w:r>
              <w:rPr>
                <w:rFonts w:ascii="Arial" w:hAnsi="Arial" w:cs="Arial"/>
                <w:szCs w:val="18"/>
              </w:rPr>
              <w:t xml:space="preserve">n existing transportation </w:t>
            </w:r>
            <w:r w:rsidRPr="00B901E1">
              <w:rPr>
                <w:rFonts w:ascii="Arial" w:hAnsi="Arial" w:cs="Arial"/>
                <w:szCs w:val="18"/>
              </w:rPr>
              <w:t xml:space="preserve">facility (if not the subject of </w:t>
            </w:r>
            <w:r w:rsidR="00004E54">
              <w:rPr>
                <w:rFonts w:ascii="Arial" w:hAnsi="Arial" w:cs="Arial"/>
                <w:szCs w:val="18"/>
              </w:rPr>
              <w:t xml:space="preserve">an automatic exemption </w:t>
            </w:r>
            <w:r w:rsidR="008A4CED">
              <w:rPr>
                <w:rFonts w:ascii="Arial" w:hAnsi="Arial" w:cs="Arial"/>
                <w:szCs w:val="18"/>
              </w:rPr>
              <w:t xml:space="preserve">or </w:t>
            </w:r>
            <w:r w:rsidRPr="00B901E1">
              <w:rPr>
                <w:rFonts w:ascii="Arial" w:hAnsi="Arial" w:cs="Arial"/>
                <w:szCs w:val="18"/>
              </w:rPr>
              <w:t>a transitional exemption</w:t>
            </w:r>
            <w:r w:rsidR="00622F73">
              <w:rPr>
                <w:rFonts w:ascii="Arial" w:hAnsi="Arial" w:cs="Arial"/>
                <w:szCs w:val="18"/>
              </w:rPr>
              <w:t xml:space="preserve"> granted by the AER</w:t>
            </w:r>
            <w:r w:rsidRPr="00B901E1">
              <w:rPr>
                <w:rFonts w:ascii="Arial" w:hAnsi="Arial" w:cs="Arial"/>
                <w:szCs w:val="18"/>
              </w:rPr>
              <w:t xml:space="preserve">) to apply to </w:t>
            </w:r>
            <w:r w:rsidR="00622F73">
              <w:rPr>
                <w:rFonts w:ascii="Arial" w:hAnsi="Arial" w:cs="Arial"/>
                <w:szCs w:val="18"/>
              </w:rPr>
              <w:t xml:space="preserve">AEMO to </w:t>
            </w:r>
            <w:r w:rsidRPr="00B901E1">
              <w:rPr>
                <w:rFonts w:ascii="Arial" w:hAnsi="Arial" w:cs="Arial"/>
                <w:szCs w:val="18"/>
              </w:rPr>
              <w:t xml:space="preserve">register </w:t>
            </w:r>
            <w:r w:rsidR="00622F73">
              <w:rPr>
                <w:rFonts w:ascii="Arial" w:hAnsi="Arial" w:cs="Arial"/>
                <w:szCs w:val="18"/>
              </w:rPr>
              <w:t xml:space="preserve">as </w:t>
            </w:r>
            <w:r w:rsidR="004460A8">
              <w:rPr>
                <w:rFonts w:ascii="Arial" w:hAnsi="Arial" w:cs="Arial"/>
                <w:szCs w:val="18"/>
              </w:rPr>
              <w:t>a</w:t>
            </w:r>
            <w:r w:rsidR="00622F73">
              <w:rPr>
                <w:rFonts w:ascii="Arial" w:hAnsi="Arial" w:cs="Arial"/>
                <w:szCs w:val="18"/>
              </w:rPr>
              <w:t xml:space="preserve"> service provider</w:t>
            </w:r>
            <w:r w:rsidR="004A7844">
              <w:rPr>
                <w:rFonts w:ascii="Arial" w:hAnsi="Arial" w:cs="Arial"/>
                <w:szCs w:val="18"/>
              </w:rPr>
              <w:t xml:space="preserve"> and to register the </w:t>
            </w:r>
            <w:r w:rsidR="00586F4D">
              <w:rPr>
                <w:rFonts w:ascii="Arial" w:hAnsi="Arial" w:cs="Arial"/>
                <w:szCs w:val="18"/>
              </w:rPr>
              <w:t>transportation facility</w:t>
            </w:r>
            <w:r w:rsidR="0008789E">
              <w:rPr>
                <w:rFonts w:ascii="Arial" w:hAnsi="Arial" w:cs="Arial"/>
                <w:szCs w:val="18"/>
              </w:rPr>
              <w:t>.</w:t>
            </w:r>
            <w:r w:rsidR="004D7661">
              <w:rPr>
                <w:rStyle w:val="FootnoteReference"/>
                <w:rFonts w:ascii="Arial" w:hAnsi="Arial" w:cs="Arial"/>
                <w:szCs w:val="18"/>
              </w:rPr>
              <w:footnoteReference w:id="8"/>
            </w:r>
            <w:r w:rsidR="00586F4D">
              <w:rPr>
                <w:rFonts w:ascii="Arial" w:hAnsi="Arial" w:cs="Arial"/>
                <w:szCs w:val="18"/>
              </w:rPr>
              <w:t xml:space="preserve"> </w:t>
            </w:r>
          </w:p>
        </w:tc>
      </w:tr>
      <w:tr w:rsidR="009403A4" w:rsidRPr="00B901E1" w:rsidTr="00B74F4D">
        <w:trPr>
          <w:trHeight w:val="153"/>
        </w:trPr>
        <w:tc>
          <w:tcPr>
            <w:tcW w:w="1701" w:type="dxa"/>
            <w:vMerge/>
            <w:tcBorders>
              <w:bottom w:val="single" w:sz="4" w:space="0" w:color="auto"/>
            </w:tcBorders>
            <w:shd w:val="clear" w:color="auto" w:fill="auto"/>
          </w:tcPr>
          <w:p w:rsidR="009403A4" w:rsidRPr="00B901E1" w:rsidRDefault="009403A4" w:rsidP="00E63865">
            <w:pPr>
              <w:pStyle w:val="TableBodyText"/>
              <w:keepNext/>
              <w:spacing w:before="20" w:after="20" w:line="252" w:lineRule="auto"/>
              <w:rPr>
                <w:rFonts w:ascii="Arial" w:hAnsi="Arial"/>
                <w:szCs w:val="18"/>
              </w:rPr>
            </w:pPr>
          </w:p>
        </w:tc>
        <w:tc>
          <w:tcPr>
            <w:tcW w:w="7371" w:type="dxa"/>
            <w:tcBorders>
              <w:bottom w:val="single" w:sz="4" w:space="0" w:color="auto"/>
            </w:tcBorders>
            <w:shd w:val="clear" w:color="auto" w:fill="auto"/>
          </w:tcPr>
          <w:p w:rsidR="009403A4" w:rsidRPr="00B901E1" w:rsidRDefault="009403A4" w:rsidP="00E63865">
            <w:pPr>
              <w:keepNext/>
              <w:spacing w:before="20" w:after="20" w:line="252" w:lineRule="auto"/>
              <w:rPr>
                <w:rFonts w:ascii="Arial" w:hAnsi="Arial" w:cs="Arial"/>
                <w:szCs w:val="18"/>
              </w:rPr>
            </w:pPr>
            <w:r w:rsidRPr="00B901E1">
              <w:rPr>
                <w:rFonts w:ascii="Arial" w:hAnsi="Arial" w:cs="Arial"/>
                <w:szCs w:val="18"/>
              </w:rPr>
              <w:t xml:space="preserve">Last date for existing </w:t>
            </w:r>
            <w:r w:rsidR="00ED04AE">
              <w:rPr>
                <w:rFonts w:ascii="Arial" w:hAnsi="Arial" w:cs="Arial"/>
                <w:szCs w:val="18"/>
              </w:rPr>
              <w:t xml:space="preserve">BB </w:t>
            </w:r>
            <w:r w:rsidRPr="00B901E1">
              <w:rPr>
                <w:rFonts w:ascii="Arial" w:hAnsi="Arial" w:cs="Arial"/>
                <w:szCs w:val="18"/>
              </w:rPr>
              <w:t>allocation agent</w:t>
            </w:r>
            <w:r w:rsidR="00B74F4D">
              <w:rPr>
                <w:rFonts w:ascii="Arial" w:hAnsi="Arial" w:cs="Arial"/>
                <w:szCs w:val="18"/>
              </w:rPr>
              <w:t>s</w:t>
            </w:r>
            <w:r w:rsidRPr="00B901E1">
              <w:rPr>
                <w:rFonts w:ascii="Arial" w:hAnsi="Arial" w:cs="Arial"/>
                <w:szCs w:val="18"/>
              </w:rPr>
              <w:t xml:space="preserve"> </w:t>
            </w:r>
            <w:r w:rsidR="004460A8">
              <w:rPr>
                <w:rFonts w:ascii="Arial" w:hAnsi="Arial" w:cs="Arial"/>
                <w:szCs w:val="18"/>
              </w:rPr>
              <w:t xml:space="preserve">for system injection </w:t>
            </w:r>
            <w:r w:rsidR="00B74F4D">
              <w:rPr>
                <w:rFonts w:ascii="Arial" w:hAnsi="Arial" w:cs="Arial"/>
                <w:szCs w:val="18"/>
              </w:rPr>
              <w:t xml:space="preserve">and </w:t>
            </w:r>
            <w:r w:rsidR="004460A8">
              <w:rPr>
                <w:rFonts w:ascii="Arial" w:hAnsi="Arial" w:cs="Arial"/>
                <w:szCs w:val="18"/>
              </w:rPr>
              <w:t>withdrawal point</w:t>
            </w:r>
            <w:r w:rsidR="00B74F4D">
              <w:rPr>
                <w:rFonts w:ascii="Arial" w:hAnsi="Arial" w:cs="Arial"/>
                <w:szCs w:val="18"/>
              </w:rPr>
              <w:t>s in the DTS</w:t>
            </w:r>
            <w:r w:rsidR="004460A8">
              <w:rPr>
                <w:rFonts w:ascii="Arial" w:hAnsi="Arial" w:cs="Arial"/>
                <w:szCs w:val="18"/>
              </w:rPr>
              <w:t xml:space="preserve"> that </w:t>
            </w:r>
            <w:r w:rsidR="00B74F4D">
              <w:rPr>
                <w:rFonts w:ascii="Arial" w:hAnsi="Arial" w:cs="Arial"/>
                <w:szCs w:val="18"/>
              </w:rPr>
              <w:t xml:space="preserve">are </w:t>
            </w:r>
            <w:r w:rsidR="004460A8">
              <w:rPr>
                <w:rFonts w:ascii="Arial" w:hAnsi="Arial" w:cs="Arial"/>
                <w:szCs w:val="18"/>
              </w:rPr>
              <w:t>existing BB allocation point</w:t>
            </w:r>
            <w:r w:rsidR="00B74F4D">
              <w:rPr>
                <w:rFonts w:ascii="Arial" w:hAnsi="Arial" w:cs="Arial"/>
                <w:szCs w:val="18"/>
              </w:rPr>
              <w:t>s</w:t>
            </w:r>
            <w:r w:rsidR="004460A8">
              <w:rPr>
                <w:rFonts w:ascii="Arial" w:hAnsi="Arial" w:cs="Arial"/>
                <w:szCs w:val="18"/>
              </w:rPr>
              <w:t xml:space="preserve"> </w:t>
            </w:r>
            <w:r w:rsidRPr="00B901E1">
              <w:rPr>
                <w:rFonts w:ascii="Arial" w:hAnsi="Arial" w:cs="Arial"/>
                <w:szCs w:val="18"/>
              </w:rPr>
              <w:t>to apply</w:t>
            </w:r>
            <w:r w:rsidR="00F53904" w:rsidRPr="00B901E1">
              <w:rPr>
                <w:rFonts w:ascii="Arial" w:hAnsi="Arial" w:cs="Arial"/>
                <w:szCs w:val="18"/>
              </w:rPr>
              <w:t xml:space="preserve"> </w:t>
            </w:r>
            <w:r w:rsidR="00F53904">
              <w:rPr>
                <w:rFonts w:ascii="Arial" w:hAnsi="Arial" w:cs="Arial"/>
                <w:szCs w:val="18"/>
              </w:rPr>
              <w:t>to AEMO</w:t>
            </w:r>
            <w:r w:rsidRPr="00B901E1">
              <w:rPr>
                <w:rFonts w:ascii="Arial" w:hAnsi="Arial" w:cs="Arial"/>
                <w:szCs w:val="18"/>
              </w:rPr>
              <w:t xml:space="preserve"> to register</w:t>
            </w:r>
            <w:r w:rsidR="004A7844">
              <w:rPr>
                <w:rFonts w:ascii="Arial" w:hAnsi="Arial" w:cs="Arial"/>
                <w:szCs w:val="18"/>
              </w:rPr>
              <w:t xml:space="preserve"> as the allocation agent and to register </w:t>
            </w:r>
            <w:r w:rsidR="00B07469">
              <w:rPr>
                <w:rFonts w:ascii="Arial" w:hAnsi="Arial" w:cs="Arial"/>
                <w:szCs w:val="18"/>
              </w:rPr>
              <w:t xml:space="preserve">the </w:t>
            </w:r>
            <w:r w:rsidR="004A7844">
              <w:rPr>
                <w:rFonts w:ascii="Arial" w:hAnsi="Arial" w:cs="Arial"/>
                <w:szCs w:val="18"/>
              </w:rPr>
              <w:t xml:space="preserve">existing </w:t>
            </w:r>
            <w:r w:rsidR="00ED04AE">
              <w:rPr>
                <w:rFonts w:ascii="Arial" w:hAnsi="Arial" w:cs="Arial"/>
                <w:szCs w:val="18"/>
              </w:rPr>
              <w:t xml:space="preserve">BB </w:t>
            </w:r>
            <w:r w:rsidR="004A7844">
              <w:rPr>
                <w:rFonts w:ascii="Arial" w:hAnsi="Arial" w:cs="Arial"/>
                <w:szCs w:val="18"/>
              </w:rPr>
              <w:t>allocation point</w:t>
            </w:r>
            <w:r w:rsidR="0008789E">
              <w:rPr>
                <w:rFonts w:ascii="Arial" w:hAnsi="Arial" w:cs="Arial"/>
                <w:szCs w:val="18"/>
              </w:rPr>
              <w:t>.</w:t>
            </w:r>
          </w:p>
        </w:tc>
      </w:tr>
      <w:tr w:rsidR="004460A8" w:rsidRPr="00B901E1" w:rsidTr="00B74F4D">
        <w:trPr>
          <w:cnfStyle w:val="000000010000" w:firstRow="0" w:lastRow="0" w:firstColumn="0" w:lastColumn="0" w:oddVBand="0" w:evenVBand="0" w:oddHBand="0" w:evenHBand="1" w:firstRowFirstColumn="0" w:firstRowLastColumn="0" w:lastRowFirstColumn="0" w:lastRowLastColumn="0"/>
          <w:trHeight w:val="153"/>
        </w:trPr>
        <w:tc>
          <w:tcPr>
            <w:tcW w:w="1701" w:type="dxa"/>
          </w:tcPr>
          <w:p w:rsidR="004460A8" w:rsidRPr="00B901E1" w:rsidRDefault="004460A8" w:rsidP="00E63865">
            <w:pPr>
              <w:pStyle w:val="TableBodyText"/>
              <w:keepNext/>
              <w:spacing w:before="20" w:after="20" w:line="252" w:lineRule="auto"/>
              <w:rPr>
                <w:rFonts w:ascii="Arial" w:hAnsi="Arial"/>
                <w:szCs w:val="18"/>
              </w:rPr>
            </w:pPr>
            <w:r>
              <w:rPr>
                <w:rFonts w:ascii="Arial" w:hAnsi="Arial"/>
                <w:szCs w:val="18"/>
              </w:rPr>
              <w:t>Registration date for existing transportation facilities</w:t>
            </w:r>
          </w:p>
        </w:tc>
        <w:tc>
          <w:tcPr>
            <w:tcW w:w="7371" w:type="dxa"/>
          </w:tcPr>
          <w:p w:rsidR="004460A8" w:rsidRPr="00B901E1" w:rsidRDefault="004460A8" w:rsidP="00E63865">
            <w:pPr>
              <w:keepNext/>
              <w:spacing w:before="20" w:after="20" w:line="252" w:lineRule="auto"/>
              <w:rPr>
                <w:rFonts w:ascii="Arial" w:hAnsi="Arial" w:cs="Arial"/>
                <w:szCs w:val="18"/>
              </w:rPr>
            </w:pPr>
            <w:r>
              <w:rPr>
                <w:rFonts w:ascii="Arial" w:hAnsi="Arial" w:cs="Arial"/>
                <w:szCs w:val="18"/>
              </w:rPr>
              <w:t xml:space="preserve">An allocation point on a registered transportation </w:t>
            </w:r>
            <w:r w:rsidRPr="00B901E1">
              <w:rPr>
                <w:rFonts w:ascii="Arial" w:hAnsi="Arial" w:cs="Arial"/>
                <w:szCs w:val="18"/>
              </w:rPr>
              <w:t>facilit</w:t>
            </w:r>
            <w:r>
              <w:rPr>
                <w:rFonts w:ascii="Arial" w:hAnsi="Arial" w:cs="Arial"/>
                <w:szCs w:val="18"/>
              </w:rPr>
              <w:t xml:space="preserve">y becomes </w:t>
            </w:r>
            <w:r w:rsidR="00B74F4D">
              <w:rPr>
                <w:rFonts w:ascii="Arial" w:hAnsi="Arial" w:cs="Arial"/>
                <w:szCs w:val="18"/>
              </w:rPr>
              <w:t xml:space="preserve">a non-DTS </w:t>
            </w:r>
            <w:r>
              <w:rPr>
                <w:rFonts w:ascii="Arial" w:hAnsi="Arial" w:cs="Arial"/>
                <w:szCs w:val="18"/>
              </w:rPr>
              <w:t xml:space="preserve">“existing BB allocation point” and the agent responsible for the point becomes an “existing BB </w:t>
            </w:r>
            <w:r w:rsidRPr="00B901E1">
              <w:rPr>
                <w:rFonts w:ascii="Arial" w:hAnsi="Arial" w:cs="Arial"/>
                <w:szCs w:val="18"/>
              </w:rPr>
              <w:t xml:space="preserve">allocation </w:t>
            </w:r>
            <w:r>
              <w:rPr>
                <w:rFonts w:ascii="Arial" w:hAnsi="Arial" w:cs="Arial"/>
                <w:szCs w:val="18"/>
              </w:rPr>
              <w:t>agent” for the purposes of the transitional arrangements in the NGR.</w:t>
            </w:r>
          </w:p>
        </w:tc>
      </w:tr>
      <w:tr w:rsidR="004460A8" w:rsidRPr="00B901E1" w:rsidTr="00B74F4D">
        <w:trPr>
          <w:trHeight w:val="153"/>
        </w:trPr>
        <w:tc>
          <w:tcPr>
            <w:tcW w:w="1701" w:type="dxa"/>
            <w:shd w:val="clear" w:color="auto" w:fill="auto"/>
          </w:tcPr>
          <w:p w:rsidR="004460A8" w:rsidRDefault="004460A8" w:rsidP="00E63865">
            <w:pPr>
              <w:pStyle w:val="TableBodyText"/>
              <w:keepNext/>
              <w:spacing w:before="20" w:after="20" w:line="252" w:lineRule="auto"/>
              <w:rPr>
                <w:rFonts w:ascii="Arial" w:hAnsi="Arial"/>
                <w:szCs w:val="18"/>
              </w:rPr>
            </w:pPr>
            <w:r>
              <w:rPr>
                <w:rFonts w:ascii="Arial" w:hAnsi="Arial"/>
                <w:szCs w:val="18"/>
              </w:rPr>
              <w:t>Registration date for existing transportation facilities + 20 business days</w:t>
            </w:r>
          </w:p>
        </w:tc>
        <w:tc>
          <w:tcPr>
            <w:tcW w:w="7371" w:type="dxa"/>
            <w:shd w:val="clear" w:color="auto" w:fill="auto"/>
          </w:tcPr>
          <w:p w:rsidR="004460A8" w:rsidRDefault="004460A8" w:rsidP="00E63865">
            <w:pPr>
              <w:keepNext/>
              <w:spacing w:before="20" w:after="20" w:line="252" w:lineRule="auto"/>
              <w:rPr>
                <w:rFonts w:ascii="Arial" w:hAnsi="Arial" w:cs="Arial"/>
                <w:szCs w:val="18"/>
              </w:rPr>
            </w:pPr>
            <w:r>
              <w:rPr>
                <w:rFonts w:ascii="Arial" w:hAnsi="Arial" w:cs="Arial"/>
                <w:szCs w:val="18"/>
              </w:rPr>
              <w:t xml:space="preserve">Last date for </w:t>
            </w:r>
            <w:r w:rsidR="00B74F4D">
              <w:rPr>
                <w:rFonts w:ascii="Arial" w:hAnsi="Arial" w:cs="Arial"/>
                <w:szCs w:val="18"/>
              </w:rPr>
              <w:t xml:space="preserve">existing BB </w:t>
            </w:r>
            <w:r>
              <w:rPr>
                <w:rFonts w:ascii="Arial" w:hAnsi="Arial" w:cs="Arial"/>
                <w:szCs w:val="18"/>
              </w:rPr>
              <w:t>allocation agent</w:t>
            </w:r>
            <w:r w:rsidR="00B74F4D">
              <w:rPr>
                <w:rFonts w:ascii="Arial" w:hAnsi="Arial" w:cs="Arial"/>
                <w:szCs w:val="18"/>
              </w:rPr>
              <w:t>s</w:t>
            </w:r>
            <w:r>
              <w:rPr>
                <w:rFonts w:ascii="Arial" w:hAnsi="Arial" w:cs="Arial"/>
                <w:szCs w:val="18"/>
              </w:rPr>
              <w:t xml:space="preserve"> for </w:t>
            </w:r>
            <w:r w:rsidR="00B74F4D">
              <w:rPr>
                <w:rFonts w:ascii="Arial" w:hAnsi="Arial" w:cs="Arial"/>
                <w:szCs w:val="18"/>
              </w:rPr>
              <w:t>non-DTS “</w:t>
            </w:r>
            <w:r>
              <w:rPr>
                <w:rFonts w:ascii="Arial" w:hAnsi="Arial" w:cs="Arial"/>
                <w:szCs w:val="18"/>
              </w:rPr>
              <w:t>existing BB allocation point</w:t>
            </w:r>
            <w:r w:rsidR="00B74F4D">
              <w:rPr>
                <w:rFonts w:ascii="Arial" w:hAnsi="Arial" w:cs="Arial"/>
                <w:szCs w:val="18"/>
              </w:rPr>
              <w:t>s”</w:t>
            </w:r>
            <w:r>
              <w:rPr>
                <w:rFonts w:ascii="Arial" w:hAnsi="Arial" w:cs="Arial"/>
                <w:szCs w:val="18"/>
              </w:rPr>
              <w:t xml:space="preserve"> </w:t>
            </w:r>
            <w:r w:rsidRPr="00B901E1">
              <w:rPr>
                <w:rFonts w:ascii="Arial" w:hAnsi="Arial" w:cs="Arial"/>
                <w:szCs w:val="18"/>
              </w:rPr>
              <w:t>to apply</w:t>
            </w:r>
            <w:r w:rsidR="00F53904" w:rsidRPr="00B901E1">
              <w:rPr>
                <w:rFonts w:ascii="Arial" w:hAnsi="Arial" w:cs="Arial"/>
                <w:szCs w:val="18"/>
              </w:rPr>
              <w:t xml:space="preserve"> </w:t>
            </w:r>
            <w:r w:rsidR="00F53904">
              <w:rPr>
                <w:rFonts w:ascii="Arial" w:hAnsi="Arial" w:cs="Arial"/>
                <w:szCs w:val="18"/>
              </w:rPr>
              <w:t>to AEMO</w:t>
            </w:r>
            <w:r w:rsidRPr="00B901E1">
              <w:rPr>
                <w:rFonts w:ascii="Arial" w:hAnsi="Arial" w:cs="Arial"/>
                <w:szCs w:val="18"/>
              </w:rPr>
              <w:t xml:space="preserve"> to register</w:t>
            </w:r>
            <w:r>
              <w:rPr>
                <w:rFonts w:ascii="Arial" w:hAnsi="Arial" w:cs="Arial"/>
                <w:szCs w:val="18"/>
              </w:rPr>
              <w:t xml:space="preserve"> as the allocation agent (if not already registered) and to register the </w:t>
            </w:r>
            <w:r w:rsidR="00B74F4D">
              <w:rPr>
                <w:rFonts w:ascii="Arial" w:hAnsi="Arial" w:cs="Arial"/>
                <w:szCs w:val="18"/>
              </w:rPr>
              <w:t>“</w:t>
            </w:r>
            <w:r>
              <w:rPr>
                <w:rFonts w:ascii="Arial" w:hAnsi="Arial" w:cs="Arial"/>
                <w:szCs w:val="18"/>
              </w:rPr>
              <w:t>existing BB allocation point</w:t>
            </w:r>
            <w:r w:rsidR="00B74F4D">
              <w:rPr>
                <w:rFonts w:ascii="Arial" w:hAnsi="Arial" w:cs="Arial"/>
                <w:szCs w:val="18"/>
              </w:rPr>
              <w:t>s”</w:t>
            </w:r>
            <w:r>
              <w:rPr>
                <w:rFonts w:ascii="Arial" w:hAnsi="Arial" w:cs="Arial"/>
                <w:szCs w:val="18"/>
              </w:rPr>
              <w:t>.</w:t>
            </w:r>
          </w:p>
        </w:tc>
      </w:tr>
      <w:tr w:rsidR="005276A9" w:rsidRPr="00B901E1" w:rsidTr="00B74F4D">
        <w:trPr>
          <w:cnfStyle w:val="000000010000" w:firstRow="0" w:lastRow="0" w:firstColumn="0" w:lastColumn="0" w:oddVBand="0" w:evenVBand="0" w:oddHBand="0" w:evenHBand="1" w:firstRowFirstColumn="0" w:firstRowLastColumn="0" w:lastRowFirstColumn="0" w:lastRowLastColumn="0"/>
        </w:trPr>
        <w:tc>
          <w:tcPr>
            <w:tcW w:w="1701" w:type="dxa"/>
          </w:tcPr>
          <w:p w:rsidR="005276A9" w:rsidRPr="00B901E1" w:rsidRDefault="005276A9" w:rsidP="00E63865">
            <w:pPr>
              <w:pStyle w:val="TableBodyText"/>
              <w:keepNext/>
              <w:spacing w:before="20" w:after="20" w:line="252" w:lineRule="auto"/>
              <w:rPr>
                <w:rFonts w:ascii="Arial" w:hAnsi="Arial"/>
                <w:szCs w:val="18"/>
              </w:rPr>
            </w:pPr>
            <w:r w:rsidRPr="00B901E1">
              <w:rPr>
                <w:rFonts w:ascii="Arial" w:hAnsi="Arial"/>
                <w:szCs w:val="18"/>
              </w:rPr>
              <w:t>Rules start date + 40 business days</w:t>
            </w:r>
          </w:p>
        </w:tc>
        <w:tc>
          <w:tcPr>
            <w:tcW w:w="7371" w:type="dxa"/>
          </w:tcPr>
          <w:p w:rsidR="005276A9" w:rsidRPr="00B901E1" w:rsidRDefault="008A4CED" w:rsidP="00E63865">
            <w:pPr>
              <w:pStyle w:val="TableBodyText"/>
              <w:keepNext/>
              <w:spacing w:before="20" w:after="20" w:line="252" w:lineRule="auto"/>
              <w:rPr>
                <w:rFonts w:ascii="Arial" w:hAnsi="Arial"/>
                <w:szCs w:val="18"/>
              </w:rPr>
            </w:pPr>
            <w:r>
              <w:rPr>
                <w:rFonts w:ascii="Arial" w:hAnsi="Arial"/>
                <w:szCs w:val="18"/>
              </w:rPr>
              <w:t>Last date for non</w:t>
            </w:r>
            <w:r w:rsidR="005276A9">
              <w:rPr>
                <w:rFonts w:ascii="Arial" w:hAnsi="Arial"/>
                <w:szCs w:val="18"/>
              </w:rPr>
              <w:t xml:space="preserve">-exempt </w:t>
            </w:r>
            <w:r w:rsidR="00774105">
              <w:rPr>
                <w:rFonts w:ascii="Arial" w:hAnsi="Arial"/>
                <w:szCs w:val="18"/>
              </w:rPr>
              <w:t xml:space="preserve">transportation </w:t>
            </w:r>
            <w:r w:rsidR="005276A9">
              <w:rPr>
                <w:rFonts w:ascii="Arial" w:hAnsi="Arial"/>
                <w:szCs w:val="18"/>
              </w:rPr>
              <w:t xml:space="preserve">service providers </w:t>
            </w:r>
            <w:r>
              <w:rPr>
                <w:rFonts w:ascii="Arial" w:hAnsi="Arial"/>
                <w:szCs w:val="18"/>
              </w:rPr>
              <w:t>to</w:t>
            </w:r>
            <w:r w:rsidRPr="00B901E1">
              <w:rPr>
                <w:rFonts w:ascii="Arial" w:hAnsi="Arial"/>
                <w:szCs w:val="18"/>
              </w:rPr>
              <w:t xml:space="preserve"> </w:t>
            </w:r>
            <w:r w:rsidR="005276A9" w:rsidRPr="00B901E1">
              <w:rPr>
                <w:rFonts w:ascii="Arial" w:hAnsi="Arial"/>
                <w:szCs w:val="18"/>
              </w:rPr>
              <w:t xml:space="preserve">publish a standard </w:t>
            </w:r>
            <w:r w:rsidR="005276A9">
              <w:rPr>
                <w:rFonts w:ascii="Arial" w:hAnsi="Arial"/>
                <w:szCs w:val="18"/>
              </w:rPr>
              <w:t>OTSA and a schedule of standardisation charges.</w:t>
            </w:r>
            <w:r w:rsidR="003D2AD2">
              <w:rPr>
                <w:rFonts w:ascii="Arial" w:hAnsi="Arial"/>
                <w:szCs w:val="18"/>
              </w:rPr>
              <w:t xml:space="preserve"> If a shipper makes a request to enter into the standard OTSA, service providers have 20 business days (or longer if agreed to by the parties) to prepare and offer to enter into the agreement</w:t>
            </w:r>
            <w:r w:rsidR="0008789E">
              <w:rPr>
                <w:rFonts w:ascii="Arial" w:hAnsi="Arial"/>
                <w:szCs w:val="18"/>
              </w:rPr>
              <w:t>.</w:t>
            </w:r>
          </w:p>
        </w:tc>
      </w:tr>
      <w:tr w:rsidR="00215567" w:rsidRPr="00B901E1" w:rsidTr="00B74F4D">
        <w:tc>
          <w:tcPr>
            <w:tcW w:w="1701" w:type="dxa"/>
            <w:tcBorders>
              <w:bottom w:val="single" w:sz="4" w:space="0" w:color="auto"/>
            </w:tcBorders>
            <w:shd w:val="clear" w:color="auto" w:fill="auto"/>
          </w:tcPr>
          <w:p w:rsidR="00215567" w:rsidRPr="00C37D44" w:rsidRDefault="00774803" w:rsidP="00E63865">
            <w:pPr>
              <w:pStyle w:val="TableBodyText"/>
              <w:keepNext/>
              <w:spacing w:before="20" w:after="20" w:line="252" w:lineRule="auto"/>
              <w:rPr>
                <w:rFonts w:ascii="Arial" w:hAnsi="Arial"/>
                <w:szCs w:val="18"/>
              </w:rPr>
            </w:pPr>
            <w:r w:rsidRPr="00C37D44">
              <w:rPr>
                <w:rFonts w:ascii="Arial" w:hAnsi="Arial"/>
                <w:szCs w:val="18"/>
              </w:rPr>
              <w:t>1</w:t>
            </w:r>
            <w:r w:rsidR="007A51FA" w:rsidRPr="00C37D44">
              <w:rPr>
                <w:rFonts w:ascii="Arial" w:hAnsi="Arial"/>
                <w:szCs w:val="18"/>
              </w:rPr>
              <w:t>6</w:t>
            </w:r>
            <w:r w:rsidRPr="00C37D44">
              <w:rPr>
                <w:rFonts w:ascii="Arial" w:hAnsi="Arial"/>
                <w:szCs w:val="18"/>
              </w:rPr>
              <w:t xml:space="preserve"> January 2019</w:t>
            </w:r>
          </w:p>
        </w:tc>
        <w:tc>
          <w:tcPr>
            <w:tcW w:w="7371" w:type="dxa"/>
            <w:tcBorders>
              <w:bottom w:val="single" w:sz="4" w:space="0" w:color="auto"/>
            </w:tcBorders>
            <w:shd w:val="clear" w:color="auto" w:fill="auto"/>
          </w:tcPr>
          <w:p w:rsidR="00215567" w:rsidRPr="00C37D44" w:rsidRDefault="004460A8" w:rsidP="00E63865">
            <w:pPr>
              <w:pStyle w:val="TableBodyText"/>
              <w:keepNext/>
              <w:spacing w:before="20" w:after="20" w:line="252" w:lineRule="auto"/>
              <w:rPr>
                <w:rFonts w:ascii="Arial" w:hAnsi="Arial"/>
                <w:szCs w:val="18"/>
              </w:rPr>
            </w:pPr>
            <w:r>
              <w:rPr>
                <w:rFonts w:ascii="Arial" w:hAnsi="Arial"/>
                <w:szCs w:val="18"/>
              </w:rPr>
              <w:t>D</w:t>
            </w:r>
            <w:r w:rsidR="00031E24">
              <w:rPr>
                <w:rFonts w:ascii="Arial" w:hAnsi="Arial"/>
                <w:szCs w:val="18"/>
              </w:rPr>
              <w:t xml:space="preserve">ate by which </w:t>
            </w:r>
            <w:r w:rsidR="00774803" w:rsidRPr="00C37D44">
              <w:rPr>
                <w:rFonts w:ascii="Arial" w:hAnsi="Arial"/>
                <w:szCs w:val="18"/>
              </w:rPr>
              <w:t xml:space="preserve">auction facility operators </w:t>
            </w:r>
            <w:r w:rsidR="0008789E">
              <w:rPr>
                <w:rFonts w:ascii="Arial" w:hAnsi="Arial"/>
                <w:szCs w:val="18"/>
              </w:rPr>
              <w:t>must</w:t>
            </w:r>
            <w:r w:rsidR="00031E24">
              <w:rPr>
                <w:rFonts w:ascii="Arial" w:hAnsi="Arial"/>
                <w:szCs w:val="18"/>
              </w:rPr>
              <w:t xml:space="preserve"> </w:t>
            </w:r>
            <w:r w:rsidR="00C37D44" w:rsidRPr="00C37D44">
              <w:rPr>
                <w:rFonts w:ascii="Arial" w:hAnsi="Arial"/>
                <w:szCs w:val="18"/>
              </w:rPr>
              <w:t xml:space="preserve">notify the AER </w:t>
            </w:r>
            <w:r w:rsidR="007D2498" w:rsidRPr="00C37D44">
              <w:rPr>
                <w:rFonts w:ascii="Arial" w:hAnsi="Arial"/>
                <w:szCs w:val="18"/>
              </w:rPr>
              <w:t xml:space="preserve">that </w:t>
            </w:r>
            <w:r w:rsidR="00C37D44" w:rsidRPr="00C37D44">
              <w:rPr>
                <w:rFonts w:ascii="Arial" w:hAnsi="Arial"/>
                <w:szCs w:val="18"/>
              </w:rPr>
              <w:t xml:space="preserve">they </w:t>
            </w:r>
            <w:r w:rsidR="007D2498" w:rsidRPr="00C37D44">
              <w:rPr>
                <w:rFonts w:ascii="Arial" w:hAnsi="Arial"/>
                <w:szCs w:val="18"/>
              </w:rPr>
              <w:t xml:space="preserve">intend to classify </w:t>
            </w:r>
            <w:r w:rsidR="0008789E">
              <w:rPr>
                <w:rFonts w:ascii="Arial" w:hAnsi="Arial"/>
                <w:szCs w:val="18"/>
              </w:rPr>
              <w:t xml:space="preserve">certain </w:t>
            </w:r>
            <w:r w:rsidR="007D2498" w:rsidRPr="00C37D44">
              <w:rPr>
                <w:rFonts w:ascii="Arial" w:hAnsi="Arial"/>
                <w:szCs w:val="18"/>
              </w:rPr>
              <w:t xml:space="preserve">transportation </w:t>
            </w:r>
            <w:r w:rsidR="00ED04AE">
              <w:rPr>
                <w:rFonts w:ascii="Arial" w:hAnsi="Arial"/>
                <w:szCs w:val="18"/>
              </w:rPr>
              <w:t xml:space="preserve">services </w:t>
            </w:r>
            <w:r w:rsidR="007D2498" w:rsidRPr="00C37D44">
              <w:rPr>
                <w:rFonts w:ascii="Arial" w:hAnsi="Arial"/>
                <w:szCs w:val="18"/>
              </w:rPr>
              <w:t xml:space="preserve">as </w:t>
            </w:r>
            <w:r w:rsidR="00031E24">
              <w:rPr>
                <w:rFonts w:ascii="Arial" w:hAnsi="Arial"/>
                <w:szCs w:val="18"/>
              </w:rPr>
              <w:t>‘transitional firm’ (</w:t>
            </w:r>
            <w:r w:rsidR="00241729" w:rsidRPr="00C37D44">
              <w:rPr>
                <w:rFonts w:ascii="Arial" w:hAnsi="Arial"/>
                <w:szCs w:val="18"/>
              </w:rPr>
              <w:t>grandfathered</w:t>
            </w:r>
            <w:r w:rsidR="00031E24">
              <w:rPr>
                <w:rFonts w:ascii="Arial" w:hAnsi="Arial"/>
                <w:szCs w:val="18"/>
              </w:rPr>
              <w:t>)</w:t>
            </w:r>
            <w:r w:rsidR="00241729" w:rsidRPr="00C37D44">
              <w:rPr>
                <w:rFonts w:ascii="Arial" w:hAnsi="Arial"/>
                <w:szCs w:val="18"/>
              </w:rPr>
              <w:t xml:space="preserve"> </w:t>
            </w:r>
            <w:r w:rsidR="0008789E">
              <w:rPr>
                <w:rFonts w:ascii="Arial" w:hAnsi="Arial"/>
                <w:szCs w:val="18"/>
              </w:rPr>
              <w:t>services</w:t>
            </w:r>
            <w:r w:rsidR="00241729" w:rsidRPr="00C37D44">
              <w:rPr>
                <w:rFonts w:ascii="Arial" w:hAnsi="Arial"/>
                <w:szCs w:val="18"/>
              </w:rPr>
              <w:t xml:space="preserve"> </w:t>
            </w:r>
            <w:r>
              <w:rPr>
                <w:rFonts w:ascii="Arial" w:hAnsi="Arial"/>
                <w:szCs w:val="18"/>
              </w:rPr>
              <w:t xml:space="preserve">if the facility operator wishes the classification to apply from the </w:t>
            </w:r>
            <w:r w:rsidR="00035165" w:rsidRPr="00C37D44">
              <w:rPr>
                <w:rFonts w:ascii="Arial" w:hAnsi="Arial"/>
                <w:szCs w:val="18"/>
              </w:rPr>
              <w:t xml:space="preserve">commencement of </w:t>
            </w:r>
            <w:r w:rsidR="007A51FA" w:rsidRPr="00C37D44">
              <w:rPr>
                <w:rFonts w:ascii="Arial" w:hAnsi="Arial"/>
                <w:szCs w:val="18"/>
              </w:rPr>
              <w:t>the auction</w:t>
            </w:r>
            <w:r w:rsidR="007A3AAE">
              <w:rPr>
                <w:rFonts w:ascii="Arial" w:hAnsi="Arial"/>
                <w:szCs w:val="18"/>
              </w:rPr>
              <w:t xml:space="preserve"> (see Table A.3 for more detail)</w:t>
            </w:r>
            <w:r w:rsidR="0008789E">
              <w:rPr>
                <w:rFonts w:ascii="Arial" w:hAnsi="Arial"/>
                <w:szCs w:val="18"/>
              </w:rPr>
              <w:t>.</w:t>
            </w:r>
            <w:r w:rsidR="007A3AAE">
              <w:rPr>
                <w:rStyle w:val="FootnoteReference"/>
                <w:rFonts w:ascii="Arial" w:hAnsi="Arial"/>
                <w:szCs w:val="18"/>
              </w:rPr>
              <w:footnoteReference w:id="9"/>
            </w:r>
            <w:r w:rsidR="00241729" w:rsidRPr="00C37D44">
              <w:rPr>
                <w:rFonts w:ascii="Arial" w:hAnsi="Arial"/>
                <w:szCs w:val="18"/>
              </w:rPr>
              <w:t xml:space="preserve"> </w:t>
            </w:r>
          </w:p>
        </w:tc>
      </w:tr>
      <w:tr w:rsidR="009403A4" w:rsidRPr="00B901E1" w:rsidTr="00B74F4D">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1 February 2019</w:t>
            </w:r>
          </w:p>
        </w:tc>
        <w:tc>
          <w:tcPr>
            <w:tcW w:w="7371" w:type="dxa"/>
            <w:tcBorders>
              <w:bottom w:val="single" w:sz="4" w:space="0" w:color="auto"/>
            </w:tcBorders>
          </w:tcPr>
          <w:p w:rsidR="009403A4" w:rsidRPr="00B901E1" w:rsidRDefault="004C490A" w:rsidP="006A1974">
            <w:pPr>
              <w:pStyle w:val="TableBodyText"/>
              <w:spacing w:before="20" w:after="20" w:line="252" w:lineRule="auto"/>
              <w:rPr>
                <w:rFonts w:ascii="Arial" w:hAnsi="Arial"/>
                <w:szCs w:val="18"/>
              </w:rPr>
            </w:pPr>
            <w:r>
              <w:rPr>
                <w:rFonts w:ascii="Arial" w:hAnsi="Arial"/>
                <w:szCs w:val="18"/>
              </w:rPr>
              <w:t>Non-exempt c</w:t>
            </w:r>
            <w:r w:rsidR="009403A4" w:rsidRPr="00B901E1">
              <w:rPr>
                <w:rFonts w:ascii="Arial" w:hAnsi="Arial"/>
                <w:szCs w:val="18"/>
              </w:rPr>
              <w:t xml:space="preserve">ompression facilities commence </w:t>
            </w:r>
            <w:r>
              <w:rPr>
                <w:rFonts w:ascii="Arial" w:hAnsi="Arial"/>
                <w:szCs w:val="18"/>
              </w:rPr>
              <w:t xml:space="preserve">reporting </w:t>
            </w:r>
            <w:r w:rsidR="00ED5244">
              <w:rPr>
                <w:rFonts w:ascii="Arial" w:hAnsi="Arial"/>
                <w:szCs w:val="18"/>
              </w:rPr>
              <w:t xml:space="preserve">a range of operational information </w:t>
            </w:r>
            <w:r w:rsidR="002B74CA">
              <w:rPr>
                <w:rFonts w:ascii="Arial" w:hAnsi="Arial"/>
                <w:szCs w:val="18"/>
              </w:rPr>
              <w:t xml:space="preserve">to AEMO for publication on the </w:t>
            </w:r>
            <w:r w:rsidR="00ED04AE">
              <w:rPr>
                <w:rFonts w:ascii="Arial" w:hAnsi="Arial"/>
                <w:szCs w:val="18"/>
              </w:rPr>
              <w:t>BB</w:t>
            </w:r>
            <w:r w:rsidR="008A4CED">
              <w:rPr>
                <w:rFonts w:ascii="Arial" w:hAnsi="Arial"/>
                <w:szCs w:val="18"/>
              </w:rPr>
              <w:t>.</w:t>
            </w:r>
            <w:r w:rsidR="002B74CA">
              <w:rPr>
                <w:rFonts w:ascii="Arial" w:hAnsi="Arial"/>
                <w:szCs w:val="18"/>
              </w:rPr>
              <w:t xml:space="preserve"> </w:t>
            </w:r>
          </w:p>
        </w:tc>
      </w:tr>
      <w:tr w:rsidR="000608DD" w:rsidRPr="00B901E1" w:rsidTr="00B74F4D">
        <w:tc>
          <w:tcPr>
            <w:tcW w:w="1701" w:type="dxa"/>
            <w:vMerge w:val="restart"/>
            <w:shd w:val="clear" w:color="auto" w:fill="FFFFFF" w:themeFill="background1"/>
          </w:tcPr>
          <w:p w:rsidR="000608DD" w:rsidRPr="00B901E1" w:rsidRDefault="000608DD" w:rsidP="006A1974">
            <w:pPr>
              <w:pStyle w:val="TableBodyText"/>
              <w:keepNext/>
              <w:spacing w:before="20" w:after="20" w:line="252" w:lineRule="auto"/>
              <w:rPr>
                <w:rFonts w:ascii="Arial" w:hAnsi="Arial"/>
                <w:szCs w:val="18"/>
              </w:rPr>
            </w:pPr>
            <w:r w:rsidRPr="00B901E1">
              <w:rPr>
                <w:rFonts w:ascii="Arial" w:hAnsi="Arial"/>
                <w:szCs w:val="18"/>
              </w:rPr>
              <w:t>1 March 2019</w:t>
            </w:r>
          </w:p>
        </w:tc>
        <w:tc>
          <w:tcPr>
            <w:tcW w:w="7371" w:type="dxa"/>
            <w:shd w:val="clear" w:color="auto" w:fill="FFFFFF" w:themeFill="background1"/>
          </w:tcPr>
          <w:p w:rsidR="000608DD" w:rsidRPr="00B901E1" w:rsidRDefault="000608DD" w:rsidP="006A1974">
            <w:pPr>
              <w:pStyle w:val="TableBodyText"/>
              <w:keepNext/>
              <w:spacing w:before="20" w:after="20" w:line="252" w:lineRule="auto"/>
              <w:rPr>
                <w:rFonts w:ascii="Arial" w:hAnsi="Arial"/>
                <w:szCs w:val="18"/>
              </w:rPr>
            </w:pPr>
            <w:r w:rsidRPr="00B901E1">
              <w:rPr>
                <w:rFonts w:ascii="Arial" w:hAnsi="Arial"/>
                <w:szCs w:val="18"/>
              </w:rPr>
              <w:t xml:space="preserve">First day of </w:t>
            </w:r>
            <w:r w:rsidR="006D6F9A">
              <w:rPr>
                <w:rFonts w:ascii="Arial" w:hAnsi="Arial"/>
                <w:szCs w:val="18"/>
              </w:rPr>
              <w:t xml:space="preserve">the </w:t>
            </w:r>
            <w:r w:rsidR="006A1974">
              <w:rPr>
                <w:rFonts w:ascii="Arial" w:hAnsi="Arial"/>
                <w:szCs w:val="18"/>
              </w:rPr>
              <w:t>day-ahead</w:t>
            </w:r>
            <w:r w:rsidR="006D6F9A">
              <w:rPr>
                <w:rFonts w:ascii="Arial" w:hAnsi="Arial"/>
                <w:szCs w:val="18"/>
              </w:rPr>
              <w:t xml:space="preserve"> </w:t>
            </w:r>
            <w:r w:rsidRPr="00B901E1">
              <w:rPr>
                <w:rFonts w:ascii="Arial" w:hAnsi="Arial"/>
                <w:szCs w:val="18"/>
              </w:rPr>
              <w:t xml:space="preserve">auction </w:t>
            </w:r>
            <w:r w:rsidR="00BA2220">
              <w:rPr>
                <w:rFonts w:ascii="Arial" w:hAnsi="Arial"/>
                <w:szCs w:val="18"/>
              </w:rPr>
              <w:t>(excluding NT</w:t>
            </w:r>
            <w:r w:rsidR="002D697F">
              <w:rPr>
                <w:rFonts w:ascii="Arial" w:hAnsi="Arial"/>
                <w:szCs w:val="18"/>
              </w:rPr>
              <w:t xml:space="preserve"> transportation facilities</w:t>
            </w:r>
            <w:r w:rsidR="00BA2220">
              <w:rPr>
                <w:rFonts w:ascii="Arial" w:hAnsi="Arial"/>
                <w:szCs w:val="18"/>
              </w:rPr>
              <w:t>)</w:t>
            </w:r>
            <w:r w:rsidR="000175C2">
              <w:rPr>
                <w:rFonts w:ascii="Arial" w:hAnsi="Arial"/>
                <w:szCs w:val="18"/>
              </w:rPr>
              <w:t>.</w:t>
            </w:r>
            <w:r w:rsidR="00BA2220">
              <w:rPr>
                <w:rFonts w:ascii="Arial" w:hAnsi="Arial"/>
                <w:szCs w:val="18"/>
              </w:rPr>
              <w:t xml:space="preserve"> </w:t>
            </w:r>
          </w:p>
        </w:tc>
      </w:tr>
      <w:tr w:rsidR="000608DD" w:rsidRPr="00B901E1" w:rsidTr="00B74F4D">
        <w:trPr>
          <w:cnfStyle w:val="000000010000" w:firstRow="0" w:lastRow="0" w:firstColumn="0" w:lastColumn="0" w:oddVBand="0" w:evenVBand="0" w:oddHBand="0" w:evenHBand="1" w:firstRowFirstColumn="0" w:firstRowLastColumn="0" w:lastRowFirstColumn="0" w:lastRowLastColumn="0"/>
        </w:trPr>
        <w:tc>
          <w:tcPr>
            <w:tcW w:w="1701" w:type="dxa"/>
            <w:vMerge/>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p>
        </w:tc>
        <w:tc>
          <w:tcPr>
            <w:tcW w:w="7371" w:type="dxa"/>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r w:rsidRPr="00B901E1">
              <w:rPr>
                <w:rFonts w:ascii="Arial" w:hAnsi="Arial"/>
                <w:szCs w:val="18"/>
              </w:rPr>
              <w:t xml:space="preserve">First day on which </w:t>
            </w:r>
            <w:r>
              <w:rPr>
                <w:rFonts w:ascii="Arial" w:hAnsi="Arial"/>
                <w:szCs w:val="18"/>
              </w:rPr>
              <w:t xml:space="preserve">non-exempt </w:t>
            </w:r>
            <w:r w:rsidR="00FE49F9">
              <w:rPr>
                <w:rFonts w:ascii="Arial" w:hAnsi="Arial"/>
                <w:szCs w:val="18"/>
              </w:rPr>
              <w:t xml:space="preserve">transportation </w:t>
            </w:r>
            <w:r w:rsidRPr="00B901E1">
              <w:rPr>
                <w:rFonts w:ascii="Arial" w:hAnsi="Arial"/>
                <w:szCs w:val="18"/>
              </w:rPr>
              <w:t>service providers are required to give effect to operational transfers</w:t>
            </w:r>
            <w:r>
              <w:rPr>
                <w:rFonts w:ascii="Arial" w:hAnsi="Arial"/>
                <w:szCs w:val="18"/>
              </w:rPr>
              <w:t xml:space="preserve">, </w:t>
            </w:r>
            <w:r w:rsidRPr="00B901E1">
              <w:rPr>
                <w:rFonts w:ascii="Arial" w:hAnsi="Arial"/>
                <w:szCs w:val="18"/>
              </w:rPr>
              <w:t xml:space="preserve">service continuity arrangements </w:t>
            </w:r>
            <w:r>
              <w:rPr>
                <w:rFonts w:ascii="Arial" w:hAnsi="Arial"/>
                <w:szCs w:val="18"/>
              </w:rPr>
              <w:t xml:space="preserve">for </w:t>
            </w:r>
            <w:r w:rsidR="006D6F9A">
              <w:rPr>
                <w:rFonts w:ascii="Arial" w:hAnsi="Arial"/>
                <w:szCs w:val="18"/>
              </w:rPr>
              <w:t>trades conducted on the capacity trading platform</w:t>
            </w:r>
            <w:r w:rsidR="000175C2">
              <w:rPr>
                <w:rFonts w:ascii="Arial" w:hAnsi="Arial"/>
                <w:szCs w:val="18"/>
              </w:rPr>
              <w:t>,</w:t>
            </w:r>
            <w:r w:rsidR="006D6F9A">
              <w:rPr>
                <w:rFonts w:ascii="Arial" w:hAnsi="Arial"/>
                <w:szCs w:val="18"/>
              </w:rPr>
              <w:t xml:space="preserve"> </w:t>
            </w:r>
            <w:r w:rsidR="000175C2">
              <w:rPr>
                <w:rFonts w:ascii="Arial" w:hAnsi="Arial"/>
                <w:szCs w:val="18"/>
              </w:rPr>
              <w:t xml:space="preserve">the results of the day-ahead </w:t>
            </w:r>
            <w:r>
              <w:rPr>
                <w:rFonts w:ascii="Arial" w:hAnsi="Arial"/>
                <w:szCs w:val="18"/>
              </w:rPr>
              <w:t xml:space="preserve">auction </w:t>
            </w:r>
            <w:r w:rsidRPr="00B901E1">
              <w:rPr>
                <w:rFonts w:ascii="Arial" w:hAnsi="Arial"/>
                <w:szCs w:val="18"/>
              </w:rPr>
              <w:t>and</w:t>
            </w:r>
            <w:r>
              <w:rPr>
                <w:rFonts w:ascii="Arial" w:hAnsi="Arial"/>
                <w:szCs w:val="18"/>
              </w:rPr>
              <w:t xml:space="preserve"> </w:t>
            </w:r>
            <w:r w:rsidR="000175C2">
              <w:rPr>
                <w:rFonts w:ascii="Arial" w:hAnsi="Arial"/>
                <w:szCs w:val="18"/>
              </w:rPr>
              <w:t xml:space="preserve">to </w:t>
            </w:r>
            <w:r>
              <w:rPr>
                <w:rFonts w:ascii="Arial" w:hAnsi="Arial"/>
                <w:szCs w:val="18"/>
              </w:rPr>
              <w:t>comply with transaction support arrangements</w:t>
            </w:r>
            <w:r w:rsidR="008A4CED">
              <w:rPr>
                <w:rFonts w:ascii="Arial" w:hAnsi="Arial"/>
                <w:szCs w:val="18"/>
              </w:rPr>
              <w:t>.</w:t>
            </w:r>
          </w:p>
        </w:tc>
      </w:tr>
      <w:tr w:rsidR="000608DD" w:rsidRPr="00B901E1" w:rsidTr="00B74F4D">
        <w:tc>
          <w:tcPr>
            <w:tcW w:w="1701" w:type="dxa"/>
            <w:vMerge/>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p>
        </w:tc>
        <w:tc>
          <w:tcPr>
            <w:tcW w:w="7371" w:type="dxa"/>
            <w:tcBorders>
              <w:bottom w:val="single" w:sz="4" w:space="0" w:color="auto"/>
            </w:tcBorders>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r w:rsidRPr="00B901E1">
              <w:rPr>
                <w:rFonts w:ascii="Arial" w:hAnsi="Arial"/>
                <w:szCs w:val="18"/>
              </w:rPr>
              <w:t xml:space="preserve">First day </w:t>
            </w:r>
            <w:r w:rsidRPr="005A61F0">
              <w:rPr>
                <w:rFonts w:ascii="Arial" w:hAnsi="Arial"/>
                <w:szCs w:val="18"/>
              </w:rPr>
              <w:t xml:space="preserve">from which </w:t>
            </w:r>
            <w:r w:rsidRPr="00D30678">
              <w:rPr>
                <w:rFonts w:ascii="Arial" w:hAnsi="Arial"/>
                <w:szCs w:val="18"/>
              </w:rPr>
              <w:t>auction facility o</w:t>
            </w:r>
            <w:r w:rsidRPr="00050D60">
              <w:rPr>
                <w:rFonts w:ascii="Arial" w:hAnsi="Arial"/>
                <w:szCs w:val="18"/>
              </w:rPr>
              <w:t>perator</w:t>
            </w:r>
            <w:r w:rsidRPr="00D30678">
              <w:rPr>
                <w:rFonts w:ascii="Arial" w:hAnsi="Arial"/>
                <w:szCs w:val="18"/>
              </w:rPr>
              <w:t xml:space="preserve">s must keep and maintain nomination and scheduling records and </w:t>
            </w:r>
            <w:r w:rsidRPr="00F04A8E">
              <w:rPr>
                <w:rFonts w:ascii="Arial" w:hAnsi="Arial"/>
                <w:szCs w:val="18"/>
              </w:rPr>
              <w:t>users of auction facilit</w:t>
            </w:r>
            <w:r w:rsidRPr="00C37D44">
              <w:rPr>
                <w:rFonts w:ascii="Arial" w:hAnsi="Arial"/>
                <w:szCs w:val="18"/>
              </w:rPr>
              <w:t xml:space="preserve">ies </w:t>
            </w:r>
            <w:r w:rsidRPr="00D30678">
              <w:rPr>
                <w:rFonts w:ascii="Arial" w:hAnsi="Arial"/>
                <w:szCs w:val="18"/>
              </w:rPr>
              <w:t>must keep records</w:t>
            </w:r>
            <w:r>
              <w:rPr>
                <w:rFonts w:ascii="Arial" w:hAnsi="Arial"/>
                <w:szCs w:val="18"/>
              </w:rPr>
              <w:t xml:space="preserve"> </w:t>
            </w:r>
            <w:r w:rsidR="007A3AAE">
              <w:rPr>
                <w:rFonts w:ascii="Arial" w:hAnsi="Arial"/>
                <w:szCs w:val="18"/>
              </w:rPr>
              <w:t xml:space="preserve">of material changes </w:t>
            </w:r>
            <w:r>
              <w:rPr>
                <w:rFonts w:ascii="Arial" w:hAnsi="Arial"/>
                <w:szCs w:val="18"/>
              </w:rPr>
              <w:t xml:space="preserve">in </w:t>
            </w:r>
            <w:r w:rsidR="007A3AAE">
              <w:rPr>
                <w:rFonts w:ascii="Arial" w:hAnsi="Arial"/>
                <w:szCs w:val="18"/>
              </w:rPr>
              <w:t xml:space="preserve">renominations in </w:t>
            </w:r>
            <w:r>
              <w:rPr>
                <w:rFonts w:ascii="Arial" w:hAnsi="Arial"/>
                <w:szCs w:val="18"/>
              </w:rPr>
              <w:t>accordance with AER guidelines</w:t>
            </w:r>
            <w:r w:rsidR="006D6F9A">
              <w:rPr>
                <w:rFonts w:ascii="Arial" w:hAnsi="Arial"/>
                <w:szCs w:val="18"/>
              </w:rPr>
              <w:t>.</w:t>
            </w:r>
          </w:p>
        </w:tc>
      </w:tr>
      <w:tr w:rsidR="000608DD" w:rsidRPr="00B901E1" w:rsidTr="00B74F4D">
        <w:trPr>
          <w:cnfStyle w:val="000000010000" w:firstRow="0" w:lastRow="0" w:firstColumn="0" w:lastColumn="0" w:oddVBand="0" w:evenVBand="0" w:oddHBand="0" w:evenHBand="1" w:firstRowFirstColumn="0" w:firstRowLastColumn="0" w:lastRowFirstColumn="0" w:lastRowLastColumn="0"/>
        </w:trPr>
        <w:tc>
          <w:tcPr>
            <w:tcW w:w="1701" w:type="dxa"/>
            <w:vMerge/>
            <w:tcBorders>
              <w:bottom w:val="single" w:sz="4" w:space="0" w:color="auto"/>
            </w:tcBorders>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p>
        </w:tc>
        <w:tc>
          <w:tcPr>
            <w:tcW w:w="7371" w:type="dxa"/>
            <w:tcBorders>
              <w:bottom w:val="single" w:sz="4" w:space="0" w:color="auto"/>
            </w:tcBorders>
            <w:shd w:val="clear" w:color="auto" w:fill="FFFFFF" w:themeFill="background1"/>
          </w:tcPr>
          <w:p w:rsidR="000608DD" w:rsidRPr="00B901E1" w:rsidRDefault="000608DD" w:rsidP="006A1974">
            <w:pPr>
              <w:pStyle w:val="TableBodyText"/>
              <w:spacing w:before="20" w:after="20" w:line="252" w:lineRule="auto"/>
              <w:rPr>
                <w:rFonts w:ascii="Arial" w:hAnsi="Arial"/>
                <w:szCs w:val="18"/>
              </w:rPr>
            </w:pPr>
            <w:r>
              <w:rPr>
                <w:rFonts w:ascii="Arial" w:hAnsi="Arial"/>
                <w:szCs w:val="18"/>
              </w:rPr>
              <w:t xml:space="preserve">First day from which shippers must comply with secondary capacity trading reporting </w:t>
            </w:r>
            <w:r w:rsidR="006D6F9A">
              <w:rPr>
                <w:rFonts w:ascii="Arial" w:hAnsi="Arial"/>
                <w:szCs w:val="18"/>
              </w:rPr>
              <w:t xml:space="preserve">obligations </w:t>
            </w:r>
            <w:r>
              <w:rPr>
                <w:rFonts w:ascii="Arial" w:hAnsi="Arial"/>
                <w:szCs w:val="18"/>
              </w:rPr>
              <w:t>and auction facility operators must comply with auction reporting obligations</w:t>
            </w:r>
            <w:r w:rsidR="006D6F9A">
              <w:rPr>
                <w:rFonts w:ascii="Arial" w:hAnsi="Arial"/>
                <w:szCs w:val="18"/>
              </w:rPr>
              <w:t>.</w:t>
            </w:r>
          </w:p>
        </w:tc>
      </w:tr>
      <w:tr w:rsidR="009403A4" w:rsidRPr="00B901E1" w:rsidTr="00B74F4D">
        <w:tc>
          <w:tcPr>
            <w:tcW w:w="1701" w:type="dxa"/>
            <w:tcBorders>
              <w:bottom w:val="single" w:sz="4" w:space="0" w:color="auto"/>
            </w:tcBorders>
            <w:shd w:val="clear" w:color="auto" w:fill="E1E2E7" w:themeFill="background2"/>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2 March 2019</w:t>
            </w:r>
          </w:p>
        </w:tc>
        <w:tc>
          <w:tcPr>
            <w:tcW w:w="7371" w:type="dxa"/>
            <w:tcBorders>
              <w:bottom w:val="single" w:sz="4" w:space="0" w:color="auto"/>
            </w:tcBorders>
            <w:shd w:val="clear" w:color="auto" w:fill="E1E2E7" w:themeFill="background2"/>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First day for use of auctioned capacity</w:t>
            </w:r>
            <w:r w:rsidR="007909BF">
              <w:rPr>
                <w:rFonts w:ascii="Arial" w:hAnsi="Arial"/>
                <w:szCs w:val="18"/>
              </w:rPr>
              <w:t xml:space="preserve"> and </w:t>
            </w:r>
            <w:r w:rsidR="0000085B">
              <w:rPr>
                <w:rFonts w:ascii="Arial" w:hAnsi="Arial"/>
                <w:szCs w:val="18"/>
              </w:rPr>
              <w:t xml:space="preserve">capacity purchased through the </w:t>
            </w:r>
            <w:r w:rsidR="006D6F9A">
              <w:rPr>
                <w:rFonts w:ascii="Arial" w:hAnsi="Arial"/>
                <w:szCs w:val="18"/>
              </w:rPr>
              <w:t>capacity trading platform</w:t>
            </w:r>
            <w:r w:rsidR="007A3AAE">
              <w:rPr>
                <w:rFonts w:ascii="Arial" w:hAnsi="Arial"/>
                <w:szCs w:val="18"/>
              </w:rPr>
              <w:t>.</w:t>
            </w:r>
          </w:p>
        </w:tc>
      </w:tr>
      <w:tr w:rsidR="009403A4" w:rsidRPr="00B901E1" w:rsidTr="00B74F4D">
        <w:trPr>
          <w:cnfStyle w:val="000000010000" w:firstRow="0" w:lastRow="0" w:firstColumn="0" w:lastColumn="0" w:oddVBand="0" w:evenVBand="0" w:oddHBand="0" w:evenHBand="1" w:firstRowFirstColumn="0" w:firstRowLastColumn="0" w:lastRowFirstColumn="0" w:lastRowLastColumn="0"/>
        </w:trPr>
        <w:tc>
          <w:tcPr>
            <w:tcW w:w="1701" w:type="dxa"/>
            <w:tcBorders>
              <w:bottom w:val="single" w:sz="4" w:space="0" w:color="auto"/>
            </w:tcBorders>
            <w:shd w:val="clear" w:color="auto" w:fill="FFFFFF" w:themeFill="background1"/>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30 June 2019</w:t>
            </w:r>
          </w:p>
        </w:tc>
        <w:tc>
          <w:tcPr>
            <w:tcW w:w="7371" w:type="dxa"/>
            <w:tcBorders>
              <w:bottom w:val="single" w:sz="4" w:space="0" w:color="auto"/>
            </w:tcBorders>
            <w:shd w:val="clear" w:color="auto" w:fill="FFFFFF" w:themeFill="background1"/>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Facility operator for a natural gas facility that provides services to third parties must publish information about its arrangements for the transition to the standard timetable</w:t>
            </w:r>
            <w:r w:rsidR="007A3AAE">
              <w:rPr>
                <w:rFonts w:ascii="Arial" w:hAnsi="Arial"/>
                <w:szCs w:val="18"/>
              </w:rPr>
              <w:t>.</w:t>
            </w:r>
          </w:p>
        </w:tc>
      </w:tr>
      <w:tr w:rsidR="009403A4" w:rsidRPr="00B901E1" w:rsidTr="00B74F4D">
        <w:tc>
          <w:tcPr>
            <w:tcW w:w="1701" w:type="dxa"/>
            <w:tcBorders>
              <w:bottom w:val="single" w:sz="4" w:space="0" w:color="auto"/>
            </w:tcBorders>
            <w:shd w:val="clear" w:color="auto" w:fill="E1E2E7" w:themeFill="background2"/>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1 October 2019</w:t>
            </w:r>
          </w:p>
        </w:tc>
        <w:tc>
          <w:tcPr>
            <w:tcW w:w="7371" w:type="dxa"/>
            <w:tcBorders>
              <w:bottom w:val="single" w:sz="4" w:space="0" w:color="auto"/>
            </w:tcBorders>
            <w:shd w:val="clear" w:color="auto" w:fill="E1E2E7" w:themeFill="background2"/>
          </w:tcPr>
          <w:p w:rsidR="009403A4" w:rsidRPr="00B901E1" w:rsidRDefault="009403A4" w:rsidP="006A1974">
            <w:pPr>
              <w:pStyle w:val="TableBodyText"/>
              <w:spacing w:before="20" w:after="20" w:line="252" w:lineRule="auto"/>
              <w:rPr>
                <w:rFonts w:ascii="Arial" w:hAnsi="Arial"/>
                <w:szCs w:val="18"/>
              </w:rPr>
            </w:pPr>
            <w:r w:rsidRPr="00B901E1">
              <w:rPr>
                <w:rFonts w:ascii="Arial" w:hAnsi="Arial"/>
                <w:szCs w:val="18"/>
              </w:rPr>
              <w:t>Standard market timetable comes into effect</w:t>
            </w:r>
            <w:r w:rsidR="007A3AAE">
              <w:rPr>
                <w:rFonts w:ascii="Arial" w:hAnsi="Arial"/>
                <w:szCs w:val="18"/>
              </w:rPr>
              <w:t>.</w:t>
            </w:r>
          </w:p>
        </w:tc>
      </w:tr>
      <w:tr w:rsidR="009403A4" w:rsidRPr="00B901E1" w:rsidTr="00B74F4D">
        <w:trPr>
          <w:cnfStyle w:val="000000010000" w:firstRow="0" w:lastRow="0" w:firstColumn="0" w:lastColumn="0" w:oddVBand="0" w:evenVBand="0" w:oddHBand="0" w:evenHBand="1" w:firstRowFirstColumn="0" w:firstRowLastColumn="0" w:lastRowFirstColumn="0" w:lastRowLastColumn="0"/>
          <w:trHeight w:val="118"/>
        </w:trPr>
        <w:tc>
          <w:tcPr>
            <w:tcW w:w="1701" w:type="dxa"/>
            <w:shd w:val="clear" w:color="auto" w:fill="FFFFFF" w:themeFill="background1"/>
          </w:tcPr>
          <w:p w:rsidR="009403A4" w:rsidRPr="00B901E1" w:rsidRDefault="009403A4" w:rsidP="00B74F4D">
            <w:pPr>
              <w:pStyle w:val="TableBodyText"/>
              <w:spacing w:before="20" w:after="20"/>
              <w:rPr>
                <w:rFonts w:ascii="Arial" w:hAnsi="Arial"/>
                <w:szCs w:val="18"/>
              </w:rPr>
            </w:pPr>
            <w:r w:rsidRPr="00B901E1">
              <w:rPr>
                <w:rFonts w:ascii="Arial" w:hAnsi="Arial"/>
                <w:szCs w:val="18"/>
              </w:rPr>
              <w:t>1 March 2021</w:t>
            </w:r>
          </w:p>
        </w:tc>
        <w:tc>
          <w:tcPr>
            <w:tcW w:w="7371" w:type="dxa"/>
            <w:shd w:val="clear" w:color="auto" w:fill="FFFFFF" w:themeFill="background1"/>
          </w:tcPr>
          <w:p w:rsidR="009403A4" w:rsidRPr="00B901E1" w:rsidRDefault="00031E24" w:rsidP="00FE49F9">
            <w:pPr>
              <w:pStyle w:val="TableBodyText"/>
              <w:spacing w:before="20" w:after="20"/>
              <w:rPr>
                <w:rFonts w:ascii="Arial" w:hAnsi="Arial"/>
                <w:szCs w:val="18"/>
              </w:rPr>
            </w:pPr>
            <w:r>
              <w:rPr>
                <w:rFonts w:ascii="Arial" w:hAnsi="Arial"/>
                <w:szCs w:val="18"/>
              </w:rPr>
              <w:t xml:space="preserve">Grandfathering </w:t>
            </w:r>
            <w:r w:rsidR="00C30AD4">
              <w:rPr>
                <w:rFonts w:ascii="Arial" w:hAnsi="Arial"/>
                <w:szCs w:val="18"/>
              </w:rPr>
              <w:t xml:space="preserve">of rights </w:t>
            </w:r>
            <w:r w:rsidR="009403A4" w:rsidRPr="00B901E1">
              <w:rPr>
                <w:rFonts w:ascii="Arial" w:hAnsi="Arial"/>
                <w:szCs w:val="18"/>
              </w:rPr>
              <w:t xml:space="preserve">for the purposes of the </w:t>
            </w:r>
            <w:r w:rsidR="00C30AD4">
              <w:rPr>
                <w:rFonts w:ascii="Arial" w:hAnsi="Arial"/>
                <w:szCs w:val="18"/>
              </w:rPr>
              <w:t xml:space="preserve">capacity </w:t>
            </w:r>
            <w:r w:rsidR="009403A4" w:rsidRPr="00B901E1">
              <w:rPr>
                <w:rFonts w:ascii="Arial" w:hAnsi="Arial"/>
                <w:szCs w:val="18"/>
              </w:rPr>
              <w:t>auction ceases at 6:00 am</w:t>
            </w:r>
            <w:r w:rsidR="007A3AAE">
              <w:rPr>
                <w:rFonts w:ascii="Arial" w:hAnsi="Arial"/>
                <w:szCs w:val="18"/>
              </w:rPr>
              <w:t>.</w:t>
            </w:r>
          </w:p>
        </w:tc>
      </w:tr>
      <w:bookmarkEnd w:id="10"/>
      <w:bookmarkEnd w:id="11"/>
    </w:tbl>
    <w:p w:rsidR="0064242F" w:rsidRDefault="0064242F" w:rsidP="0064242F">
      <w:pPr>
        <w:pStyle w:val="ListBullet"/>
        <w:numPr>
          <w:ilvl w:val="0"/>
          <w:numId w:val="0"/>
        </w:numPr>
        <w:ind w:left="357" w:hanging="357"/>
        <w:rPr>
          <w:rFonts w:cstheme="majorHAnsi"/>
          <w:color w:val="0099CC"/>
          <w:sz w:val="2"/>
          <w:szCs w:val="2"/>
          <w:highlight w:val="yellow"/>
        </w:rPr>
      </w:pPr>
    </w:p>
    <w:p w:rsidR="0064242F" w:rsidRDefault="0064242F" w:rsidP="0064242F">
      <w:pPr>
        <w:pStyle w:val="Caption"/>
        <w:keepLines w:val="0"/>
        <w:spacing w:before="0" w:after="0"/>
        <w:ind w:left="851" w:hanging="851"/>
        <w:rPr>
          <w:rFonts w:ascii="Arial" w:hAnsi="Arial" w:cs="Arial"/>
        </w:rPr>
      </w:pPr>
      <w:bookmarkStart w:id="12" w:name="_Hlk518306003"/>
      <w:r w:rsidRPr="00C37D44">
        <w:rPr>
          <w:rFonts w:ascii="Arial" w:hAnsi="Arial" w:cs="Arial"/>
        </w:rPr>
        <w:t xml:space="preserve">Table </w:t>
      </w:r>
      <w:r>
        <w:rPr>
          <w:rFonts w:ascii="Arial" w:hAnsi="Arial" w:cs="Arial"/>
        </w:rPr>
        <w:t>3</w:t>
      </w:r>
      <w:r w:rsidRPr="00C37D44">
        <w:rPr>
          <w:rFonts w:ascii="Arial" w:hAnsi="Arial" w:cs="Arial"/>
        </w:rPr>
        <w:t xml:space="preserve">: Key timings for </w:t>
      </w:r>
      <w:r>
        <w:rPr>
          <w:rFonts w:ascii="Arial" w:hAnsi="Arial" w:cs="Arial"/>
        </w:rPr>
        <w:t xml:space="preserve">NT </w:t>
      </w:r>
      <w:r w:rsidR="00432617">
        <w:rPr>
          <w:rFonts w:ascii="Arial" w:hAnsi="Arial" w:cs="Arial"/>
        </w:rPr>
        <w:t xml:space="preserve">transportation </w:t>
      </w:r>
      <w:r>
        <w:rPr>
          <w:rFonts w:ascii="Arial" w:hAnsi="Arial" w:cs="Arial"/>
        </w:rPr>
        <w:t xml:space="preserve">facilities if the </w:t>
      </w:r>
      <w:r w:rsidR="002D697F">
        <w:rPr>
          <w:rFonts w:ascii="Arial" w:hAnsi="Arial" w:cs="Arial"/>
        </w:rPr>
        <w:t>NGP</w:t>
      </w:r>
      <w:r w:rsidR="00247DB2">
        <w:rPr>
          <w:rFonts w:ascii="Arial" w:hAnsi="Arial" w:cs="Arial"/>
        </w:rPr>
        <w:t xml:space="preserve"> </w:t>
      </w:r>
      <w:r>
        <w:rPr>
          <w:rFonts w:ascii="Arial" w:hAnsi="Arial" w:cs="Arial"/>
        </w:rPr>
        <w:t>is commissioned after the commencement of the rules</w:t>
      </w:r>
    </w:p>
    <w:tbl>
      <w:tblPr>
        <w:tblStyle w:val="TableGrid"/>
        <w:tblW w:w="8789" w:type="dxa"/>
        <w:tblLook w:val="04A0" w:firstRow="1" w:lastRow="0" w:firstColumn="1" w:lastColumn="0" w:noHBand="0" w:noVBand="1"/>
      </w:tblPr>
      <w:tblGrid>
        <w:gridCol w:w="1985"/>
        <w:gridCol w:w="6804"/>
      </w:tblGrid>
      <w:tr w:rsidR="00247DB2" w:rsidRPr="00247DB2" w:rsidTr="00ED04AE">
        <w:trPr>
          <w:cnfStyle w:val="100000000000" w:firstRow="1" w:lastRow="0" w:firstColumn="0" w:lastColumn="0" w:oddVBand="0" w:evenVBand="0" w:oddHBand="0" w:evenHBand="0" w:firstRowFirstColumn="0" w:firstRowLastColumn="0" w:lastRowFirstColumn="0" w:lastRowLastColumn="0"/>
          <w:tblHeader/>
        </w:trPr>
        <w:tc>
          <w:tcPr>
            <w:tcW w:w="1985" w:type="dxa"/>
            <w:tcBorders>
              <w:bottom w:val="single" w:sz="4" w:space="0" w:color="auto"/>
            </w:tcBorders>
            <w:shd w:val="clear" w:color="auto" w:fill="0099CC"/>
          </w:tcPr>
          <w:p w:rsidR="00247DB2" w:rsidRPr="00247DB2" w:rsidRDefault="00247DB2" w:rsidP="00247DB2">
            <w:pPr>
              <w:rPr>
                <w:rFonts w:asciiTheme="majorHAnsi" w:hAnsiTheme="majorHAnsi" w:cstheme="majorHAnsi"/>
                <w:b w:val="0"/>
                <w:szCs w:val="18"/>
              </w:rPr>
            </w:pPr>
            <w:bookmarkStart w:id="13" w:name="_Hlk516416819"/>
            <w:r w:rsidRPr="00247DB2">
              <w:rPr>
                <w:rFonts w:asciiTheme="majorHAnsi" w:hAnsiTheme="majorHAnsi" w:cstheme="majorHAnsi"/>
                <w:szCs w:val="18"/>
              </w:rPr>
              <w:t xml:space="preserve">Date </w:t>
            </w:r>
          </w:p>
        </w:tc>
        <w:tc>
          <w:tcPr>
            <w:tcW w:w="6804" w:type="dxa"/>
            <w:tcBorders>
              <w:bottom w:val="single" w:sz="4" w:space="0" w:color="auto"/>
            </w:tcBorders>
            <w:shd w:val="clear" w:color="auto" w:fill="0099CC"/>
          </w:tcPr>
          <w:p w:rsidR="00247DB2" w:rsidRPr="00247DB2" w:rsidRDefault="00247DB2" w:rsidP="00247DB2">
            <w:pPr>
              <w:rPr>
                <w:rFonts w:asciiTheme="majorHAnsi" w:hAnsiTheme="majorHAnsi" w:cstheme="majorHAnsi"/>
                <w:b w:val="0"/>
                <w:szCs w:val="18"/>
              </w:rPr>
            </w:pPr>
            <w:r w:rsidRPr="00247DB2">
              <w:rPr>
                <w:rFonts w:asciiTheme="majorHAnsi" w:hAnsiTheme="majorHAnsi" w:cstheme="majorHAnsi"/>
                <w:szCs w:val="18"/>
              </w:rPr>
              <w:t>Activity</w:t>
            </w:r>
          </w:p>
        </w:tc>
      </w:tr>
      <w:tr w:rsidR="00B74F4D" w:rsidRPr="00247DB2" w:rsidTr="00B74F4D">
        <w:trPr>
          <w:trHeight w:val="104"/>
        </w:trPr>
        <w:tc>
          <w:tcPr>
            <w:tcW w:w="1985" w:type="dxa"/>
            <w:vMerge w:val="restart"/>
            <w:shd w:val="clear" w:color="auto" w:fill="FFFFFF" w:themeFill="background1"/>
          </w:tcPr>
          <w:p w:rsidR="00B74F4D" w:rsidRDefault="00B74F4D" w:rsidP="00B74F4D">
            <w:pPr>
              <w:spacing w:before="20" w:after="20"/>
              <w:rPr>
                <w:rFonts w:asciiTheme="majorHAnsi" w:hAnsiTheme="majorHAnsi" w:cstheme="majorHAnsi"/>
                <w:szCs w:val="18"/>
              </w:rPr>
            </w:pPr>
            <w:r>
              <w:rPr>
                <w:rFonts w:asciiTheme="majorHAnsi" w:hAnsiTheme="majorHAnsi" w:cstheme="majorHAnsi"/>
                <w:szCs w:val="18"/>
              </w:rPr>
              <w:t>Before NGP commissioning</w:t>
            </w:r>
          </w:p>
        </w:tc>
        <w:tc>
          <w:tcPr>
            <w:tcW w:w="6804" w:type="dxa"/>
            <w:tcBorders>
              <w:bottom w:val="single" w:sz="4" w:space="0" w:color="auto"/>
            </w:tcBorders>
            <w:shd w:val="clear" w:color="auto" w:fill="FFFFFF" w:themeFill="background1"/>
          </w:tcPr>
          <w:p w:rsidR="00B74F4D" w:rsidRDefault="00B74F4D" w:rsidP="006D6F9A">
            <w:pPr>
              <w:spacing w:before="20" w:after="20"/>
              <w:rPr>
                <w:rFonts w:asciiTheme="majorHAnsi" w:hAnsiTheme="majorHAnsi" w:cstheme="majorHAnsi"/>
                <w:szCs w:val="18"/>
              </w:rPr>
            </w:pPr>
            <w:r>
              <w:rPr>
                <w:rFonts w:asciiTheme="majorHAnsi" w:hAnsiTheme="majorHAnsi" w:cstheme="majorHAnsi"/>
                <w:szCs w:val="18"/>
              </w:rPr>
              <w:t xml:space="preserve">NT </w:t>
            </w:r>
            <w:r w:rsidR="002245BF">
              <w:rPr>
                <w:rFonts w:asciiTheme="majorHAnsi" w:hAnsiTheme="majorHAnsi" w:cstheme="majorHAnsi"/>
                <w:szCs w:val="18"/>
              </w:rPr>
              <w:t xml:space="preserve">transportation </w:t>
            </w:r>
            <w:r>
              <w:rPr>
                <w:rFonts w:asciiTheme="majorHAnsi" w:hAnsiTheme="majorHAnsi" w:cstheme="majorHAnsi"/>
                <w:szCs w:val="18"/>
              </w:rPr>
              <w:t>facilities that will require an exemption after the NGP is commissioned in order to remain exempt may apply to the AER for an exemption.</w:t>
            </w:r>
            <w:r w:rsidR="00170B5F">
              <w:rPr>
                <w:rStyle w:val="FootnoteReference"/>
                <w:rFonts w:asciiTheme="majorHAnsi" w:hAnsiTheme="majorHAnsi" w:cstheme="majorHAnsi"/>
                <w:szCs w:val="18"/>
              </w:rPr>
              <w:footnoteReference w:id="10"/>
            </w:r>
          </w:p>
        </w:tc>
      </w:tr>
      <w:tr w:rsidR="00B74F4D" w:rsidRPr="00247DB2" w:rsidTr="00B74F4D">
        <w:trPr>
          <w:cnfStyle w:val="000000010000" w:firstRow="0" w:lastRow="0" w:firstColumn="0" w:lastColumn="0" w:oddVBand="0" w:evenVBand="0" w:oddHBand="0" w:evenHBand="1" w:firstRowFirstColumn="0" w:firstRowLastColumn="0" w:lastRowFirstColumn="0" w:lastRowLastColumn="0"/>
          <w:trHeight w:val="103"/>
        </w:trPr>
        <w:tc>
          <w:tcPr>
            <w:tcW w:w="1985" w:type="dxa"/>
            <w:vMerge/>
            <w:tcBorders>
              <w:bottom w:val="single" w:sz="4" w:space="0" w:color="auto"/>
            </w:tcBorders>
            <w:shd w:val="clear" w:color="auto" w:fill="FFFFFF" w:themeFill="background1"/>
          </w:tcPr>
          <w:p w:rsidR="00B74F4D" w:rsidRDefault="00B74F4D" w:rsidP="00B74F4D">
            <w:pPr>
              <w:spacing w:before="20" w:after="20"/>
              <w:rPr>
                <w:rFonts w:asciiTheme="majorHAnsi" w:hAnsiTheme="majorHAnsi" w:cstheme="majorHAnsi"/>
                <w:szCs w:val="18"/>
              </w:rPr>
            </w:pPr>
          </w:p>
        </w:tc>
        <w:tc>
          <w:tcPr>
            <w:tcW w:w="6804" w:type="dxa"/>
            <w:tcBorders>
              <w:bottom w:val="single" w:sz="4" w:space="0" w:color="auto"/>
            </w:tcBorders>
            <w:shd w:val="clear" w:color="auto" w:fill="FFFFFF" w:themeFill="background1"/>
          </w:tcPr>
          <w:p w:rsidR="00B74F4D" w:rsidRDefault="00B74F4D" w:rsidP="00170B5F">
            <w:pPr>
              <w:spacing w:before="20" w:after="20"/>
              <w:rPr>
                <w:rFonts w:asciiTheme="majorHAnsi" w:hAnsiTheme="majorHAnsi" w:cstheme="majorHAnsi"/>
                <w:szCs w:val="18"/>
              </w:rPr>
            </w:pPr>
            <w:r>
              <w:rPr>
                <w:rFonts w:asciiTheme="majorHAnsi" w:hAnsiTheme="majorHAnsi" w:cstheme="majorHAnsi"/>
                <w:szCs w:val="18"/>
              </w:rPr>
              <w:t xml:space="preserve">Transportation service providers located wholly or partly in the NT that are unable to obtain an exemption </w:t>
            </w:r>
            <w:r>
              <w:rPr>
                <w:rFonts w:ascii="Arial" w:hAnsi="Arial" w:cs="Arial"/>
                <w:szCs w:val="18"/>
              </w:rPr>
              <w:t xml:space="preserve">may </w:t>
            </w:r>
            <w:r w:rsidRPr="00B901E1">
              <w:rPr>
                <w:rFonts w:ascii="Arial" w:hAnsi="Arial" w:cs="Arial"/>
                <w:szCs w:val="18"/>
              </w:rPr>
              <w:t xml:space="preserve">apply to </w:t>
            </w:r>
            <w:r>
              <w:rPr>
                <w:rFonts w:ascii="Arial" w:hAnsi="Arial" w:cs="Arial"/>
                <w:szCs w:val="18"/>
              </w:rPr>
              <w:t xml:space="preserve">AEMO to </w:t>
            </w:r>
            <w:r w:rsidRPr="00B901E1">
              <w:rPr>
                <w:rFonts w:ascii="Arial" w:hAnsi="Arial" w:cs="Arial"/>
                <w:szCs w:val="18"/>
              </w:rPr>
              <w:t xml:space="preserve">register </w:t>
            </w:r>
            <w:r>
              <w:rPr>
                <w:rFonts w:ascii="Arial" w:hAnsi="Arial" w:cs="Arial"/>
                <w:szCs w:val="18"/>
              </w:rPr>
              <w:t xml:space="preserve">as a facility operator (if not already registered) and to register the </w:t>
            </w:r>
            <w:r w:rsidR="00170B5F">
              <w:rPr>
                <w:rFonts w:ascii="Arial" w:hAnsi="Arial" w:cs="Arial"/>
                <w:szCs w:val="18"/>
              </w:rPr>
              <w:t>transportation</w:t>
            </w:r>
            <w:r>
              <w:rPr>
                <w:rFonts w:ascii="Arial" w:hAnsi="Arial" w:cs="Arial"/>
                <w:szCs w:val="18"/>
              </w:rPr>
              <w:t xml:space="preserve"> facility</w:t>
            </w:r>
            <w:r>
              <w:rPr>
                <w:rFonts w:asciiTheme="majorHAnsi" w:hAnsiTheme="majorHAnsi" w:cstheme="majorHAnsi"/>
                <w:szCs w:val="18"/>
              </w:rPr>
              <w:t xml:space="preserve">. </w:t>
            </w:r>
          </w:p>
        </w:tc>
      </w:tr>
      <w:tr w:rsidR="00B74F4D" w:rsidRPr="00247DB2" w:rsidTr="00B74F4D">
        <w:trPr>
          <w:trHeight w:val="103"/>
        </w:trPr>
        <w:tc>
          <w:tcPr>
            <w:tcW w:w="1985" w:type="dxa"/>
            <w:vMerge w:val="restart"/>
            <w:shd w:val="clear" w:color="auto" w:fill="E1E2E7" w:themeFill="background2"/>
          </w:tcPr>
          <w:p w:rsidR="00B74F4D" w:rsidRPr="00247DB2" w:rsidRDefault="00B74F4D" w:rsidP="00B74F4D">
            <w:pPr>
              <w:spacing w:before="20" w:after="20"/>
              <w:rPr>
                <w:rFonts w:asciiTheme="majorHAnsi" w:hAnsiTheme="majorHAnsi" w:cstheme="majorHAnsi"/>
                <w:b/>
                <w:szCs w:val="18"/>
              </w:rPr>
            </w:pPr>
            <w:r>
              <w:rPr>
                <w:rFonts w:asciiTheme="majorHAnsi" w:hAnsiTheme="majorHAnsi" w:cstheme="majorHAnsi"/>
                <w:szCs w:val="18"/>
              </w:rPr>
              <w:t xml:space="preserve">NGP commissioned (Commissioning </w:t>
            </w:r>
            <w:r w:rsidR="003501BE">
              <w:rPr>
                <w:rFonts w:asciiTheme="majorHAnsi" w:hAnsiTheme="majorHAnsi" w:cstheme="majorHAnsi"/>
                <w:szCs w:val="18"/>
              </w:rPr>
              <w:t>d</w:t>
            </w:r>
            <w:r>
              <w:rPr>
                <w:rFonts w:asciiTheme="majorHAnsi" w:hAnsiTheme="majorHAnsi" w:cstheme="majorHAnsi"/>
                <w:szCs w:val="18"/>
              </w:rPr>
              <w:t>ate)</w:t>
            </w:r>
          </w:p>
        </w:tc>
        <w:tc>
          <w:tcPr>
            <w:tcW w:w="6804" w:type="dxa"/>
            <w:tcBorders>
              <w:bottom w:val="single" w:sz="4" w:space="0" w:color="auto"/>
            </w:tcBorders>
            <w:shd w:val="clear" w:color="auto" w:fill="E1E2E7" w:themeFill="background2"/>
          </w:tcPr>
          <w:p w:rsidR="00B74F4D" w:rsidRPr="00247DB2" w:rsidRDefault="00B74F4D" w:rsidP="00170B5F">
            <w:pPr>
              <w:spacing w:before="20" w:after="20"/>
              <w:rPr>
                <w:rFonts w:asciiTheme="majorHAnsi" w:hAnsiTheme="majorHAnsi" w:cstheme="majorHAnsi"/>
                <w:szCs w:val="18"/>
              </w:rPr>
            </w:pPr>
            <w:r>
              <w:rPr>
                <w:rFonts w:asciiTheme="majorHAnsi" w:hAnsiTheme="majorHAnsi" w:cstheme="majorHAnsi"/>
                <w:szCs w:val="18"/>
              </w:rPr>
              <w:t xml:space="preserve">The automatic exemption for </w:t>
            </w:r>
            <w:r w:rsidRPr="00247DB2">
              <w:rPr>
                <w:rFonts w:asciiTheme="majorHAnsi" w:hAnsiTheme="majorHAnsi" w:cstheme="majorHAnsi"/>
                <w:szCs w:val="18"/>
              </w:rPr>
              <w:t xml:space="preserve">NT </w:t>
            </w:r>
            <w:r>
              <w:rPr>
                <w:rFonts w:asciiTheme="majorHAnsi" w:hAnsiTheme="majorHAnsi" w:cstheme="majorHAnsi"/>
                <w:szCs w:val="18"/>
              </w:rPr>
              <w:t xml:space="preserve">transportation </w:t>
            </w:r>
            <w:r w:rsidRPr="00247DB2">
              <w:rPr>
                <w:rFonts w:asciiTheme="majorHAnsi" w:hAnsiTheme="majorHAnsi" w:cstheme="majorHAnsi"/>
                <w:szCs w:val="18"/>
              </w:rPr>
              <w:t xml:space="preserve">facilities </w:t>
            </w:r>
            <w:r w:rsidR="00170B5F">
              <w:rPr>
                <w:rFonts w:asciiTheme="majorHAnsi" w:hAnsiTheme="majorHAnsi" w:cstheme="majorHAnsi"/>
                <w:szCs w:val="18"/>
              </w:rPr>
              <w:t>expires</w:t>
            </w:r>
            <w:r>
              <w:rPr>
                <w:rFonts w:asciiTheme="majorHAnsi" w:hAnsiTheme="majorHAnsi" w:cstheme="majorHAnsi"/>
                <w:szCs w:val="18"/>
              </w:rPr>
              <w:t xml:space="preserve"> and NT transportation facilities fall</w:t>
            </w:r>
            <w:r w:rsidRPr="00247DB2">
              <w:rPr>
                <w:rFonts w:asciiTheme="majorHAnsi" w:hAnsiTheme="majorHAnsi" w:cstheme="majorHAnsi"/>
                <w:szCs w:val="18"/>
              </w:rPr>
              <w:t xml:space="preserve"> within the scope of the operation of </w:t>
            </w:r>
            <w:r>
              <w:rPr>
                <w:rFonts w:asciiTheme="majorHAnsi" w:hAnsiTheme="majorHAnsi" w:cstheme="majorHAnsi"/>
                <w:szCs w:val="18"/>
              </w:rPr>
              <w:t xml:space="preserve">the capacity trading reform package (other than the </w:t>
            </w:r>
            <w:r w:rsidR="000175C2">
              <w:rPr>
                <w:rFonts w:asciiTheme="majorHAnsi" w:hAnsiTheme="majorHAnsi" w:cstheme="majorHAnsi"/>
                <w:szCs w:val="18"/>
              </w:rPr>
              <w:t xml:space="preserve">day-ahead </w:t>
            </w:r>
            <w:r>
              <w:rPr>
                <w:rFonts w:asciiTheme="majorHAnsi" w:hAnsiTheme="majorHAnsi" w:cstheme="majorHAnsi"/>
                <w:szCs w:val="18"/>
              </w:rPr>
              <w:t>auction).</w:t>
            </w:r>
          </w:p>
        </w:tc>
      </w:tr>
      <w:tr w:rsidR="00B74F4D" w:rsidRPr="00247DB2" w:rsidTr="00B74F4D">
        <w:trPr>
          <w:cnfStyle w:val="000000010000" w:firstRow="0" w:lastRow="0" w:firstColumn="0" w:lastColumn="0" w:oddVBand="0" w:evenVBand="0" w:oddHBand="0" w:evenHBand="1" w:firstRowFirstColumn="0" w:firstRowLastColumn="0" w:lastRowFirstColumn="0" w:lastRowLastColumn="0"/>
          <w:trHeight w:val="103"/>
        </w:trPr>
        <w:tc>
          <w:tcPr>
            <w:tcW w:w="1985" w:type="dxa"/>
            <w:vMerge/>
            <w:tcBorders>
              <w:bottom w:val="single" w:sz="4" w:space="0" w:color="auto"/>
            </w:tcBorders>
          </w:tcPr>
          <w:p w:rsidR="00B74F4D" w:rsidRDefault="00B74F4D" w:rsidP="00B74F4D">
            <w:pPr>
              <w:spacing w:before="20" w:after="20"/>
              <w:rPr>
                <w:rFonts w:asciiTheme="majorHAnsi" w:hAnsiTheme="majorHAnsi" w:cstheme="majorHAnsi"/>
                <w:szCs w:val="18"/>
              </w:rPr>
            </w:pPr>
          </w:p>
        </w:tc>
        <w:tc>
          <w:tcPr>
            <w:tcW w:w="6804" w:type="dxa"/>
            <w:tcBorders>
              <w:bottom w:val="single" w:sz="4" w:space="0" w:color="auto"/>
            </w:tcBorders>
          </w:tcPr>
          <w:p w:rsidR="00B74F4D" w:rsidRDefault="00B74F4D" w:rsidP="00B74F4D">
            <w:pPr>
              <w:spacing w:before="20" w:after="20"/>
              <w:rPr>
                <w:rFonts w:asciiTheme="majorHAnsi" w:hAnsiTheme="majorHAnsi" w:cstheme="majorHAnsi"/>
                <w:szCs w:val="18"/>
              </w:rPr>
            </w:pPr>
            <w:r>
              <w:rPr>
                <w:rFonts w:ascii="Arial" w:hAnsi="Arial" w:cs="Arial"/>
                <w:szCs w:val="18"/>
              </w:rPr>
              <w:t>Shippers on non-exempt NT transportation facilities can seek amendments to facility agreements if required to enable capacity trading to occur and can also use the new framework in the NGR to request changes to receipt and delivery points.</w:t>
            </w:r>
          </w:p>
        </w:tc>
      </w:tr>
      <w:tr w:rsidR="00247DB2" w:rsidRPr="00247DB2" w:rsidTr="00B74F4D">
        <w:tc>
          <w:tcPr>
            <w:tcW w:w="1985" w:type="dxa"/>
            <w:tcBorders>
              <w:bottom w:val="single" w:sz="4" w:space="0" w:color="auto"/>
            </w:tcBorders>
            <w:shd w:val="clear" w:color="auto" w:fill="FFFFFF" w:themeFill="background1"/>
          </w:tcPr>
          <w:p w:rsidR="00247DB2" w:rsidRPr="00247DB2" w:rsidRDefault="00247DB2" w:rsidP="00247DB2">
            <w:pPr>
              <w:spacing w:before="20" w:after="20"/>
              <w:rPr>
                <w:rFonts w:asciiTheme="majorHAnsi" w:hAnsiTheme="majorHAnsi" w:cstheme="majorHAnsi"/>
                <w:szCs w:val="18"/>
              </w:rPr>
            </w:pPr>
            <w:r w:rsidRPr="00247DB2">
              <w:rPr>
                <w:rFonts w:asciiTheme="majorHAnsi" w:hAnsiTheme="majorHAnsi" w:cstheme="majorHAnsi"/>
                <w:szCs w:val="18"/>
              </w:rPr>
              <w:t>Commissioning date + 20 business days</w:t>
            </w:r>
          </w:p>
        </w:tc>
        <w:tc>
          <w:tcPr>
            <w:tcW w:w="6804" w:type="dxa"/>
            <w:tcBorders>
              <w:bottom w:val="single" w:sz="4" w:space="0" w:color="auto"/>
            </w:tcBorders>
            <w:shd w:val="clear" w:color="auto" w:fill="FFFFFF" w:themeFill="background1"/>
          </w:tcPr>
          <w:p w:rsidR="00247DB2" w:rsidRPr="00247DB2" w:rsidRDefault="00774105" w:rsidP="00247DB2">
            <w:pPr>
              <w:spacing w:before="20" w:after="20"/>
              <w:rPr>
                <w:rFonts w:asciiTheme="majorHAnsi" w:hAnsiTheme="majorHAnsi" w:cstheme="majorHAnsi"/>
                <w:szCs w:val="18"/>
              </w:rPr>
            </w:pPr>
            <w:r>
              <w:rPr>
                <w:rFonts w:asciiTheme="majorHAnsi" w:hAnsiTheme="majorHAnsi" w:cstheme="majorHAnsi"/>
                <w:szCs w:val="18"/>
              </w:rPr>
              <w:t xml:space="preserve">Last date for transportation service providers </w:t>
            </w:r>
            <w:r w:rsidR="00B74F4D">
              <w:rPr>
                <w:rFonts w:asciiTheme="majorHAnsi" w:hAnsiTheme="majorHAnsi" w:cstheme="majorHAnsi"/>
                <w:szCs w:val="18"/>
              </w:rPr>
              <w:t xml:space="preserve">for non-exempt </w:t>
            </w:r>
            <w:r w:rsidR="002245BF">
              <w:rPr>
                <w:rFonts w:asciiTheme="majorHAnsi" w:hAnsiTheme="majorHAnsi" w:cstheme="majorHAnsi"/>
                <w:szCs w:val="18"/>
              </w:rPr>
              <w:t xml:space="preserve">transportation </w:t>
            </w:r>
            <w:r w:rsidR="00B74F4D">
              <w:rPr>
                <w:rFonts w:asciiTheme="majorHAnsi" w:hAnsiTheme="majorHAnsi" w:cstheme="majorHAnsi"/>
                <w:szCs w:val="18"/>
              </w:rPr>
              <w:t xml:space="preserve">facilities </w:t>
            </w:r>
            <w:r>
              <w:rPr>
                <w:rFonts w:asciiTheme="majorHAnsi" w:hAnsiTheme="majorHAnsi" w:cstheme="majorHAnsi"/>
                <w:szCs w:val="18"/>
              </w:rPr>
              <w:t>located wholly or partly in the NT</w:t>
            </w:r>
            <w:r w:rsidR="00ED04AE">
              <w:rPr>
                <w:rFonts w:asciiTheme="majorHAnsi" w:hAnsiTheme="majorHAnsi" w:cstheme="majorHAnsi"/>
                <w:szCs w:val="18"/>
              </w:rPr>
              <w:t xml:space="preserve"> </w:t>
            </w:r>
            <w:r w:rsidRPr="00B901E1">
              <w:rPr>
                <w:rFonts w:ascii="Arial" w:hAnsi="Arial" w:cs="Arial"/>
                <w:szCs w:val="18"/>
              </w:rPr>
              <w:t xml:space="preserve">to apply to </w:t>
            </w:r>
            <w:r>
              <w:rPr>
                <w:rFonts w:ascii="Arial" w:hAnsi="Arial" w:cs="Arial"/>
                <w:szCs w:val="18"/>
              </w:rPr>
              <w:t xml:space="preserve">AEMO to </w:t>
            </w:r>
            <w:r w:rsidRPr="00B901E1">
              <w:rPr>
                <w:rFonts w:ascii="Arial" w:hAnsi="Arial" w:cs="Arial"/>
                <w:szCs w:val="18"/>
              </w:rPr>
              <w:t xml:space="preserve">register </w:t>
            </w:r>
            <w:r>
              <w:rPr>
                <w:rFonts w:ascii="Arial" w:hAnsi="Arial" w:cs="Arial"/>
                <w:szCs w:val="18"/>
              </w:rPr>
              <w:t xml:space="preserve">as </w:t>
            </w:r>
            <w:r w:rsidR="00B74F4D">
              <w:rPr>
                <w:rFonts w:ascii="Arial" w:hAnsi="Arial" w:cs="Arial"/>
                <w:szCs w:val="18"/>
              </w:rPr>
              <w:t xml:space="preserve">a facility operator (if not already registered) and to register the non-exempt </w:t>
            </w:r>
            <w:r w:rsidR="002245BF">
              <w:rPr>
                <w:rFonts w:ascii="Arial" w:hAnsi="Arial" w:cs="Arial"/>
                <w:szCs w:val="18"/>
              </w:rPr>
              <w:t xml:space="preserve">transportation </w:t>
            </w:r>
            <w:r>
              <w:rPr>
                <w:rFonts w:ascii="Arial" w:hAnsi="Arial" w:cs="Arial"/>
                <w:szCs w:val="18"/>
              </w:rPr>
              <w:t>facility</w:t>
            </w:r>
            <w:r>
              <w:rPr>
                <w:rFonts w:asciiTheme="majorHAnsi" w:hAnsiTheme="majorHAnsi" w:cstheme="majorHAnsi"/>
                <w:szCs w:val="18"/>
              </w:rPr>
              <w:t>.</w:t>
            </w:r>
          </w:p>
        </w:tc>
      </w:tr>
      <w:tr w:rsidR="00247DB2" w:rsidRPr="00247DB2" w:rsidTr="00B74F4D">
        <w:trPr>
          <w:cnfStyle w:val="000000010000" w:firstRow="0" w:lastRow="0" w:firstColumn="0" w:lastColumn="0" w:oddVBand="0" w:evenVBand="0" w:oddHBand="0" w:evenHBand="1" w:firstRowFirstColumn="0" w:firstRowLastColumn="0" w:lastRowFirstColumn="0" w:lastRowLastColumn="0"/>
        </w:trPr>
        <w:tc>
          <w:tcPr>
            <w:tcW w:w="1985" w:type="dxa"/>
            <w:tcBorders>
              <w:bottom w:val="single" w:sz="4" w:space="0" w:color="auto"/>
            </w:tcBorders>
          </w:tcPr>
          <w:p w:rsidR="00247DB2" w:rsidRPr="00247DB2" w:rsidRDefault="00247DB2" w:rsidP="00247DB2">
            <w:pPr>
              <w:spacing w:before="20" w:after="20"/>
              <w:rPr>
                <w:rFonts w:asciiTheme="majorHAnsi" w:hAnsiTheme="majorHAnsi" w:cstheme="majorHAnsi"/>
                <w:szCs w:val="18"/>
              </w:rPr>
            </w:pPr>
            <w:r w:rsidRPr="00247DB2">
              <w:rPr>
                <w:rFonts w:asciiTheme="majorHAnsi" w:hAnsiTheme="majorHAnsi" w:cstheme="majorHAnsi"/>
                <w:szCs w:val="18"/>
              </w:rPr>
              <w:t>Commissioning date + 40 business days</w:t>
            </w:r>
          </w:p>
        </w:tc>
        <w:tc>
          <w:tcPr>
            <w:tcW w:w="6804" w:type="dxa"/>
            <w:tcBorders>
              <w:bottom w:val="single" w:sz="4" w:space="0" w:color="auto"/>
            </w:tcBorders>
          </w:tcPr>
          <w:p w:rsidR="00247DB2" w:rsidRPr="00247DB2" w:rsidRDefault="00774105" w:rsidP="00247DB2">
            <w:pPr>
              <w:spacing w:before="20" w:after="20"/>
              <w:rPr>
                <w:rFonts w:asciiTheme="majorHAnsi" w:hAnsiTheme="majorHAnsi" w:cstheme="majorHAnsi"/>
                <w:szCs w:val="18"/>
              </w:rPr>
            </w:pPr>
            <w:r>
              <w:rPr>
                <w:rFonts w:asciiTheme="majorHAnsi" w:hAnsiTheme="majorHAnsi" w:cstheme="majorHAnsi"/>
                <w:szCs w:val="18"/>
              </w:rPr>
              <w:t xml:space="preserve">Last date for service providers </w:t>
            </w:r>
            <w:r w:rsidR="00B74F4D">
              <w:rPr>
                <w:rFonts w:asciiTheme="majorHAnsi" w:hAnsiTheme="majorHAnsi" w:cstheme="majorHAnsi"/>
                <w:szCs w:val="18"/>
              </w:rPr>
              <w:t xml:space="preserve">for a non-exempt NT </w:t>
            </w:r>
            <w:r w:rsidR="002245BF">
              <w:rPr>
                <w:rFonts w:asciiTheme="majorHAnsi" w:hAnsiTheme="majorHAnsi" w:cstheme="majorHAnsi"/>
                <w:szCs w:val="18"/>
              </w:rPr>
              <w:t xml:space="preserve">transportation </w:t>
            </w:r>
            <w:r w:rsidR="00B74F4D">
              <w:rPr>
                <w:rFonts w:asciiTheme="majorHAnsi" w:hAnsiTheme="majorHAnsi" w:cstheme="majorHAnsi"/>
                <w:szCs w:val="18"/>
              </w:rPr>
              <w:t xml:space="preserve">facility </w:t>
            </w:r>
            <w:r>
              <w:rPr>
                <w:rFonts w:asciiTheme="majorHAnsi" w:hAnsiTheme="majorHAnsi" w:cstheme="majorHAnsi"/>
                <w:szCs w:val="18"/>
              </w:rPr>
              <w:t xml:space="preserve">to </w:t>
            </w:r>
            <w:r w:rsidR="00247DB2" w:rsidRPr="00247DB2">
              <w:rPr>
                <w:rFonts w:asciiTheme="majorHAnsi" w:hAnsiTheme="majorHAnsi" w:cstheme="majorHAnsi"/>
                <w:szCs w:val="18"/>
              </w:rPr>
              <w:t xml:space="preserve">publish </w:t>
            </w:r>
            <w:r>
              <w:rPr>
                <w:rFonts w:asciiTheme="majorHAnsi" w:hAnsiTheme="majorHAnsi" w:cstheme="majorHAnsi"/>
                <w:szCs w:val="18"/>
              </w:rPr>
              <w:t xml:space="preserve">a standard OTSA </w:t>
            </w:r>
            <w:r>
              <w:rPr>
                <w:rFonts w:ascii="Arial" w:hAnsi="Arial"/>
                <w:szCs w:val="18"/>
              </w:rPr>
              <w:t xml:space="preserve">and a schedule of standardisation charges. If a shipper makes a request to enter into the standard OTSA, </w:t>
            </w:r>
            <w:r w:rsidR="00B74F4D">
              <w:rPr>
                <w:rFonts w:ascii="Arial" w:hAnsi="Arial"/>
                <w:szCs w:val="18"/>
              </w:rPr>
              <w:t xml:space="preserve">the </w:t>
            </w:r>
            <w:r>
              <w:rPr>
                <w:rFonts w:ascii="Arial" w:hAnsi="Arial"/>
                <w:szCs w:val="18"/>
              </w:rPr>
              <w:t>service provider will have 20 business days (or longer if agreed to by the parties) to prepare and offer to enter into the agreement.</w:t>
            </w:r>
          </w:p>
        </w:tc>
      </w:tr>
      <w:tr w:rsidR="00B74F4D" w:rsidRPr="00247DB2" w:rsidTr="00F53904">
        <w:trPr>
          <w:trHeight w:val="190"/>
        </w:trPr>
        <w:tc>
          <w:tcPr>
            <w:tcW w:w="1985" w:type="dxa"/>
            <w:vMerge w:val="restart"/>
            <w:shd w:val="clear" w:color="auto" w:fill="FFFFFF" w:themeFill="background1"/>
          </w:tcPr>
          <w:p w:rsidR="00B74F4D" w:rsidRPr="00247DB2" w:rsidRDefault="00B74F4D" w:rsidP="00247DB2">
            <w:pPr>
              <w:spacing w:before="20" w:after="20"/>
              <w:rPr>
                <w:rFonts w:asciiTheme="majorHAnsi" w:hAnsiTheme="majorHAnsi" w:cstheme="majorHAnsi"/>
                <w:szCs w:val="18"/>
              </w:rPr>
            </w:pPr>
            <w:r w:rsidRPr="00247DB2">
              <w:rPr>
                <w:rFonts w:asciiTheme="majorHAnsi" w:hAnsiTheme="majorHAnsi" w:cstheme="majorHAnsi"/>
                <w:szCs w:val="18"/>
              </w:rPr>
              <w:t>Commissioning date + 90 days</w:t>
            </w:r>
          </w:p>
        </w:tc>
        <w:tc>
          <w:tcPr>
            <w:tcW w:w="6804" w:type="dxa"/>
            <w:tcBorders>
              <w:bottom w:val="single" w:sz="4" w:space="0" w:color="auto"/>
            </w:tcBorders>
            <w:shd w:val="clear" w:color="auto" w:fill="FFFFFF" w:themeFill="background1"/>
          </w:tcPr>
          <w:p w:rsidR="00B74F4D" w:rsidRPr="00247DB2" w:rsidRDefault="006D6F9A" w:rsidP="00247DB2">
            <w:pPr>
              <w:spacing w:before="20" w:after="20"/>
              <w:rPr>
                <w:rFonts w:asciiTheme="majorHAnsi" w:hAnsiTheme="majorHAnsi" w:cstheme="majorHAnsi"/>
                <w:szCs w:val="18"/>
              </w:rPr>
            </w:pPr>
            <w:r>
              <w:rPr>
                <w:rFonts w:asciiTheme="majorHAnsi" w:hAnsiTheme="majorHAnsi" w:cstheme="majorHAnsi"/>
                <w:szCs w:val="18"/>
              </w:rPr>
              <w:t>“</w:t>
            </w:r>
            <w:r w:rsidR="00B74F4D" w:rsidRPr="00247DB2">
              <w:rPr>
                <w:rFonts w:asciiTheme="majorHAnsi" w:hAnsiTheme="majorHAnsi" w:cstheme="majorHAnsi"/>
                <w:szCs w:val="18"/>
              </w:rPr>
              <w:t xml:space="preserve">NT </w:t>
            </w:r>
            <w:r w:rsidR="00B74F4D">
              <w:rPr>
                <w:rFonts w:asciiTheme="majorHAnsi" w:hAnsiTheme="majorHAnsi" w:cstheme="majorHAnsi"/>
                <w:szCs w:val="18"/>
              </w:rPr>
              <w:t>Application Date</w:t>
            </w:r>
            <w:r>
              <w:rPr>
                <w:rFonts w:asciiTheme="majorHAnsi" w:hAnsiTheme="majorHAnsi" w:cstheme="majorHAnsi"/>
                <w:szCs w:val="18"/>
              </w:rPr>
              <w:t>”</w:t>
            </w:r>
            <w:r w:rsidR="00B74F4D">
              <w:rPr>
                <w:rFonts w:asciiTheme="majorHAnsi" w:hAnsiTheme="majorHAnsi" w:cstheme="majorHAnsi"/>
                <w:szCs w:val="18"/>
              </w:rPr>
              <w:t xml:space="preserve"> for the BB</w:t>
            </w:r>
            <w:r w:rsidR="00FE49F9">
              <w:rPr>
                <w:rFonts w:asciiTheme="majorHAnsi" w:hAnsiTheme="majorHAnsi" w:cstheme="majorHAnsi"/>
                <w:szCs w:val="18"/>
              </w:rPr>
              <w:t xml:space="preserve"> under Part 18 of the NGR</w:t>
            </w:r>
            <w:r w:rsidR="00B74F4D">
              <w:rPr>
                <w:rFonts w:asciiTheme="majorHAnsi" w:hAnsiTheme="majorHAnsi" w:cstheme="majorHAnsi"/>
                <w:szCs w:val="18"/>
              </w:rPr>
              <w:t>.</w:t>
            </w:r>
          </w:p>
        </w:tc>
      </w:tr>
      <w:tr w:rsidR="00B74F4D" w:rsidRPr="00247DB2" w:rsidTr="00B74F4D">
        <w:trPr>
          <w:cnfStyle w:val="000000010000" w:firstRow="0" w:lastRow="0" w:firstColumn="0" w:lastColumn="0" w:oddVBand="0" w:evenVBand="0" w:oddHBand="0" w:evenHBand="1" w:firstRowFirstColumn="0" w:firstRowLastColumn="0" w:lastRowFirstColumn="0" w:lastRowLastColumn="0"/>
          <w:trHeight w:val="190"/>
        </w:trPr>
        <w:tc>
          <w:tcPr>
            <w:tcW w:w="1985" w:type="dxa"/>
            <w:vMerge/>
            <w:tcBorders>
              <w:bottom w:val="single" w:sz="4" w:space="0" w:color="auto"/>
            </w:tcBorders>
            <w:shd w:val="clear" w:color="auto" w:fill="FFFFFF" w:themeFill="background1"/>
          </w:tcPr>
          <w:p w:rsidR="00B74F4D" w:rsidRPr="00247DB2" w:rsidRDefault="00B74F4D" w:rsidP="00247DB2">
            <w:pPr>
              <w:spacing w:before="20" w:after="20"/>
              <w:rPr>
                <w:rFonts w:asciiTheme="majorHAnsi" w:hAnsiTheme="majorHAnsi" w:cstheme="majorHAnsi"/>
                <w:szCs w:val="18"/>
              </w:rPr>
            </w:pPr>
          </w:p>
        </w:tc>
        <w:tc>
          <w:tcPr>
            <w:tcW w:w="6804" w:type="dxa"/>
            <w:tcBorders>
              <w:bottom w:val="single" w:sz="4" w:space="0" w:color="auto"/>
            </w:tcBorders>
            <w:shd w:val="clear" w:color="auto" w:fill="FFFFFF" w:themeFill="background1"/>
          </w:tcPr>
          <w:p w:rsidR="00B74F4D" w:rsidRPr="00247DB2" w:rsidRDefault="00C5718B" w:rsidP="00247DB2">
            <w:pPr>
              <w:spacing w:before="20" w:after="20"/>
              <w:rPr>
                <w:rFonts w:asciiTheme="majorHAnsi" w:hAnsiTheme="majorHAnsi" w:cstheme="majorHAnsi"/>
                <w:szCs w:val="18"/>
              </w:rPr>
            </w:pPr>
            <w:r>
              <w:rPr>
                <w:rFonts w:ascii="Arial" w:hAnsi="Arial" w:cs="Arial"/>
                <w:szCs w:val="18"/>
              </w:rPr>
              <w:t xml:space="preserve">An allocation point on a registered transportation facility in the NT becomes a </w:t>
            </w:r>
            <w:r w:rsidR="002245BF">
              <w:rPr>
                <w:rFonts w:ascii="Arial" w:hAnsi="Arial" w:cs="Arial"/>
                <w:szCs w:val="18"/>
              </w:rPr>
              <w:t>“</w:t>
            </w:r>
            <w:r>
              <w:rPr>
                <w:rFonts w:ascii="Arial" w:hAnsi="Arial" w:cs="Arial"/>
                <w:szCs w:val="18"/>
              </w:rPr>
              <w:t xml:space="preserve">BB </w:t>
            </w:r>
            <w:r w:rsidRPr="00B901E1">
              <w:rPr>
                <w:rFonts w:ascii="Arial" w:hAnsi="Arial" w:cs="Arial"/>
                <w:szCs w:val="18"/>
              </w:rPr>
              <w:t xml:space="preserve">allocation </w:t>
            </w:r>
            <w:r>
              <w:rPr>
                <w:rFonts w:ascii="Arial" w:hAnsi="Arial" w:cs="Arial"/>
                <w:szCs w:val="18"/>
              </w:rPr>
              <w:t>point</w:t>
            </w:r>
            <w:r w:rsidR="002245BF">
              <w:rPr>
                <w:rFonts w:ascii="Arial" w:hAnsi="Arial" w:cs="Arial"/>
                <w:szCs w:val="18"/>
              </w:rPr>
              <w:t>”</w:t>
            </w:r>
            <w:r>
              <w:rPr>
                <w:rFonts w:ascii="Arial" w:hAnsi="Arial" w:cs="Arial"/>
                <w:szCs w:val="18"/>
              </w:rPr>
              <w:t xml:space="preserve"> and the agent responsible for the point becomes a </w:t>
            </w:r>
            <w:r w:rsidR="002245BF">
              <w:rPr>
                <w:rFonts w:ascii="Arial" w:hAnsi="Arial" w:cs="Arial"/>
                <w:szCs w:val="18"/>
              </w:rPr>
              <w:t>“</w:t>
            </w:r>
            <w:r>
              <w:rPr>
                <w:rFonts w:ascii="Arial" w:hAnsi="Arial" w:cs="Arial"/>
                <w:szCs w:val="18"/>
              </w:rPr>
              <w:t xml:space="preserve">BB </w:t>
            </w:r>
            <w:r w:rsidRPr="00B901E1">
              <w:rPr>
                <w:rFonts w:ascii="Arial" w:hAnsi="Arial" w:cs="Arial"/>
                <w:szCs w:val="18"/>
              </w:rPr>
              <w:t xml:space="preserve">allocation </w:t>
            </w:r>
            <w:r>
              <w:rPr>
                <w:rFonts w:ascii="Arial" w:hAnsi="Arial" w:cs="Arial"/>
                <w:szCs w:val="18"/>
              </w:rPr>
              <w:t>agent</w:t>
            </w:r>
            <w:r w:rsidR="002245BF">
              <w:rPr>
                <w:rFonts w:ascii="Arial" w:hAnsi="Arial" w:cs="Arial"/>
                <w:szCs w:val="18"/>
              </w:rPr>
              <w:t>”</w:t>
            </w:r>
            <w:r>
              <w:rPr>
                <w:rFonts w:ascii="Arial" w:hAnsi="Arial" w:cs="Arial"/>
                <w:szCs w:val="18"/>
              </w:rPr>
              <w:t xml:space="preserve"> for the purposes of the transitional arrangements in the NGR (if it is not already).</w:t>
            </w:r>
          </w:p>
        </w:tc>
      </w:tr>
      <w:tr w:rsidR="00B74F4D" w:rsidRPr="00247DB2" w:rsidTr="00F53904">
        <w:trPr>
          <w:trHeight w:val="277"/>
        </w:trPr>
        <w:tc>
          <w:tcPr>
            <w:tcW w:w="1985" w:type="dxa"/>
            <w:vMerge w:val="restart"/>
            <w:shd w:val="clear" w:color="auto" w:fill="E1E2E7" w:themeFill="background2"/>
          </w:tcPr>
          <w:p w:rsidR="00B74F4D" w:rsidRPr="00247DB2" w:rsidRDefault="00B74F4D" w:rsidP="00247DB2">
            <w:pPr>
              <w:spacing w:before="20" w:after="20"/>
              <w:rPr>
                <w:rFonts w:asciiTheme="majorHAnsi" w:hAnsiTheme="majorHAnsi" w:cstheme="majorHAnsi"/>
                <w:szCs w:val="18"/>
              </w:rPr>
            </w:pPr>
            <w:r w:rsidRPr="00247DB2">
              <w:rPr>
                <w:rFonts w:asciiTheme="majorHAnsi" w:hAnsiTheme="majorHAnsi" w:cstheme="majorHAnsi"/>
                <w:szCs w:val="18"/>
              </w:rPr>
              <w:t xml:space="preserve">Commissioning date + 90 days + 20 business days </w:t>
            </w:r>
          </w:p>
        </w:tc>
        <w:tc>
          <w:tcPr>
            <w:tcW w:w="6804" w:type="dxa"/>
            <w:tcBorders>
              <w:bottom w:val="single" w:sz="4" w:space="0" w:color="auto"/>
            </w:tcBorders>
            <w:shd w:val="clear" w:color="auto" w:fill="E1E2E7" w:themeFill="background2"/>
          </w:tcPr>
          <w:p w:rsidR="00B74F4D" w:rsidRPr="00247DB2" w:rsidRDefault="00B74F4D" w:rsidP="00247DB2">
            <w:pPr>
              <w:spacing w:before="20" w:after="20"/>
              <w:rPr>
                <w:rFonts w:asciiTheme="majorHAnsi" w:hAnsiTheme="majorHAnsi" w:cstheme="majorHAnsi"/>
                <w:szCs w:val="18"/>
              </w:rPr>
            </w:pPr>
            <w:r>
              <w:rPr>
                <w:rFonts w:asciiTheme="majorHAnsi" w:hAnsiTheme="majorHAnsi" w:cstheme="majorHAnsi"/>
                <w:szCs w:val="18"/>
              </w:rPr>
              <w:t xml:space="preserve">Last date for </w:t>
            </w:r>
            <w:r w:rsidRPr="00247DB2">
              <w:rPr>
                <w:rFonts w:asciiTheme="majorHAnsi" w:hAnsiTheme="majorHAnsi" w:cstheme="majorHAnsi"/>
                <w:szCs w:val="18"/>
              </w:rPr>
              <w:t xml:space="preserve">NT facility operators to register with AEMO </w:t>
            </w:r>
            <w:r>
              <w:rPr>
                <w:rFonts w:asciiTheme="majorHAnsi" w:hAnsiTheme="majorHAnsi" w:cstheme="majorHAnsi"/>
                <w:szCs w:val="18"/>
              </w:rPr>
              <w:t xml:space="preserve">and register their facilities </w:t>
            </w:r>
            <w:r w:rsidRPr="00247DB2">
              <w:rPr>
                <w:rFonts w:asciiTheme="majorHAnsi" w:hAnsiTheme="majorHAnsi" w:cstheme="majorHAnsi"/>
                <w:szCs w:val="18"/>
              </w:rPr>
              <w:t xml:space="preserve">under Part 18 </w:t>
            </w:r>
            <w:r>
              <w:rPr>
                <w:rFonts w:asciiTheme="majorHAnsi" w:hAnsiTheme="majorHAnsi" w:cstheme="majorHAnsi"/>
                <w:szCs w:val="18"/>
              </w:rPr>
              <w:t xml:space="preserve">of the NGR </w:t>
            </w:r>
            <w:r w:rsidRPr="00247DB2">
              <w:rPr>
                <w:rFonts w:asciiTheme="majorHAnsi" w:hAnsiTheme="majorHAnsi" w:cstheme="majorHAnsi"/>
                <w:szCs w:val="18"/>
              </w:rPr>
              <w:t>(unless already registered</w:t>
            </w:r>
            <w:r>
              <w:rPr>
                <w:rFonts w:asciiTheme="majorHAnsi" w:hAnsiTheme="majorHAnsi" w:cstheme="majorHAnsi"/>
                <w:szCs w:val="18"/>
              </w:rPr>
              <w:t xml:space="preserve"> or exempt from doing so</w:t>
            </w:r>
            <w:r w:rsidRPr="00247DB2">
              <w:rPr>
                <w:rFonts w:asciiTheme="majorHAnsi" w:hAnsiTheme="majorHAnsi" w:cstheme="majorHAnsi"/>
                <w:szCs w:val="18"/>
              </w:rPr>
              <w:t>)</w:t>
            </w:r>
            <w:r>
              <w:rPr>
                <w:rFonts w:asciiTheme="majorHAnsi" w:hAnsiTheme="majorHAnsi" w:cstheme="majorHAnsi"/>
                <w:szCs w:val="18"/>
              </w:rPr>
              <w:t xml:space="preserve">. </w:t>
            </w:r>
          </w:p>
        </w:tc>
      </w:tr>
      <w:tr w:rsidR="00B74F4D" w:rsidRPr="00247DB2" w:rsidTr="00B74F4D">
        <w:trPr>
          <w:cnfStyle w:val="000000010000" w:firstRow="0" w:lastRow="0" w:firstColumn="0" w:lastColumn="0" w:oddVBand="0" w:evenVBand="0" w:oddHBand="0" w:evenHBand="1" w:firstRowFirstColumn="0" w:firstRowLastColumn="0" w:lastRowFirstColumn="0" w:lastRowLastColumn="0"/>
          <w:trHeight w:val="276"/>
        </w:trPr>
        <w:tc>
          <w:tcPr>
            <w:tcW w:w="1985" w:type="dxa"/>
            <w:vMerge/>
            <w:tcBorders>
              <w:bottom w:val="single" w:sz="4" w:space="0" w:color="auto"/>
            </w:tcBorders>
          </w:tcPr>
          <w:p w:rsidR="00B74F4D" w:rsidRPr="00247DB2" w:rsidRDefault="00B74F4D" w:rsidP="00247DB2">
            <w:pPr>
              <w:spacing w:before="20" w:after="20"/>
              <w:rPr>
                <w:rFonts w:asciiTheme="majorHAnsi" w:hAnsiTheme="majorHAnsi" w:cstheme="majorHAnsi"/>
                <w:szCs w:val="18"/>
              </w:rPr>
            </w:pPr>
          </w:p>
        </w:tc>
        <w:tc>
          <w:tcPr>
            <w:tcW w:w="6804" w:type="dxa"/>
            <w:tcBorders>
              <w:bottom w:val="single" w:sz="4" w:space="0" w:color="auto"/>
            </w:tcBorders>
          </w:tcPr>
          <w:p w:rsidR="00B74F4D" w:rsidRDefault="00B74F4D" w:rsidP="00247DB2">
            <w:pPr>
              <w:spacing w:before="20" w:after="20"/>
              <w:rPr>
                <w:rFonts w:asciiTheme="majorHAnsi" w:hAnsiTheme="majorHAnsi" w:cstheme="majorHAnsi"/>
                <w:szCs w:val="18"/>
              </w:rPr>
            </w:pPr>
            <w:r>
              <w:rPr>
                <w:rFonts w:asciiTheme="majorHAnsi" w:hAnsiTheme="majorHAnsi" w:cstheme="majorHAnsi"/>
                <w:szCs w:val="18"/>
              </w:rPr>
              <w:t xml:space="preserve">Last date for </w:t>
            </w:r>
            <w:r>
              <w:rPr>
                <w:rFonts w:ascii="Arial" w:hAnsi="Arial" w:cs="Arial"/>
                <w:szCs w:val="18"/>
              </w:rPr>
              <w:t xml:space="preserve">BB </w:t>
            </w:r>
            <w:r w:rsidRPr="00B901E1">
              <w:rPr>
                <w:rFonts w:ascii="Arial" w:hAnsi="Arial" w:cs="Arial"/>
                <w:szCs w:val="18"/>
              </w:rPr>
              <w:t xml:space="preserve">allocation </w:t>
            </w:r>
            <w:r>
              <w:rPr>
                <w:rFonts w:ascii="Arial" w:hAnsi="Arial" w:cs="Arial"/>
                <w:szCs w:val="18"/>
              </w:rPr>
              <w:t xml:space="preserve">agents </w:t>
            </w:r>
            <w:r w:rsidR="00C5718B">
              <w:rPr>
                <w:rFonts w:ascii="Arial" w:hAnsi="Arial" w:cs="Arial"/>
                <w:szCs w:val="18"/>
              </w:rPr>
              <w:t xml:space="preserve">in the NT </w:t>
            </w:r>
            <w:r>
              <w:rPr>
                <w:rFonts w:ascii="Arial" w:hAnsi="Arial" w:cs="Arial"/>
                <w:szCs w:val="18"/>
              </w:rPr>
              <w:t>that meet the relevant criteria in the NGR to apply to AEMO to register in that role (if not already registered) and to apply to AEMO to register the BB allocation point.</w:t>
            </w:r>
          </w:p>
        </w:tc>
      </w:tr>
      <w:tr w:rsidR="00C5718B" w:rsidRPr="00247DB2" w:rsidTr="00C5718B">
        <w:trPr>
          <w:trHeight w:val="630"/>
        </w:trPr>
        <w:tc>
          <w:tcPr>
            <w:tcW w:w="1985" w:type="dxa"/>
            <w:vMerge w:val="restart"/>
            <w:shd w:val="clear" w:color="auto" w:fill="FFFFFF" w:themeFill="background1"/>
          </w:tcPr>
          <w:p w:rsidR="00C5718B" w:rsidRPr="00247DB2" w:rsidRDefault="00C5718B" w:rsidP="00ED04AE">
            <w:pPr>
              <w:keepNext/>
              <w:spacing w:before="20" w:after="20"/>
              <w:rPr>
                <w:rFonts w:asciiTheme="majorHAnsi" w:hAnsiTheme="majorHAnsi" w:cstheme="majorHAnsi"/>
                <w:szCs w:val="18"/>
              </w:rPr>
            </w:pPr>
            <w:r>
              <w:rPr>
                <w:rFonts w:asciiTheme="majorHAnsi" w:hAnsiTheme="majorHAnsi" w:cstheme="majorHAnsi"/>
                <w:szCs w:val="18"/>
              </w:rPr>
              <w:t>Commissioning date + 120 business days</w:t>
            </w:r>
          </w:p>
        </w:tc>
        <w:tc>
          <w:tcPr>
            <w:tcW w:w="6804" w:type="dxa"/>
            <w:shd w:val="clear" w:color="auto" w:fill="FFFFFF" w:themeFill="background1"/>
          </w:tcPr>
          <w:p w:rsidR="00C5718B" w:rsidRPr="00247DB2" w:rsidRDefault="00C5718B" w:rsidP="00FE49F9">
            <w:pPr>
              <w:keepNext/>
              <w:spacing w:before="20" w:after="20"/>
              <w:rPr>
                <w:rFonts w:asciiTheme="majorHAnsi" w:hAnsiTheme="majorHAnsi" w:cstheme="majorHAnsi"/>
                <w:szCs w:val="18"/>
              </w:rPr>
            </w:pPr>
            <w:r w:rsidRPr="00B901E1">
              <w:rPr>
                <w:rFonts w:ascii="Arial" w:hAnsi="Arial"/>
                <w:szCs w:val="18"/>
              </w:rPr>
              <w:t xml:space="preserve">First day on which </w:t>
            </w:r>
            <w:r>
              <w:rPr>
                <w:rFonts w:ascii="Arial" w:hAnsi="Arial"/>
                <w:szCs w:val="18"/>
              </w:rPr>
              <w:t xml:space="preserve">non-exempt NT </w:t>
            </w:r>
            <w:r w:rsidR="00FE49F9">
              <w:rPr>
                <w:rFonts w:ascii="Arial" w:hAnsi="Arial"/>
                <w:szCs w:val="18"/>
              </w:rPr>
              <w:t xml:space="preserve">transportation </w:t>
            </w:r>
            <w:r w:rsidRPr="00B901E1">
              <w:rPr>
                <w:rFonts w:ascii="Arial" w:hAnsi="Arial"/>
                <w:szCs w:val="18"/>
              </w:rPr>
              <w:t>service providers are required to give effect to operational transfers</w:t>
            </w:r>
            <w:r>
              <w:rPr>
                <w:rFonts w:ascii="Arial" w:hAnsi="Arial"/>
                <w:szCs w:val="18"/>
              </w:rPr>
              <w:t xml:space="preserve">, </w:t>
            </w:r>
            <w:r w:rsidRPr="00B901E1">
              <w:rPr>
                <w:rFonts w:ascii="Arial" w:hAnsi="Arial"/>
                <w:szCs w:val="18"/>
              </w:rPr>
              <w:t xml:space="preserve">service continuity arrangements </w:t>
            </w:r>
            <w:r>
              <w:rPr>
                <w:rFonts w:ascii="Arial" w:hAnsi="Arial"/>
                <w:szCs w:val="18"/>
              </w:rPr>
              <w:t xml:space="preserve">for </w:t>
            </w:r>
            <w:r w:rsidR="00FE49F9">
              <w:rPr>
                <w:rFonts w:ascii="Arial" w:hAnsi="Arial"/>
                <w:szCs w:val="18"/>
              </w:rPr>
              <w:t xml:space="preserve">trades conducted on the capacity trading platform </w:t>
            </w:r>
            <w:r>
              <w:rPr>
                <w:rFonts w:ascii="Arial" w:hAnsi="Arial"/>
                <w:szCs w:val="18"/>
              </w:rPr>
              <w:t xml:space="preserve">and </w:t>
            </w:r>
            <w:r w:rsidR="000175C2">
              <w:rPr>
                <w:rFonts w:ascii="Arial" w:hAnsi="Arial"/>
                <w:szCs w:val="18"/>
              </w:rPr>
              <w:t xml:space="preserve">to </w:t>
            </w:r>
            <w:r>
              <w:rPr>
                <w:rFonts w:ascii="Arial" w:hAnsi="Arial"/>
                <w:szCs w:val="18"/>
              </w:rPr>
              <w:t>comply with transaction support arrangements.</w:t>
            </w:r>
          </w:p>
        </w:tc>
      </w:tr>
      <w:tr w:rsidR="00ED04AE" w:rsidRPr="00247DB2" w:rsidTr="00FF1CEF">
        <w:trPr>
          <w:cnfStyle w:val="000000010000" w:firstRow="0" w:lastRow="0" w:firstColumn="0" w:lastColumn="0" w:oddVBand="0" w:evenVBand="0" w:oddHBand="0" w:evenHBand="1" w:firstRowFirstColumn="0" w:firstRowLastColumn="0" w:lastRowFirstColumn="0" w:lastRowLastColumn="0"/>
          <w:trHeight w:val="77"/>
        </w:trPr>
        <w:tc>
          <w:tcPr>
            <w:tcW w:w="0" w:type="dxa"/>
            <w:vMerge/>
            <w:tcBorders>
              <w:bottom w:val="single" w:sz="4" w:space="0" w:color="auto"/>
            </w:tcBorders>
            <w:shd w:val="clear" w:color="auto" w:fill="FFFFFF" w:themeFill="background1"/>
          </w:tcPr>
          <w:p w:rsidR="00ED04AE" w:rsidRDefault="00ED04AE" w:rsidP="00ED04AE">
            <w:pPr>
              <w:keepNext/>
              <w:spacing w:before="20" w:after="20"/>
              <w:rPr>
                <w:rFonts w:asciiTheme="majorHAnsi" w:hAnsiTheme="majorHAnsi" w:cstheme="majorHAnsi"/>
                <w:szCs w:val="18"/>
              </w:rPr>
            </w:pPr>
          </w:p>
        </w:tc>
        <w:tc>
          <w:tcPr>
            <w:tcW w:w="0" w:type="dxa"/>
            <w:tcBorders>
              <w:bottom w:val="single" w:sz="4" w:space="0" w:color="auto"/>
            </w:tcBorders>
            <w:shd w:val="clear" w:color="auto" w:fill="FFFFFF" w:themeFill="background1"/>
          </w:tcPr>
          <w:p w:rsidR="00ED04AE" w:rsidRPr="00247DB2" w:rsidRDefault="00ED04AE" w:rsidP="00FE49F9">
            <w:pPr>
              <w:keepNext/>
              <w:spacing w:before="20" w:after="20"/>
              <w:rPr>
                <w:rFonts w:asciiTheme="majorHAnsi" w:hAnsiTheme="majorHAnsi" w:cstheme="majorHAnsi"/>
                <w:szCs w:val="18"/>
              </w:rPr>
            </w:pPr>
            <w:r>
              <w:rPr>
                <w:rFonts w:ascii="Arial" w:hAnsi="Arial"/>
                <w:szCs w:val="18"/>
              </w:rPr>
              <w:t xml:space="preserve">First day from which shippers using non-exempt NT transportation facilities must comply with secondary capacity trading reporting </w:t>
            </w:r>
            <w:r w:rsidR="00FE49F9">
              <w:rPr>
                <w:rFonts w:ascii="Arial" w:hAnsi="Arial"/>
                <w:szCs w:val="18"/>
              </w:rPr>
              <w:t>obligations</w:t>
            </w:r>
            <w:r>
              <w:rPr>
                <w:rFonts w:ascii="Arial" w:hAnsi="Arial"/>
                <w:szCs w:val="18"/>
              </w:rPr>
              <w:t xml:space="preserve">. </w:t>
            </w:r>
          </w:p>
        </w:tc>
      </w:tr>
      <w:tr w:rsidR="008C4FA6" w:rsidRPr="00247DB2" w:rsidTr="00FF1CEF">
        <w:trPr>
          <w:trHeight w:val="77"/>
        </w:trPr>
        <w:tc>
          <w:tcPr>
            <w:tcW w:w="0" w:type="dxa"/>
            <w:shd w:val="clear" w:color="auto" w:fill="E1E2E7" w:themeFill="background2"/>
          </w:tcPr>
          <w:p w:rsidR="008C4FA6" w:rsidRPr="00982CAD" w:rsidRDefault="00E63865" w:rsidP="00E53795">
            <w:pPr>
              <w:keepNext/>
              <w:spacing w:before="20" w:after="20"/>
              <w:rPr>
                <w:rFonts w:asciiTheme="majorHAnsi" w:hAnsiTheme="majorHAnsi" w:cstheme="majorHAnsi"/>
                <w:szCs w:val="18"/>
              </w:rPr>
            </w:pPr>
            <w:r w:rsidRPr="00982CAD">
              <w:rPr>
                <w:rFonts w:asciiTheme="majorHAnsi" w:hAnsiTheme="majorHAnsi" w:cstheme="majorHAnsi"/>
                <w:szCs w:val="18"/>
              </w:rPr>
              <w:t>Expiration of derogation</w:t>
            </w:r>
          </w:p>
        </w:tc>
        <w:tc>
          <w:tcPr>
            <w:tcW w:w="0" w:type="dxa"/>
            <w:shd w:val="clear" w:color="auto" w:fill="E1E2E7" w:themeFill="background2"/>
          </w:tcPr>
          <w:p w:rsidR="008C4FA6" w:rsidRPr="00982CAD" w:rsidRDefault="000175C2" w:rsidP="00E53795">
            <w:pPr>
              <w:autoSpaceDE w:val="0"/>
              <w:autoSpaceDN w:val="0"/>
              <w:adjustRightInd w:val="0"/>
              <w:spacing w:line="240" w:lineRule="auto"/>
              <w:rPr>
                <w:rFonts w:asciiTheme="majorHAnsi" w:hAnsiTheme="majorHAnsi" w:cstheme="majorHAnsi"/>
                <w:szCs w:val="18"/>
              </w:rPr>
            </w:pPr>
            <w:r w:rsidRPr="00982CAD">
              <w:rPr>
                <w:rFonts w:asciiTheme="majorHAnsi" w:hAnsiTheme="majorHAnsi" w:cstheme="majorHAnsi"/>
                <w:szCs w:val="18"/>
              </w:rPr>
              <w:t xml:space="preserve">Day-ahead </w:t>
            </w:r>
            <w:r w:rsidR="00722BDB" w:rsidRPr="00982CAD">
              <w:rPr>
                <w:rFonts w:asciiTheme="majorHAnsi" w:hAnsiTheme="majorHAnsi" w:cstheme="majorHAnsi"/>
                <w:szCs w:val="18"/>
              </w:rPr>
              <w:t xml:space="preserve">auction applies to non-exempt NT transportation facilities </w:t>
            </w:r>
            <w:r w:rsidR="00E63865" w:rsidRPr="00982CAD">
              <w:rPr>
                <w:rFonts w:asciiTheme="majorHAnsi" w:hAnsiTheme="majorHAnsi" w:cstheme="majorHAnsi"/>
                <w:szCs w:val="18"/>
              </w:rPr>
              <w:t>(see</w:t>
            </w:r>
            <w:r w:rsidR="00722BDB" w:rsidRPr="00982CAD">
              <w:rPr>
                <w:rFonts w:asciiTheme="majorHAnsi" w:hAnsiTheme="majorHAnsi" w:cstheme="majorHAnsi"/>
                <w:szCs w:val="18"/>
              </w:rPr>
              <w:t>.</w:t>
            </w:r>
            <w:r w:rsidR="00E63865" w:rsidRPr="00982CAD">
              <w:rPr>
                <w:rFonts w:asciiTheme="majorHAnsi" w:hAnsiTheme="majorHAnsi" w:cstheme="majorHAnsi"/>
              </w:rPr>
              <w:t xml:space="preserve"> Senior Committee of Officials’ Bulletin dated 3 July 2018 for more detail on the derogation).</w:t>
            </w:r>
          </w:p>
        </w:tc>
      </w:tr>
      <w:bookmarkEnd w:id="12"/>
      <w:bookmarkEnd w:id="13"/>
    </w:tbl>
    <w:p w:rsidR="0064242F" w:rsidRDefault="0064242F" w:rsidP="0064242F">
      <w:pPr>
        <w:pStyle w:val="ListBullet"/>
        <w:numPr>
          <w:ilvl w:val="0"/>
          <w:numId w:val="0"/>
        </w:numPr>
        <w:ind w:left="357" w:hanging="357"/>
        <w:rPr>
          <w:rFonts w:cstheme="majorHAnsi"/>
          <w:color w:val="0099CC"/>
          <w:sz w:val="2"/>
          <w:szCs w:val="2"/>
          <w:highlight w:val="yellow"/>
        </w:rPr>
      </w:pPr>
    </w:p>
    <w:p w:rsidR="004865D6" w:rsidRDefault="004865D6" w:rsidP="004865D6">
      <w:pPr>
        <w:pStyle w:val="ListBullet"/>
        <w:numPr>
          <w:ilvl w:val="0"/>
          <w:numId w:val="0"/>
        </w:numPr>
      </w:pPr>
    </w:p>
    <w:p w:rsidR="004865D6" w:rsidRDefault="004865D6" w:rsidP="008C4FA6">
      <w:pPr>
        <w:pStyle w:val="ListBullet"/>
        <w:numPr>
          <w:ilvl w:val="0"/>
          <w:numId w:val="0"/>
        </w:numPr>
        <w:sectPr w:rsidR="004865D6" w:rsidSect="00331922">
          <w:headerReference w:type="default" r:id="rId17"/>
          <w:footerReference w:type="default" r:id="rId18"/>
          <w:headerReference w:type="first" r:id="rId19"/>
          <w:footerReference w:type="first" r:id="rId20"/>
          <w:pgSz w:w="11906" w:h="16838" w:code="9"/>
          <w:pgMar w:top="1843" w:right="1418" w:bottom="992" w:left="1701" w:header="568" w:footer="601" w:gutter="0"/>
          <w:cols w:space="708"/>
          <w:docGrid w:linePitch="360"/>
        </w:sectPr>
      </w:pPr>
    </w:p>
    <w:p w:rsidR="002B60CE" w:rsidRPr="00723AC6" w:rsidRDefault="002B60CE" w:rsidP="00723AC6">
      <w:pPr>
        <w:pStyle w:val="Heading9"/>
        <w:spacing w:after="120"/>
        <w:rPr>
          <w:color w:val="0099CC"/>
          <w:sz w:val="32"/>
          <w:szCs w:val="32"/>
        </w:rPr>
      </w:pPr>
      <w:bookmarkStart w:id="14" w:name="_Ref509239447"/>
      <w:bookmarkStart w:id="15" w:name="_Ref508823283"/>
      <w:bookmarkStart w:id="16" w:name="_Toc509239425"/>
      <w:bookmarkStart w:id="17" w:name="_Toc482855851"/>
      <w:r w:rsidRPr="00723AC6">
        <w:rPr>
          <w:color w:val="0099CC"/>
          <w:sz w:val="32"/>
          <w:szCs w:val="32"/>
        </w:rPr>
        <w:lastRenderedPageBreak/>
        <w:t>Final design of the capacity trading reform package</w:t>
      </w:r>
    </w:p>
    <w:p w:rsidR="00D30678" w:rsidRPr="00C37D44" w:rsidRDefault="00D30678" w:rsidP="00D30678">
      <w:pPr>
        <w:pStyle w:val="Caption"/>
        <w:spacing w:before="0" w:after="0"/>
        <w:rPr>
          <w:rFonts w:asciiTheme="majorHAnsi" w:hAnsiTheme="majorHAnsi" w:cstheme="majorHAnsi"/>
        </w:rPr>
      </w:pPr>
      <w:r w:rsidRPr="00C37D44">
        <w:rPr>
          <w:rFonts w:asciiTheme="majorHAnsi" w:hAnsiTheme="majorHAnsi" w:cstheme="majorHAnsi"/>
        </w:rPr>
        <w:t>Table A.</w:t>
      </w:r>
      <w:bookmarkEnd w:id="14"/>
      <w:r w:rsidRPr="00C37D44">
        <w:rPr>
          <w:rFonts w:asciiTheme="majorHAnsi" w:hAnsiTheme="majorHAnsi" w:cstheme="majorHAnsi"/>
        </w:rPr>
        <w:t>1: Final design of the measures to facilitate capacity trading and the auction</w:t>
      </w:r>
    </w:p>
    <w:tbl>
      <w:tblPr>
        <w:tblStyle w:val="TableGrid"/>
        <w:tblW w:w="5000" w:type="pct"/>
        <w:tblInd w:w="142" w:type="dxa"/>
        <w:tblLook w:val="0420" w:firstRow="1" w:lastRow="0" w:firstColumn="0" w:lastColumn="0" w:noHBand="0" w:noVBand="1"/>
        <w:tblCaption w:val="Table 4.1: Measures to facilitate capacity trading and the auction"/>
        <w:tblDescription w:val="Table of measures to facilitate capacity trading and the auction, operational transfer, standard operational agreements, etc."/>
      </w:tblPr>
      <w:tblGrid>
        <w:gridCol w:w="1822"/>
        <w:gridCol w:w="11898"/>
      </w:tblGrid>
      <w:tr w:rsidR="00D30678" w:rsidRPr="00C37D44" w:rsidTr="003D2AD2">
        <w:trPr>
          <w:cnfStyle w:val="100000000000" w:firstRow="1" w:lastRow="0" w:firstColumn="0" w:lastColumn="0" w:oddVBand="0" w:evenVBand="0" w:oddHBand="0" w:evenHBand="0" w:firstRowFirstColumn="0" w:firstRowLastColumn="0" w:lastRowFirstColumn="0" w:lastRowLastColumn="0"/>
          <w:tblHeader/>
        </w:trPr>
        <w:tc>
          <w:tcPr>
            <w:tcW w:w="664" w:type="pct"/>
            <w:tcBorders>
              <w:top w:val="single" w:sz="4" w:space="0" w:color="auto"/>
              <w:left w:val="nil"/>
              <w:bottom w:val="single" w:sz="4" w:space="0" w:color="auto"/>
              <w:right w:val="single" w:sz="4" w:space="0" w:color="auto"/>
            </w:tcBorders>
            <w:shd w:val="clear" w:color="auto" w:fill="0099CC"/>
            <w:hideMark/>
          </w:tcPr>
          <w:p w:rsidR="00D30678" w:rsidRPr="00C37D44" w:rsidRDefault="00D30678" w:rsidP="0064242F">
            <w:pPr>
              <w:pStyle w:val="TableHeading"/>
              <w:rPr>
                <w:rFonts w:asciiTheme="majorHAnsi" w:hAnsiTheme="majorHAnsi" w:cstheme="majorHAnsi"/>
              </w:rPr>
            </w:pPr>
            <w:r w:rsidRPr="00C37D44">
              <w:rPr>
                <w:rFonts w:asciiTheme="majorHAnsi" w:hAnsiTheme="majorHAnsi" w:cstheme="majorHAnsi"/>
              </w:rPr>
              <w:t>Design Element</w:t>
            </w:r>
          </w:p>
        </w:tc>
        <w:tc>
          <w:tcPr>
            <w:tcW w:w="4336" w:type="pct"/>
            <w:tcBorders>
              <w:top w:val="single" w:sz="4" w:space="0" w:color="auto"/>
              <w:left w:val="single" w:sz="4" w:space="0" w:color="auto"/>
              <w:bottom w:val="single" w:sz="4" w:space="0" w:color="auto"/>
              <w:right w:val="nil"/>
            </w:tcBorders>
            <w:shd w:val="clear" w:color="auto" w:fill="0099CC"/>
            <w:hideMark/>
          </w:tcPr>
          <w:p w:rsidR="00D30678" w:rsidRPr="00C37D44" w:rsidRDefault="00D30678" w:rsidP="0064242F">
            <w:pPr>
              <w:pStyle w:val="TableHeading"/>
              <w:rPr>
                <w:rFonts w:asciiTheme="majorHAnsi" w:hAnsiTheme="majorHAnsi" w:cstheme="majorHAnsi"/>
              </w:rPr>
            </w:pPr>
            <w:r w:rsidRPr="00C37D44">
              <w:rPr>
                <w:rFonts w:asciiTheme="majorHAnsi" w:hAnsiTheme="majorHAnsi" w:cstheme="majorHAnsi"/>
              </w:rPr>
              <w:t>Detail</w:t>
            </w:r>
          </w:p>
        </w:tc>
      </w:tr>
      <w:tr w:rsidR="00D30678" w:rsidRPr="00C37D44" w:rsidTr="003D2AD2">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C37D44" w:rsidRDefault="00D30678" w:rsidP="0064242F">
            <w:pPr>
              <w:pStyle w:val="TableBodyText"/>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Exemptions</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rsidR="00D30678" w:rsidRPr="00C37D44" w:rsidRDefault="00D30678" w:rsidP="0064242F">
            <w:pPr>
              <w:pStyle w:val="TableBodyText"/>
              <w:rPr>
                <w:rFonts w:asciiTheme="majorHAnsi" w:hAnsiTheme="majorHAnsi" w:cstheme="majorHAnsi"/>
                <w:highlight w:val="yellow"/>
              </w:rPr>
            </w:pPr>
            <w:r w:rsidRPr="00C37D44">
              <w:rPr>
                <w:rFonts w:asciiTheme="majorHAnsi" w:hAnsiTheme="majorHAnsi" w:cstheme="majorHAnsi"/>
              </w:rPr>
              <w:t>Exemptions</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C37D44" w:rsidRDefault="00D30678" w:rsidP="0064242F">
            <w:pPr>
              <w:pStyle w:val="TableBodyText"/>
              <w:rPr>
                <w:rFonts w:asciiTheme="majorHAnsi" w:hAnsiTheme="majorHAnsi" w:cstheme="majorHAnsi"/>
              </w:rPr>
            </w:pPr>
            <w:bookmarkStart w:id="18" w:name="_Hlk516156588"/>
            <w:r w:rsidRPr="00C37D44">
              <w:rPr>
                <w:rFonts w:asciiTheme="majorHAnsi" w:hAnsiTheme="majorHAnsi" w:cstheme="majorHAnsi"/>
              </w:rPr>
              <w:t>The exemptions framework for the capacity trading reform package provide for</w:t>
            </w:r>
            <w:r w:rsidR="00F27ECA">
              <w:rPr>
                <w:rFonts w:asciiTheme="majorHAnsi" w:hAnsiTheme="majorHAnsi" w:cstheme="majorHAnsi"/>
              </w:rPr>
              <w:t>:</w:t>
            </w:r>
          </w:p>
          <w:p w:rsidR="00D30678" w:rsidRPr="00C37D44" w:rsidRDefault="00D30678">
            <w:pPr>
              <w:pStyle w:val="TableBullet1"/>
              <w:rPr>
                <w:rFonts w:asciiTheme="majorHAnsi" w:hAnsiTheme="majorHAnsi" w:cstheme="majorHAnsi"/>
              </w:rPr>
            </w:pPr>
            <w:r w:rsidRPr="00C37D44">
              <w:rPr>
                <w:rFonts w:asciiTheme="majorHAnsi" w:hAnsiTheme="majorHAnsi" w:cstheme="majorHAnsi"/>
                <w:szCs w:val="18"/>
              </w:rPr>
              <w:t xml:space="preserve">Exemptions from </w:t>
            </w:r>
            <w:r w:rsidRPr="00C37D44">
              <w:rPr>
                <w:rFonts w:asciiTheme="majorHAnsi" w:hAnsiTheme="majorHAnsi" w:cstheme="majorHAnsi"/>
                <w:b/>
                <w:szCs w:val="18"/>
              </w:rPr>
              <w:t xml:space="preserve">all aspects of the capacity trading reform package </w:t>
            </w:r>
            <w:r w:rsidRPr="00C37D44">
              <w:rPr>
                <w:rFonts w:asciiTheme="majorHAnsi" w:hAnsiTheme="majorHAnsi" w:cstheme="majorHAnsi"/>
                <w:szCs w:val="18"/>
              </w:rPr>
              <w:t>(excluding the secondary capacity reporting framework)</w:t>
            </w:r>
            <w:r w:rsidRPr="00C37D44">
              <w:rPr>
                <w:rStyle w:val="FootnoteReference"/>
                <w:rFonts w:asciiTheme="majorHAnsi" w:hAnsiTheme="majorHAnsi" w:cstheme="majorHAnsi"/>
                <w:szCs w:val="18"/>
              </w:rPr>
              <w:footnoteReference w:id="11"/>
            </w:r>
            <w:r w:rsidRPr="00C37D44">
              <w:rPr>
                <w:rFonts w:asciiTheme="majorHAnsi" w:hAnsiTheme="majorHAnsi" w:cstheme="majorHAnsi"/>
                <w:szCs w:val="18"/>
              </w:rPr>
              <w:t xml:space="preserve"> to be: </w:t>
            </w:r>
          </w:p>
          <w:p w:rsidR="00D30678" w:rsidRPr="00C37D44" w:rsidRDefault="00D30678">
            <w:pPr>
              <w:pStyle w:val="TableBullet2"/>
              <w:rPr>
                <w:rFonts w:asciiTheme="majorHAnsi" w:hAnsiTheme="majorHAnsi" w:cstheme="majorHAnsi"/>
              </w:rPr>
            </w:pPr>
            <w:r w:rsidRPr="00C37D44">
              <w:rPr>
                <w:rFonts w:asciiTheme="majorHAnsi" w:hAnsiTheme="majorHAnsi" w:cstheme="majorHAnsi"/>
                <w:szCs w:val="18"/>
              </w:rPr>
              <w:t xml:space="preserve">automatically available to </w:t>
            </w:r>
            <w:r w:rsidRPr="00C37D44">
              <w:rPr>
                <w:rFonts w:asciiTheme="majorHAnsi" w:hAnsiTheme="majorHAnsi" w:cstheme="majorHAnsi"/>
              </w:rPr>
              <w:t xml:space="preserve">distribution pipelines, a </w:t>
            </w:r>
            <w:r w:rsidR="005D2B32">
              <w:rPr>
                <w:rFonts w:asciiTheme="majorHAnsi" w:hAnsiTheme="majorHAnsi" w:cstheme="majorHAnsi"/>
              </w:rPr>
              <w:t xml:space="preserve">transportation </w:t>
            </w:r>
            <w:r w:rsidRPr="00C37D44">
              <w:rPr>
                <w:rFonts w:asciiTheme="majorHAnsi" w:hAnsiTheme="majorHAnsi" w:cstheme="majorHAnsi"/>
              </w:rPr>
              <w:t>facility that forms part of the DTS and compression facilities that are not designated in the Regulations</w:t>
            </w:r>
            <w:r w:rsidR="009E75D2">
              <w:rPr>
                <w:rStyle w:val="FootnoteReference"/>
              </w:rPr>
              <w:footnoteReference w:id="12"/>
            </w:r>
            <w:r w:rsidRPr="00C37D44">
              <w:rPr>
                <w:rFonts w:asciiTheme="majorHAnsi" w:hAnsiTheme="majorHAnsi" w:cstheme="majorHAnsi"/>
              </w:rPr>
              <w:t xml:space="preserve"> or are not stand-alone facilities;</w:t>
            </w:r>
            <w:r w:rsidR="00CA12F4">
              <w:rPr>
                <w:rStyle w:val="FootnoteReference"/>
                <w:rFonts w:asciiTheme="majorHAnsi" w:hAnsiTheme="majorHAnsi" w:cstheme="majorHAnsi"/>
              </w:rPr>
              <w:footnoteReference w:id="13"/>
            </w:r>
            <w:r w:rsidRPr="00C37D44">
              <w:rPr>
                <w:rFonts w:asciiTheme="majorHAnsi" w:hAnsiTheme="majorHAnsi" w:cstheme="majorHAnsi"/>
              </w:rPr>
              <w:t xml:space="preserve"> and</w:t>
            </w:r>
          </w:p>
          <w:p w:rsidR="00D30678" w:rsidRPr="00C37D44" w:rsidRDefault="00D30678">
            <w:pPr>
              <w:pStyle w:val="TableBullet2"/>
              <w:rPr>
                <w:rFonts w:asciiTheme="majorHAnsi" w:hAnsiTheme="majorHAnsi" w:cstheme="majorHAnsi"/>
              </w:rPr>
            </w:pPr>
            <w:r w:rsidRPr="00C37D44">
              <w:rPr>
                <w:rFonts w:asciiTheme="majorHAnsi" w:hAnsiTheme="majorHAnsi" w:cstheme="majorHAnsi"/>
              </w:rPr>
              <w:t xml:space="preserve">available on application to the AER, to </w:t>
            </w:r>
            <w:r w:rsidR="005D2B32">
              <w:rPr>
                <w:rFonts w:asciiTheme="majorHAnsi" w:hAnsiTheme="majorHAnsi" w:cstheme="majorHAnsi"/>
              </w:rPr>
              <w:t xml:space="preserve">transportation </w:t>
            </w:r>
            <w:r w:rsidRPr="00C37D44">
              <w:rPr>
                <w:rFonts w:asciiTheme="majorHAnsi" w:hAnsiTheme="majorHAnsi" w:cstheme="majorHAnsi"/>
              </w:rPr>
              <w:t>facilities that are not providing third party access.</w:t>
            </w:r>
          </w:p>
          <w:p w:rsidR="00D30678" w:rsidRPr="00C37D44" w:rsidRDefault="00D30678" w:rsidP="007A3AAE">
            <w:pPr>
              <w:pStyle w:val="TableBullet1"/>
              <w:rPr>
                <w:rFonts w:asciiTheme="majorHAnsi" w:hAnsiTheme="majorHAnsi" w:cstheme="majorHAnsi"/>
              </w:rPr>
            </w:pPr>
            <w:r w:rsidRPr="00C37D44">
              <w:rPr>
                <w:rFonts w:asciiTheme="majorHAnsi" w:hAnsiTheme="majorHAnsi" w:cstheme="majorHAnsi"/>
              </w:rPr>
              <w:t xml:space="preserve">Exemptions from the </w:t>
            </w:r>
            <w:r w:rsidRPr="00C37D44">
              <w:rPr>
                <w:rFonts w:asciiTheme="majorHAnsi" w:hAnsiTheme="majorHAnsi" w:cstheme="majorHAnsi"/>
                <w:b/>
              </w:rPr>
              <w:t>auction</w:t>
            </w:r>
            <w:r w:rsidRPr="00C37D44">
              <w:rPr>
                <w:rFonts w:asciiTheme="majorHAnsi" w:hAnsiTheme="majorHAnsi" w:cstheme="majorHAnsi"/>
              </w:rPr>
              <w:t xml:space="preserve"> and the </w:t>
            </w:r>
            <w:r w:rsidRPr="00C37D44">
              <w:rPr>
                <w:rFonts w:asciiTheme="majorHAnsi" w:hAnsiTheme="majorHAnsi" w:cstheme="majorHAnsi"/>
                <w:b/>
                <w:bCs/>
              </w:rPr>
              <w:t>obligation to p</w:t>
            </w:r>
            <w:r w:rsidRPr="00031E24">
              <w:rPr>
                <w:rFonts w:asciiTheme="majorHAnsi" w:hAnsiTheme="majorHAnsi" w:cstheme="majorHAnsi"/>
                <w:b/>
                <w:bCs/>
              </w:rPr>
              <w:t xml:space="preserve">ublish a standard OTSA </w:t>
            </w:r>
            <w:r w:rsidRPr="00031E24">
              <w:rPr>
                <w:rFonts w:asciiTheme="majorHAnsi" w:hAnsiTheme="majorHAnsi" w:cstheme="majorHAnsi"/>
                <w:bCs/>
              </w:rPr>
              <w:t>to</w:t>
            </w:r>
            <w:r w:rsidRPr="00031E24">
              <w:rPr>
                <w:rFonts w:asciiTheme="majorHAnsi" w:hAnsiTheme="majorHAnsi" w:cstheme="majorHAnsi"/>
                <w:b/>
                <w:bCs/>
              </w:rPr>
              <w:t xml:space="preserve"> </w:t>
            </w:r>
            <w:r w:rsidRPr="00031E24">
              <w:rPr>
                <w:rFonts w:asciiTheme="majorHAnsi" w:hAnsiTheme="majorHAnsi" w:cstheme="majorHAnsi"/>
              </w:rPr>
              <w:t xml:space="preserve">be available </w:t>
            </w:r>
            <w:r w:rsidR="007A3AAE">
              <w:rPr>
                <w:rFonts w:asciiTheme="majorHAnsi" w:hAnsiTheme="majorHAnsi" w:cstheme="majorHAnsi"/>
              </w:rPr>
              <w:t xml:space="preserve">on application to the AER, </w:t>
            </w:r>
            <w:r w:rsidRPr="00031E24">
              <w:rPr>
                <w:rFonts w:asciiTheme="majorHAnsi" w:hAnsiTheme="majorHAnsi" w:cstheme="majorHAnsi"/>
              </w:rPr>
              <w:t xml:space="preserve">to </w:t>
            </w:r>
            <w:r w:rsidR="005D2B32">
              <w:rPr>
                <w:rFonts w:asciiTheme="majorHAnsi" w:hAnsiTheme="majorHAnsi" w:cstheme="majorHAnsi"/>
              </w:rPr>
              <w:t xml:space="preserve">transportation </w:t>
            </w:r>
            <w:r w:rsidRPr="00031E24">
              <w:rPr>
                <w:rFonts w:asciiTheme="majorHAnsi" w:hAnsiTheme="majorHAnsi" w:cstheme="majorHAnsi"/>
              </w:rPr>
              <w:t>facilities with a nameplate capacity less than 10 TJ/day or that are servicing a single transportation user (shipper).</w:t>
            </w:r>
            <w:r w:rsidRPr="00031E24">
              <w:rPr>
                <w:rStyle w:val="FootnoteReference"/>
                <w:rFonts w:asciiTheme="majorHAnsi" w:hAnsiTheme="majorHAnsi" w:cstheme="majorHAnsi"/>
                <w:lang w:eastAsia="fr-CA"/>
              </w:rPr>
              <w:footnoteReference w:id="14"/>
            </w:r>
            <w:r w:rsidRPr="00031E24">
              <w:rPr>
                <w:rFonts w:asciiTheme="majorHAnsi" w:hAnsiTheme="majorHAnsi" w:cstheme="majorHAnsi"/>
              </w:rPr>
              <w:t xml:space="preserve"> </w:t>
            </w:r>
            <w:r w:rsidRPr="00C37D44">
              <w:rPr>
                <w:rFonts w:asciiTheme="majorHAnsi" w:hAnsiTheme="majorHAnsi" w:cstheme="majorHAnsi"/>
              </w:rPr>
              <w:t xml:space="preserve">Note that the exemption from the obligation to publish a standard OTSA does not extend to the obligation to prepare </w:t>
            </w:r>
            <w:r w:rsidRPr="00C37D44">
              <w:rPr>
                <w:rFonts w:asciiTheme="majorHAnsi" w:hAnsiTheme="majorHAnsi" w:cstheme="majorHAnsi"/>
                <w:bCs/>
              </w:rPr>
              <w:t>and offer to enter into a standard OTSA,</w:t>
            </w:r>
            <w:r w:rsidR="007A3AAE">
              <w:rPr>
                <w:rStyle w:val="FootnoteReference"/>
                <w:rFonts w:asciiTheme="majorHAnsi" w:hAnsiTheme="majorHAnsi" w:cstheme="majorHAnsi"/>
                <w:bCs/>
              </w:rPr>
              <w:footnoteReference w:id="15"/>
            </w:r>
            <w:r w:rsidRPr="00C37D44">
              <w:rPr>
                <w:rFonts w:asciiTheme="majorHAnsi" w:hAnsiTheme="majorHAnsi" w:cstheme="majorHAnsi"/>
                <w:bCs/>
              </w:rPr>
              <w:t xml:space="preserve"> or a number of other measures to facilitate capacity trading</w:t>
            </w:r>
            <w:r w:rsidR="000935BE">
              <w:rPr>
                <w:rFonts w:asciiTheme="majorHAnsi" w:hAnsiTheme="majorHAnsi" w:cstheme="majorHAnsi"/>
                <w:bCs/>
              </w:rPr>
              <w:t>,</w:t>
            </w:r>
            <w:r w:rsidR="000935BE">
              <w:rPr>
                <w:rStyle w:val="FootnoteReference"/>
                <w:rFonts w:asciiTheme="majorHAnsi" w:hAnsiTheme="majorHAnsi" w:cstheme="majorHAnsi"/>
                <w:bCs/>
              </w:rPr>
              <w:footnoteReference w:id="16"/>
            </w:r>
            <w:r w:rsidR="000935BE">
              <w:rPr>
                <w:rFonts w:asciiTheme="majorHAnsi" w:hAnsiTheme="majorHAnsi" w:cstheme="majorHAnsi"/>
                <w:bCs/>
              </w:rPr>
              <w:t xml:space="preserve"> so these facilities are referred to as ‘conditionally exempt facilities’</w:t>
            </w:r>
            <w:r w:rsidRPr="00C37D44">
              <w:rPr>
                <w:rFonts w:asciiTheme="majorHAnsi" w:hAnsiTheme="majorHAnsi" w:cstheme="majorHAnsi"/>
                <w:bCs/>
              </w:rPr>
              <w:t xml:space="preserve">. </w:t>
            </w:r>
            <w:bookmarkEnd w:id="18"/>
            <w:r w:rsidRPr="00C37D44">
              <w:rPr>
                <w:rFonts w:asciiTheme="majorHAnsi" w:hAnsiTheme="majorHAnsi" w:cstheme="majorHAnsi"/>
              </w:rPr>
              <w:t xml:space="preserve">Note also that if a prospective </w:t>
            </w:r>
            <w:r w:rsidR="007A3AAE">
              <w:rPr>
                <w:rFonts w:asciiTheme="majorHAnsi" w:hAnsiTheme="majorHAnsi" w:cstheme="majorHAnsi"/>
              </w:rPr>
              <w:t xml:space="preserve">user </w:t>
            </w:r>
            <w:r w:rsidRPr="00C37D44">
              <w:rPr>
                <w:rFonts w:asciiTheme="majorHAnsi" w:hAnsiTheme="majorHAnsi" w:cstheme="majorHAnsi"/>
              </w:rPr>
              <w:t>enter</w:t>
            </w:r>
            <w:r w:rsidR="007A3AAE">
              <w:rPr>
                <w:rFonts w:asciiTheme="majorHAnsi" w:hAnsiTheme="majorHAnsi" w:cstheme="majorHAnsi"/>
              </w:rPr>
              <w:t>s</w:t>
            </w:r>
            <w:r w:rsidRPr="00C37D44">
              <w:rPr>
                <w:rFonts w:asciiTheme="majorHAnsi" w:hAnsiTheme="majorHAnsi" w:cstheme="majorHAnsi"/>
              </w:rPr>
              <w:t xml:space="preserve"> into an OTSA</w:t>
            </w:r>
            <w:r w:rsidR="007A3AAE">
              <w:rPr>
                <w:rFonts w:asciiTheme="majorHAnsi" w:hAnsiTheme="majorHAnsi" w:cstheme="majorHAnsi"/>
              </w:rPr>
              <w:t xml:space="preserve"> with the service provider of a single user facility then the </w:t>
            </w:r>
            <w:r w:rsidRPr="00C37D44">
              <w:rPr>
                <w:rFonts w:asciiTheme="majorHAnsi" w:hAnsiTheme="majorHAnsi" w:cstheme="majorHAnsi"/>
              </w:rPr>
              <w:t xml:space="preserve">AER </w:t>
            </w:r>
            <w:r w:rsidR="00F27ECA">
              <w:rPr>
                <w:rFonts w:asciiTheme="majorHAnsi" w:hAnsiTheme="majorHAnsi" w:cstheme="majorHAnsi"/>
              </w:rPr>
              <w:t xml:space="preserve">may </w:t>
            </w:r>
            <w:r w:rsidRPr="00C37D44">
              <w:rPr>
                <w:rFonts w:asciiTheme="majorHAnsi" w:hAnsiTheme="majorHAnsi" w:cstheme="majorHAnsi"/>
              </w:rPr>
              <w:t>revoke the exemption.</w:t>
            </w:r>
            <w:r w:rsidRPr="00C37D44">
              <w:rPr>
                <w:rStyle w:val="FootnoteReference"/>
                <w:rFonts w:asciiTheme="majorHAnsi" w:hAnsiTheme="majorHAnsi" w:cstheme="majorHAnsi"/>
              </w:rPr>
              <w:footnoteReference w:id="17"/>
            </w:r>
            <w:r w:rsidRPr="00C37D44">
              <w:rPr>
                <w:rFonts w:asciiTheme="majorHAnsi" w:hAnsiTheme="majorHAnsi" w:cstheme="majorHAnsi"/>
              </w:rPr>
              <w:t xml:space="preserve"> </w:t>
            </w:r>
          </w:p>
        </w:tc>
      </w:tr>
      <w:tr w:rsidR="00723AC6" w:rsidRPr="00C37D44" w:rsidTr="00247DB2">
        <w:trPr>
          <w:trHeight w:val="7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723AC6" w:rsidRPr="00C37D44" w:rsidRDefault="00723AC6" w:rsidP="00247DB2">
            <w:pPr>
              <w:pStyle w:val="TableBodyText"/>
              <w:keepNext/>
              <w:jc w:val="center"/>
              <w:rPr>
                <w:rFonts w:asciiTheme="majorHAnsi" w:hAnsiTheme="majorHAnsi" w:cstheme="majorHAnsi"/>
                <w:b/>
                <w:color w:val="FFFFFF" w:themeColor="background1"/>
              </w:rPr>
            </w:pPr>
            <w:bookmarkStart w:id="20" w:name="_Hlk516296392"/>
            <w:r>
              <w:rPr>
                <w:rFonts w:asciiTheme="majorHAnsi" w:hAnsiTheme="majorHAnsi" w:cstheme="majorHAnsi"/>
                <w:b/>
                <w:color w:val="FFFFFF" w:themeColor="background1"/>
              </w:rPr>
              <w:t xml:space="preserve">Registration </w:t>
            </w:r>
            <w:r w:rsidR="002C78DD">
              <w:rPr>
                <w:rFonts w:asciiTheme="majorHAnsi" w:hAnsiTheme="majorHAnsi" w:cstheme="majorHAnsi"/>
                <w:b/>
                <w:color w:val="FFFFFF" w:themeColor="background1"/>
              </w:rPr>
              <w:t xml:space="preserve">of service providers and facilities </w:t>
            </w:r>
          </w:p>
        </w:tc>
      </w:tr>
      <w:tr w:rsidR="00723AC6" w:rsidRPr="00C37D44" w:rsidTr="00247DB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tcPr>
          <w:p w:rsidR="00723AC6" w:rsidRPr="00C37D44" w:rsidRDefault="002C78DD" w:rsidP="00247DB2">
            <w:pPr>
              <w:pStyle w:val="TableBodyText"/>
              <w:rPr>
                <w:rFonts w:asciiTheme="majorHAnsi" w:hAnsiTheme="majorHAnsi" w:cstheme="majorHAnsi"/>
              </w:rPr>
            </w:pPr>
            <w:r>
              <w:rPr>
                <w:rFonts w:asciiTheme="majorHAnsi" w:hAnsiTheme="majorHAnsi" w:cstheme="majorHAnsi"/>
              </w:rPr>
              <w:t>Registration requirements</w:t>
            </w:r>
          </w:p>
        </w:tc>
        <w:tc>
          <w:tcPr>
            <w:tcW w:w="4336" w:type="pct"/>
            <w:tcBorders>
              <w:top w:val="single" w:sz="4" w:space="0" w:color="auto"/>
              <w:left w:val="single" w:sz="4" w:space="0" w:color="auto"/>
              <w:bottom w:val="single" w:sz="4" w:space="0" w:color="auto"/>
              <w:right w:val="nil"/>
            </w:tcBorders>
            <w:shd w:val="clear" w:color="auto" w:fill="auto"/>
          </w:tcPr>
          <w:p w:rsidR="002C78DD" w:rsidRDefault="002C78DD" w:rsidP="00247DB2">
            <w:pPr>
              <w:pStyle w:val="TableBullet1"/>
              <w:numPr>
                <w:ilvl w:val="0"/>
                <w:numId w:val="0"/>
              </w:numPr>
              <w:ind w:left="85"/>
              <w:rPr>
                <w:rFonts w:asciiTheme="majorHAnsi" w:hAnsiTheme="majorHAnsi" w:cstheme="majorHAnsi"/>
                <w:szCs w:val="18"/>
              </w:rPr>
            </w:pPr>
            <w:r>
              <w:rPr>
                <w:rFonts w:asciiTheme="majorHAnsi" w:hAnsiTheme="majorHAnsi" w:cstheme="majorHAnsi"/>
                <w:szCs w:val="18"/>
              </w:rPr>
              <w:t xml:space="preserve">If a </w:t>
            </w:r>
            <w:r w:rsidR="005D2B32">
              <w:rPr>
                <w:rFonts w:asciiTheme="majorHAnsi" w:hAnsiTheme="majorHAnsi" w:cstheme="majorHAnsi"/>
                <w:szCs w:val="18"/>
              </w:rPr>
              <w:t xml:space="preserve">transportation </w:t>
            </w:r>
            <w:r>
              <w:rPr>
                <w:rFonts w:asciiTheme="majorHAnsi" w:hAnsiTheme="majorHAnsi" w:cstheme="majorHAnsi"/>
                <w:szCs w:val="18"/>
              </w:rPr>
              <w:t xml:space="preserve">facility is unable to obtain an exemption, the service provider must register as a facility operator and register the facility. </w:t>
            </w:r>
          </w:p>
          <w:p w:rsidR="00723AC6" w:rsidRPr="00C37D44" w:rsidRDefault="002C78DD" w:rsidP="00247DB2">
            <w:pPr>
              <w:pStyle w:val="TableBullet1"/>
              <w:numPr>
                <w:ilvl w:val="0"/>
                <w:numId w:val="0"/>
              </w:numPr>
              <w:ind w:left="85"/>
              <w:rPr>
                <w:rFonts w:asciiTheme="majorHAnsi" w:hAnsiTheme="majorHAnsi" w:cstheme="majorHAnsi"/>
                <w:szCs w:val="18"/>
              </w:rPr>
            </w:pPr>
            <w:r>
              <w:rPr>
                <w:rFonts w:asciiTheme="majorHAnsi" w:hAnsiTheme="majorHAnsi" w:cstheme="majorHAnsi"/>
                <w:szCs w:val="18"/>
              </w:rPr>
              <w:t xml:space="preserve">If there is more than one service provider for the facility, then one of the service providers must be appointed as the ‘responsible’ service provider. The responsible service provider </w:t>
            </w:r>
            <w:r w:rsidR="004E11E5">
              <w:rPr>
                <w:rFonts w:asciiTheme="majorHAnsi" w:hAnsiTheme="majorHAnsi" w:cstheme="majorHAnsi"/>
                <w:szCs w:val="18"/>
              </w:rPr>
              <w:t xml:space="preserve">must </w:t>
            </w:r>
            <w:r>
              <w:rPr>
                <w:rFonts w:asciiTheme="majorHAnsi" w:hAnsiTheme="majorHAnsi" w:cstheme="majorHAnsi"/>
                <w:szCs w:val="18"/>
              </w:rPr>
              <w:t>register as the facility operator and be responsible for performing the obligations and exercis</w:t>
            </w:r>
            <w:r w:rsidR="000935BE" w:rsidRPr="00E51942">
              <w:rPr>
                <w:rFonts w:ascii="Arial" w:hAnsi="Arial"/>
                <w:szCs w:val="18"/>
              </w:rPr>
              <w:t xml:space="preserve">ing </w:t>
            </w:r>
            <w:r>
              <w:rPr>
                <w:rFonts w:asciiTheme="majorHAnsi" w:hAnsiTheme="majorHAnsi" w:cstheme="majorHAnsi"/>
                <w:szCs w:val="18"/>
              </w:rPr>
              <w:t xml:space="preserve">the rights of a facility operator under the NGR and the Capacity Transfer and Auction Procedures. While the registration remains in effect, </w:t>
            </w:r>
            <w:r w:rsidR="00EE25BE">
              <w:rPr>
                <w:rFonts w:asciiTheme="majorHAnsi" w:hAnsiTheme="majorHAnsi" w:cstheme="majorHAnsi"/>
                <w:szCs w:val="18"/>
              </w:rPr>
              <w:t xml:space="preserve">the facility’s other </w:t>
            </w:r>
            <w:r>
              <w:rPr>
                <w:rFonts w:asciiTheme="majorHAnsi" w:hAnsiTheme="majorHAnsi" w:cstheme="majorHAnsi"/>
                <w:szCs w:val="18"/>
              </w:rPr>
              <w:t xml:space="preserve">service providers must procure and where necessary facilitate, the compliance of the facility operator with its obligations </w:t>
            </w:r>
            <w:r w:rsidR="00EE25BE">
              <w:rPr>
                <w:rFonts w:asciiTheme="majorHAnsi" w:hAnsiTheme="majorHAnsi" w:cstheme="majorHAnsi"/>
                <w:szCs w:val="18"/>
              </w:rPr>
              <w:t>under the NGR and Capacity Transfer and Auction Procedures and vice versa.</w:t>
            </w:r>
          </w:p>
        </w:tc>
      </w:tr>
      <w:bookmarkEnd w:id="20"/>
      <w:tr w:rsidR="00D30678" w:rsidRPr="00C37D44" w:rsidTr="003D2AD2">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C37D44" w:rsidRDefault="00D30678" w:rsidP="00EE25BE">
            <w:pPr>
              <w:pStyle w:val="TableBodyText"/>
              <w:keepNext/>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lastRenderedPageBreak/>
              <w:t>Operational Transfer</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rsidR="00D30678" w:rsidRPr="00C37D44" w:rsidRDefault="00D30678" w:rsidP="00EE25BE">
            <w:pPr>
              <w:pStyle w:val="TableBodyText"/>
              <w:keepNext/>
              <w:rPr>
                <w:rFonts w:asciiTheme="majorHAnsi" w:hAnsiTheme="majorHAnsi" w:cstheme="majorHAnsi"/>
              </w:rPr>
            </w:pPr>
            <w:r w:rsidRPr="00C37D44">
              <w:rPr>
                <w:rFonts w:asciiTheme="majorHAnsi" w:hAnsiTheme="majorHAnsi" w:cstheme="majorHAnsi"/>
              </w:rPr>
              <w:t>Contracts to be standardised</w:t>
            </w:r>
          </w:p>
        </w:tc>
        <w:tc>
          <w:tcPr>
            <w:tcW w:w="4336" w:type="pct"/>
            <w:tcBorders>
              <w:top w:val="single" w:sz="4" w:space="0" w:color="auto"/>
              <w:left w:val="single" w:sz="4" w:space="0" w:color="auto"/>
              <w:bottom w:val="single" w:sz="4" w:space="0" w:color="auto"/>
              <w:right w:val="nil"/>
            </w:tcBorders>
            <w:shd w:val="clear" w:color="auto" w:fill="auto"/>
            <w:hideMark/>
          </w:tcPr>
          <w:p w:rsidR="003D2AD2" w:rsidRPr="000A7F5B" w:rsidRDefault="003D2AD2" w:rsidP="00EE25BE">
            <w:pPr>
              <w:pStyle w:val="TableBullet1"/>
              <w:keepNext/>
              <w:numPr>
                <w:ilvl w:val="0"/>
                <w:numId w:val="0"/>
              </w:numPr>
              <w:ind w:left="85"/>
              <w:rPr>
                <w:rFonts w:asciiTheme="majorHAnsi" w:eastAsiaTheme="majorEastAsia" w:hAnsiTheme="majorHAnsi" w:cstheme="majorHAnsi"/>
                <w:szCs w:val="18"/>
              </w:rPr>
            </w:pPr>
            <w:r>
              <w:rPr>
                <w:rFonts w:asciiTheme="majorHAnsi" w:hAnsiTheme="majorHAnsi" w:cstheme="majorHAnsi"/>
                <w:szCs w:val="18"/>
              </w:rPr>
              <w:t>An o</w:t>
            </w:r>
            <w:r w:rsidRPr="000A7F5B">
              <w:rPr>
                <w:rFonts w:asciiTheme="majorHAnsi" w:hAnsiTheme="majorHAnsi" w:cstheme="majorHAnsi"/>
                <w:szCs w:val="18"/>
              </w:rPr>
              <w:t>perational transfer</w:t>
            </w:r>
            <w:r>
              <w:rPr>
                <w:rFonts w:asciiTheme="majorHAnsi" w:hAnsiTheme="majorHAnsi" w:cstheme="majorHAnsi"/>
                <w:szCs w:val="18"/>
              </w:rPr>
              <w:t xml:space="preserve"> is to </w:t>
            </w:r>
            <w:r w:rsidRPr="000A7F5B">
              <w:rPr>
                <w:rFonts w:asciiTheme="majorHAnsi" w:hAnsiTheme="majorHAnsi" w:cstheme="majorHAnsi"/>
                <w:szCs w:val="18"/>
              </w:rPr>
              <w:t>be used to give effect to capacity purchased through the capacity trading platform, the day-ahead auction and</w:t>
            </w:r>
            <w:r w:rsidR="004E11E5">
              <w:rPr>
                <w:rFonts w:asciiTheme="majorHAnsi" w:hAnsiTheme="majorHAnsi" w:cstheme="majorHAnsi"/>
                <w:szCs w:val="18"/>
              </w:rPr>
              <w:t>, where the buyer elects to use an operational transfer,</w:t>
            </w:r>
            <w:r w:rsidRPr="000A7F5B">
              <w:rPr>
                <w:rFonts w:asciiTheme="majorHAnsi" w:hAnsiTheme="majorHAnsi" w:cstheme="majorHAnsi"/>
                <w:szCs w:val="18"/>
              </w:rPr>
              <w:t xml:space="preserve"> bilateral trades.</w:t>
            </w:r>
            <w:r w:rsidRPr="000A7F5B">
              <w:rPr>
                <w:rFonts w:asciiTheme="majorHAnsi" w:eastAsiaTheme="majorEastAsia" w:hAnsiTheme="majorHAnsi" w:cstheme="majorHAnsi"/>
                <w:szCs w:val="18"/>
              </w:rPr>
              <w:t xml:space="preserve"> </w:t>
            </w:r>
          </w:p>
          <w:p w:rsidR="003D2AD2" w:rsidRPr="000A7F5B" w:rsidRDefault="003D2AD2" w:rsidP="00EE25BE">
            <w:pPr>
              <w:pStyle w:val="TableBullet1"/>
              <w:keepNext/>
              <w:numPr>
                <w:ilvl w:val="0"/>
                <w:numId w:val="0"/>
              </w:numPr>
              <w:ind w:left="312" w:hanging="227"/>
              <w:rPr>
                <w:rFonts w:asciiTheme="majorHAnsi" w:hAnsiTheme="majorHAnsi" w:cstheme="majorHAnsi"/>
                <w:color w:val="000000"/>
                <w:szCs w:val="18"/>
              </w:rPr>
            </w:pPr>
            <w:r>
              <w:rPr>
                <w:rFonts w:asciiTheme="majorHAnsi" w:eastAsiaTheme="majorEastAsia" w:hAnsiTheme="majorHAnsi" w:cstheme="majorHAnsi"/>
                <w:szCs w:val="18"/>
              </w:rPr>
              <w:t>A b</w:t>
            </w:r>
            <w:r w:rsidRPr="000A7F5B">
              <w:rPr>
                <w:rFonts w:asciiTheme="majorHAnsi" w:eastAsiaTheme="majorEastAsia" w:hAnsiTheme="majorHAnsi" w:cstheme="majorHAnsi"/>
                <w:szCs w:val="18"/>
              </w:rPr>
              <w:t>are transfer</w:t>
            </w:r>
            <w:r>
              <w:rPr>
                <w:rFonts w:asciiTheme="majorHAnsi" w:eastAsiaTheme="majorEastAsia" w:hAnsiTheme="majorHAnsi" w:cstheme="majorHAnsi"/>
                <w:szCs w:val="18"/>
              </w:rPr>
              <w:t xml:space="preserve"> can be used in </w:t>
            </w:r>
            <w:r w:rsidRPr="000A7F5B">
              <w:rPr>
                <w:rFonts w:asciiTheme="majorHAnsi" w:eastAsiaTheme="majorEastAsia" w:hAnsiTheme="majorHAnsi" w:cstheme="majorHAnsi"/>
                <w:szCs w:val="18"/>
              </w:rPr>
              <w:t>bilateral trades, subject to the seller</w:t>
            </w:r>
            <w:r>
              <w:rPr>
                <w:rFonts w:asciiTheme="majorHAnsi" w:eastAsiaTheme="majorEastAsia" w:hAnsiTheme="majorHAnsi" w:cstheme="majorHAnsi"/>
                <w:szCs w:val="18"/>
              </w:rPr>
              <w:t xml:space="preserve"> </w:t>
            </w:r>
            <w:r w:rsidRPr="000A7F5B">
              <w:rPr>
                <w:rFonts w:asciiTheme="majorHAnsi" w:eastAsiaTheme="majorEastAsia" w:hAnsiTheme="majorHAnsi" w:cstheme="majorHAnsi"/>
                <w:szCs w:val="18"/>
              </w:rPr>
              <w:t>offer</w:t>
            </w:r>
            <w:r>
              <w:rPr>
                <w:rFonts w:asciiTheme="majorHAnsi" w:eastAsiaTheme="majorEastAsia" w:hAnsiTheme="majorHAnsi" w:cstheme="majorHAnsi"/>
                <w:szCs w:val="18"/>
              </w:rPr>
              <w:t>ing</w:t>
            </w:r>
            <w:r w:rsidRPr="000A7F5B">
              <w:rPr>
                <w:rFonts w:asciiTheme="majorHAnsi" w:eastAsiaTheme="majorEastAsia" w:hAnsiTheme="majorHAnsi" w:cstheme="majorHAnsi"/>
                <w:szCs w:val="18"/>
              </w:rPr>
              <w:t xml:space="preserve"> the buyer the option of an operational transfer</w:t>
            </w:r>
            <w:r>
              <w:rPr>
                <w:rFonts w:asciiTheme="majorHAnsi" w:eastAsiaTheme="majorEastAsia" w:hAnsiTheme="majorHAnsi" w:cstheme="majorHAnsi"/>
                <w:szCs w:val="18"/>
              </w:rPr>
              <w:t xml:space="preserve"> if requested to do so</w:t>
            </w:r>
            <w:r w:rsidRPr="000A7F5B">
              <w:rPr>
                <w:rFonts w:asciiTheme="majorHAnsi" w:eastAsiaTheme="majorEastAsia" w:hAnsiTheme="majorHAnsi" w:cstheme="majorHAnsi"/>
                <w:szCs w:val="18"/>
              </w:rPr>
              <w:t xml:space="preserve">. </w:t>
            </w:r>
          </w:p>
          <w:p w:rsidR="00D30678" w:rsidRPr="00C37D44" w:rsidRDefault="003D2AD2" w:rsidP="00EE25BE">
            <w:pPr>
              <w:pStyle w:val="TableBodyText"/>
              <w:keepNext/>
              <w:rPr>
                <w:rFonts w:asciiTheme="majorHAnsi" w:hAnsiTheme="majorHAnsi" w:cstheme="majorHAnsi"/>
              </w:rPr>
            </w:pPr>
            <w:r>
              <w:rPr>
                <w:rFonts w:asciiTheme="majorHAnsi" w:hAnsiTheme="majorHAnsi" w:cstheme="majorHAnsi"/>
                <w:szCs w:val="18"/>
              </w:rPr>
              <w:t>The contractual arrangements for operational transfers will be set out in an OTSA, which may take the form of a stand-alone agreement (including the standard OTSA) or form part of a shipper’s primary facility agreement.</w:t>
            </w:r>
          </w:p>
        </w:tc>
      </w:tr>
      <w:tr w:rsidR="00D30678" w:rsidRPr="00C37D44" w:rsidTr="003D2AD2">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C37D44" w:rsidRDefault="00D30678" w:rsidP="0064242F">
            <w:pPr>
              <w:pStyle w:val="TableBodyText"/>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Standard OTSAs</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rsidR="00D30678" w:rsidRPr="00C37D44" w:rsidRDefault="00D30678" w:rsidP="0064242F">
            <w:pPr>
              <w:pStyle w:val="TableBodyText"/>
              <w:rPr>
                <w:rFonts w:asciiTheme="majorHAnsi" w:hAnsiTheme="majorHAnsi" w:cstheme="majorHAnsi"/>
              </w:rPr>
            </w:pPr>
            <w:r w:rsidRPr="00C37D44">
              <w:rPr>
                <w:rFonts w:asciiTheme="majorHAnsi" w:hAnsiTheme="majorHAnsi" w:cstheme="majorHAnsi"/>
              </w:rPr>
              <w:t>Service provider obligations</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C37D44" w:rsidRDefault="00D30678" w:rsidP="0064242F">
            <w:pPr>
              <w:pStyle w:val="TableBodyText"/>
              <w:rPr>
                <w:rFonts w:asciiTheme="majorHAnsi" w:hAnsiTheme="majorHAnsi" w:cstheme="majorHAnsi"/>
              </w:rPr>
            </w:pPr>
            <w:r w:rsidRPr="00C37D44">
              <w:rPr>
                <w:rFonts w:asciiTheme="majorHAnsi" w:hAnsiTheme="majorHAnsi" w:cstheme="majorHAnsi"/>
              </w:rPr>
              <w:t>Non-exempt service providers will be required to prepare and publish</w:t>
            </w:r>
            <w:r w:rsidRPr="00C37D44">
              <w:rPr>
                <w:rStyle w:val="FootnoteReference"/>
                <w:rFonts w:asciiTheme="majorHAnsi" w:hAnsiTheme="majorHAnsi" w:cstheme="majorHAnsi"/>
              </w:rPr>
              <w:footnoteReference w:id="18"/>
            </w:r>
            <w:r w:rsidRPr="00C37D44">
              <w:rPr>
                <w:rFonts w:asciiTheme="majorHAnsi" w:hAnsiTheme="majorHAnsi" w:cstheme="majorHAnsi"/>
              </w:rPr>
              <w:t xml:space="preserve"> a standard OTSA for each facility they operate and, </w:t>
            </w:r>
            <w:r w:rsidRPr="00C37D44">
              <w:rPr>
                <w:rFonts w:asciiTheme="majorHAnsi" w:hAnsiTheme="majorHAnsi" w:cstheme="majorHAnsi"/>
                <w:lang w:eastAsia="fr-CA"/>
              </w:rPr>
              <w:t xml:space="preserve">subject </w:t>
            </w:r>
            <w:r w:rsidR="00310B00">
              <w:rPr>
                <w:rFonts w:asciiTheme="majorHAnsi" w:hAnsiTheme="majorHAnsi" w:cstheme="majorHAnsi"/>
                <w:lang w:eastAsia="fr-CA"/>
              </w:rPr>
              <w:t xml:space="preserve">to </w:t>
            </w:r>
            <w:r w:rsidRPr="00C37D44">
              <w:rPr>
                <w:rFonts w:asciiTheme="majorHAnsi" w:hAnsiTheme="majorHAnsi" w:cstheme="majorHAnsi"/>
                <w:lang w:eastAsia="fr-CA"/>
              </w:rPr>
              <w:t xml:space="preserve">some limitations, </w:t>
            </w:r>
            <w:r w:rsidR="00310B00">
              <w:rPr>
                <w:rFonts w:asciiTheme="majorHAnsi" w:hAnsiTheme="majorHAnsi" w:cstheme="majorHAnsi"/>
                <w:lang w:eastAsia="fr-CA"/>
              </w:rPr>
              <w:t xml:space="preserve">these service providers </w:t>
            </w:r>
            <w:r w:rsidRPr="00C37D44">
              <w:rPr>
                <w:rFonts w:asciiTheme="majorHAnsi" w:hAnsiTheme="majorHAnsi" w:cstheme="majorHAnsi"/>
                <w:lang w:eastAsia="fr-CA"/>
              </w:rPr>
              <w:t>will also be required to offer to enter into such an agreement if requested to do so by a prospective user.</w:t>
            </w:r>
          </w:p>
        </w:tc>
      </w:tr>
      <w:tr w:rsidR="00D30678" w:rsidRPr="00C37D44" w:rsidTr="003D2AD2">
        <w:tc>
          <w:tcPr>
            <w:tcW w:w="664" w:type="pct"/>
            <w:tcBorders>
              <w:top w:val="single" w:sz="4" w:space="0" w:color="auto"/>
              <w:left w:val="nil"/>
              <w:bottom w:val="single" w:sz="4" w:space="0" w:color="auto"/>
              <w:right w:val="single" w:sz="4" w:space="0" w:color="auto"/>
            </w:tcBorders>
            <w:shd w:val="clear" w:color="auto" w:fill="auto"/>
            <w:hideMark/>
          </w:tcPr>
          <w:p w:rsidR="00D30678" w:rsidRPr="00C37D44" w:rsidRDefault="00D30678" w:rsidP="0064242F">
            <w:pPr>
              <w:pStyle w:val="TableBodyText"/>
              <w:rPr>
                <w:rFonts w:asciiTheme="majorHAnsi" w:hAnsiTheme="majorHAnsi" w:cstheme="majorHAnsi"/>
              </w:rPr>
            </w:pPr>
            <w:r w:rsidRPr="00C37D44">
              <w:rPr>
                <w:rFonts w:asciiTheme="majorHAnsi" w:hAnsiTheme="majorHAnsi" w:cstheme="majorHAnsi"/>
              </w:rPr>
              <w:t xml:space="preserve">Contents of a standard OTSA </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C37D44" w:rsidRDefault="00D30678" w:rsidP="0064242F">
            <w:pPr>
              <w:pStyle w:val="TableBodyText"/>
              <w:rPr>
                <w:rFonts w:asciiTheme="majorHAnsi" w:hAnsiTheme="majorHAnsi" w:cstheme="majorHAnsi"/>
                <w:lang w:eastAsia="fr-CA"/>
              </w:rPr>
            </w:pPr>
            <w:r w:rsidRPr="00C37D44">
              <w:rPr>
                <w:rFonts w:asciiTheme="majorHAnsi" w:hAnsiTheme="majorHAnsi" w:cstheme="majorHAnsi"/>
              </w:rPr>
              <w:t xml:space="preserve">The standard OTSA must incorporate the standard terms in the Code and facility specific terms applicable to the facility. While service providers will have some discretion in relation to the facility specific terms, the terms must </w:t>
            </w:r>
            <w:r w:rsidRPr="00C37D44">
              <w:rPr>
                <w:rFonts w:asciiTheme="majorHAnsi" w:hAnsiTheme="majorHAnsi" w:cstheme="majorHAnsi"/>
                <w:lang w:eastAsia="fr-CA"/>
              </w:rPr>
              <w:t xml:space="preserve">be consistent with the relevant provisions in the NGR (including the auction service priority principles) and give effect to facility specific requirements in the Code. </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tcPr>
          <w:p w:rsidR="00D30678" w:rsidRPr="00C37D44" w:rsidRDefault="00D30678" w:rsidP="0064242F">
            <w:pPr>
              <w:pStyle w:val="TableBodyText"/>
              <w:spacing w:before="40" w:after="40"/>
              <w:rPr>
                <w:rFonts w:asciiTheme="majorHAnsi" w:hAnsiTheme="majorHAnsi" w:cstheme="majorHAnsi"/>
              </w:rPr>
            </w:pPr>
            <w:r w:rsidRPr="00C37D44">
              <w:rPr>
                <w:rFonts w:asciiTheme="majorHAnsi" w:hAnsiTheme="majorHAnsi" w:cstheme="majorHAnsi"/>
              </w:rPr>
              <w:t>Service provider costs</w:t>
            </w:r>
          </w:p>
        </w:tc>
        <w:tc>
          <w:tcPr>
            <w:tcW w:w="4336" w:type="pct"/>
            <w:tcBorders>
              <w:top w:val="single" w:sz="4" w:space="0" w:color="auto"/>
              <w:left w:val="single" w:sz="4" w:space="0" w:color="auto"/>
              <w:bottom w:val="single" w:sz="4" w:space="0" w:color="auto"/>
              <w:right w:val="nil"/>
            </w:tcBorders>
            <w:shd w:val="clear" w:color="auto" w:fill="auto"/>
          </w:tcPr>
          <w:p w:rsidR="00D30678" w:rsidRPr="00C37D44" w:rsidRDefault="00D30678" w:rsidP="0064242F">
            <w:pPr>
              <w:pStyle w:val="TableBodyText"/>
              <w:spacing w:before="40" w:after="40"/>
              <w:rPr>
                <w:rFonts w:asciiTheme="majorHAnsi" w:hAnsiTheme="majorHAnsi" w:cstheme="majorHAnsi"/>
              </w:rPr>
            </w:pPr>
            <w:r w:rsidRPr="00D30678">
              <w:rPr>
                <w:rFonts w:asciiTheme="majorHAnsi" w:hAnsiTheme="majorHAnsi" w:cstheme="majorHAnsi"/>
                <w:b/>
              </w:rPr>
              <w:t>Standardisation costs:</w:t>
            </w:r>
            <w:r w:rsidRPr="00F04A8E">
              <w:rPr>
                <w:rFonts w:asciiTheme="majorHAnsi" w:hAnsiTheme="majorHAnsi" w:cstheme="majorHAnsi"/>
              </w:rPr>
              <w:t xml:space="preserve"> S</w:t>
            </w:r>
            <w:r w:rsidRPr="00C37D44">
              <w:rPr>
                <w:rFonts w:asciiTheme="majorHAnsi" w:hAnsiTheme="majorHAnsi" w:cstheme="majorHAnsi"/>
              </w:rPr>
              <w:t xml:space="preserve">ervice providers will have a reasonable opportunity to recover the incremental costs </w:t>
            </w:r>
            <w:r w:rsidR="004E11E5">
              <w:rPr>
                <w:rFonts w:asciiTheme="majorHAnsi" w:hAnsiTheme="majorHAnsi" w:cstheme="majorHAnsi"/>
              </w:rPr>
              <w:t xml:space="preserve">incurred exclusively in </w:t>
            </w:r>
            <w:r w:rsidRPr="00C37D44">
              <w:rPr>
                <w:rFonts w:asciiTheme="majorHAnsi" w:hAnsiTheme="majorHAnsi" w:cstheme="majorHAnsi"/>
              </w:rPr>
              <w:t xml:space="preserve">establishing and maintaining standard OTSAs and the systems and processes required to comply with obligations in the NGR and Capacity Transfer and Auction Procedures, subject to the caveat </w:t>
            </w:r>
            <w:r w:rsidR="004E11E5">
              <w:rPr>
                <w:rFonts w:asciiTheme="majorHAnsi" w:hAnsiTheme="majorHAnsi" w:cstheme="majorHAnsi"/>
              </w:rPr>
              <w:t xml:space="preserve">that </w:t>
            </w:r>
            <w:r w:rsidRPr="00C37D44">
              <w:rPr>
                <w:rFonts w:asciiTheme="majorHAnsi" w:hAnsiTheme="majorHAnsi" w:cstheme="majorHAnsi"/>
              </w:rPr>
              <w:t xml:space="preserve">the costs are only recovered </w:t>
            </w:r>
            <w:r w:rsidR="0058503F" w:rsidRPr="00C37D44">
              <w:rPr>
                <w:rFonts w:asciiTheme="majorHAnsi" w:hAnsiTheme="majorHAnsi" w:cstheme="majorHAnsi"/>
              </w:rPr>
              <w:t>once,</w:t>
            </w:r>
            <w:r w:rsidRPr="00C37D44">
              <w:rPr>
                <w:rFonts w:asciiTheme="majorHAnsi" w:hAnsiTheme="majorHAnsi" w:cstheme="majorHAnsi"/>
              </w:rPr>
              <w:t xml:space="preserve"> and auction revenue is treated as a contribution to cost recovery. </w:t>
            </w:r>
          </w:p>
          <w:p w:rsidR="00D30678" w:rsidRPr="00C37D44" w:rsidRDefault="00D30678" w:rsidP="0064242F">
            <w:pPr>
              <w:pStyle w:val="TableBodyText"/>
              <w:spacing w:before="40" w:after="40"/>
              <w:rPr>
                <w:rFonts w:asciiTheme="majorHAnsi" w:hAnsiTheme="majorHAnsi" w:cstheme="majorHAnsi"/>
              </w:rPr>
            </w:pPr>
            <w:r w:rsidRPr="00C37D44">
              <w:rPr>
                <w:rFonts w:asciiTheme="majorHAnsi" w:hAnsiTheme="majorHAnsi" w:cstheme="majorHAnsi"/>
                <w:b/>
              </w:rPr>
              <w:t>Standardisation charges</w:t>
            </w:r>
            <w:r w:rsidRPr="00C37D44">
              <w:rPr>
                <w:rFonts w:asciiTheme="majorHAnsi" w:hAnsiTheme="majorHAnsi" w:cstheme="majorHAnsi"/>
              </w:rPr>
              <w:t>: The charges levied by service providers must: in so far as practicable reflect the outcomes of a workably competitive market; provide for the allocation of costs among users in a reasonable manner; and provide for the recovery of costs over time in a manner that promotes efficient trade in, and use of, capacity.</w:t>
            </w:r>
          </w:p>
        </w:tc>
      </w:tr>
      <w:tr w:rsidR="00D30678" w:rsidRPr="00C37D44" w:rsidTr="003D2AD2">
        <w:tc>
          <w:tcPr>
            <w:tcW w:w="664" w:type="pct"/>
            <w:tcBorders>
              <w:top w:val="single" w:sz="4" w:space="0" w:color="auto"/>
              <w:left w:val="nil"/>
              <w:bottom w:val="single" w:sz="4" w:space="0" w:color="auto"/>
              <w:right w:val="single" w:sz="4" w:space="0" w:color="auto"/>
            </w:tcBorders>
            <w:shd w:val="clear" w:color="auto" w:fill="auto"/>
          </w:tcPr>
          <w:p w:rsidR="00D30678" w:rsidRPr="000935BE" w:rsidRDefault="00D30678" w:rsidP="0064242F">
            <w:pPr>
              <w:pStyle w:val="TableBodyText"/>
              <w:keepNext/>
              <w:rPr>
                <w:rFonts w:asciiTheme="majorHAnsi" w:hAnsiTheme="majorHAnsi" w:cstheme="majorHAnsi"/>
              </w:rPr>
            </w:pPr>
            <w:r w:rsidRPr="000935BE">
              <w:rPr>
                <w:rFonts w:asciiTheme="majorHAnsi" w:hAnsiTheme="majorHAnsi" w:cstheme="majorHAnsi"/>
              </w:rPr>
              <w:t>Compliance monitoring for standard OTSAs and standardisation costs/charges</w:t>
            </w:r>
          </w:p>
        </w:tc>
        <w:tc>
          <w:tcPr>
            <w:tcW w:w="4336" w:type="pct"/>
            <w:tcBorders>
              <w:top w:val="single" w:sz="4" w:space="0" w:color="auto"/>
              <w:left w:val="single" w:sz="4" w:space="0" w:color="auto"/>
              <w:bottom w:val="single" w:sz="4" w:space="0" w:color="auto"/>
              <w:right w:val="nil"/>
            </w:tcBorders>
            <w:shd w:val="clear" w:color="auto" w:fill="auto"/>
          </w:tcPr>
          <w:p w:rsidR="00D30678" w:rsidRPr="000935BE" w:rsidRDefault="00D30678" w:rsidP="0064242F">
            <w:pPr>
              <w:pStyle w:val="TableBodyText"/>
              <w:rPr>
                <w:rFonts w:asciiTheme="majorHAnsi" w:hAnsiTheme="majorHAnsi" w:cstheme="majorHAnsi"/>
              </w:rPr>
            </w:pPr>
            <w:r w:rsidRPr="000935BE">
              <w:rPr>
                <w:rFonts w:asciiTheme="majorHAnsi" w:hAnsiTheme="majorHAnsi" w:cstheme="majorHAnsi"/>
              </w:rPr>
              <w:t xml:space="preserve">The AER will be required to conduct a review of the compliance of all non-exempt service providers’ standard OTSAs and standardisation costs/charges with the NGR and Code within the first 12 months of the capacity trading platform and auction being implemented. </w:t>
            </w:r>
          </w:p>
          <w:p w:rsidR="00D30678" w:rsidRPr="000935BE" w:rsidRDefault="00D30678" w:rsidP="0064242F">
            <w:pPr>
              <w:pStyle w:val="TableBodyText"/>
              <w:keepNext/>
              <w:rPr>
                <w:rFonts w:asciiTheme="majorHAnsi" w:hAnsiTheme="majorHAnsi" w:cstheme="majorHAnsi"/>
              </w:rPr>
            </w:pPr>
            <w:r w:rsidRPr="000935BE">
              <w:rPr>
                <w:rFonts w:asciiTheme="majorHAnsi" w:hAnsiTheme="majorHAnsi" w:cstheme="majorHAnsi"/>
              </w:rPr>
              <w:t>The AER will also have an ongoing power to monitor the compliance of standard OTSAs and the standardisation charges specified in these agreements</w:t>
            </w:r>
            <w:r w:rsidR="004E11E5">
              <w:rPr>
                <w:rFonts w:asciiTheme="majorHAnsi" w:hAnsiTheme="majorHAnsi" w:cstheme="majorHAnsi"/>
              </w:rPr>
              <w:t xml:space="preserve"> and may review those agreements or charges </w:t>
            </w:r>
            <w:r w:rsidRPr="000935BE">
              <w:rPr>
                <w:rFonts w:asciiTheme="majorHAnsi" w:hAnsiTheme="majorHAnsi" w:cstheme="majorHAnsi"/>
              </w:rPr>
              <w:t xml:space="preserve">either of its own volition or in response to a request by a user. If </w:t>
            </w:r>
            <w:r w:rsidR="00310B00" w:rsidRPr="000935BE">
              <w:rPr>
                <w:rFonts w:asciiTheme="majorHAnsi" w:hAnsiTheme="majorHAnsi" w:cstheme="majorHAnsi"/>
              </w:rPr>
              <w:t xml:space="preserve">an OTSA </w:t>
            </w:r>
            <w:r w:rsidR="000935BE" w:rsidRPr="000935BE">
              <w:rPr>
                <w:rFonts w:asciiTheme="majorHAnsi" w:hAnsiTheme="majorHAnsi" w:cstheme="majorHAnsi"/>
              </w:rPr>
              <w:t xml:space="preserve">or the charges are </w:t>
            </w:r>
            <w:r w:rsidRPr="000935BE">
              <w:rPr>
                <w:rFonts w:asciiTheme="majorHAnsi" w:hAnsiTheme="majorHAnsi" w:cstheme="majorHAnsi"/>
              </w:rPr>
              <w:t xml:space="preserve">found not to comply with the Code or NGR, the AER may require </w:t>
            </w:r>
            <w:r w:rsidR="000935BE" w:rsidRPr="000935BE">
              <w:rPr>
                <w:rFonts w:asciiTheme="majorHAnsi" w:hAnsiTheme="majorHAnsi" w:cstheme="majorHAnsi"/>
              </w:rPr>
              <w:t>amendments to be made</w:t>
            </w:r>
            <w:r w:rsidRPr="000935BE">
              <w:rPr>
                <w:rFonts w:asciiTheme="majorHAnsi" w:hAnsiTheme="majorHAnsi" w:cstheme="majorHAnsi"/>
              </w:rPr>
              <w:t>.</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tcPr>
          <w:p w:rsidR="00D30678" w:rsidRPr="0064242F" w:rsidRDefault="004A1C00" w:rsidP="0056070C">
            <w:pPr>
              <w:pStyle w:val="TableBodyText"/>
              <w:spacing w:before="40" w:after="40"/>
              <w:rPr>
                <w:rFonts w:asciiTheme="majorHAnsi" w:hAnsiTheme="majorHAnsi" w:cstheme="majorHAnsi"/>
              </w:rPr>
            </w:pPr>
            <w:r w:rsidRPr="0064242F">
              <w:rPr>
                <w:rFonts w:asciiTheme="majorHAnsi" w:hAnsiTheme="majorHAnsi" w:cstheme="majorHAnsi"/>
              </w:rPr>
              <w:t xml:space="preserve">Operational Transportation Service </w:t>
            </w:r>
            <w:r w:rsidR="00D30678" w:rsidRPr="0064242F">
              <w:rPr>
                <w:rFonts w:asciiTheme="majorHAnsi" w:hAnsiTheme="majorHAnsi" w:cstheme="majorHAnsi"/>
              </w:rPr>
              <w:t>Code</w:t>
            </w:r>
            <w:r w:rsidRPr="0064242F">
              <w:rPr>
                <w:rFonts w:asciiTheme="majorHAnsi" w:hAnsiTheme="majorHAnsi" w:cstheme="majorHAnsi"/>
              </w:rPr>
              <w:t xml:space="preserve"> (Code)</w:t>
            </w:r>
          </w:p>
        </w:tc>
        <w:tc>
          <w:tcPr>
            <w:tcW w:w="4336" w:type="pct"/>
            <w:tcBorders>
              <w:top w:val="single" w:sz="4" w:space="0" w:color="auto"/>
              <w:left w:val="single" w:sz="4" w:space="0" w:color="auto"/>
              <w:bottom w:val="single" w:sz="4" w:space="0" w:color="auto"/>
              <w:right w:val="nil"/>
            </w:tcBorders>
            <w:shd w:val="clear" w:color="auto" w:fill="auto"/>
          </w:tcPr>
          <w:p w:rsidR="00D30678" w:rsidRPr="0064242F" w:rsidRDefault="00D30678" w:rsidP="0064242F">
            <w:pPr>
              <w:pStyle w:val="TableBullet1"/>
              <w:spacing w:before="40" w:after="40"/>
              <w:ind w:left="85"/>
              <w:rPr>
                <w:rFonts w:asciiTheme="majorHAnsi" w:hAnsiTheme="majorHAnsi" w:cstheme="majorHAnsi"/>
                <w:szCs w:val="18"/>
              </w:rPr>
            </w:pPr>
            <w:r w:rsidRPr="0064242F">
              <w:rPr>
                <w:rFonts w:asciiTheme="majorHAnsi" w:hAnsiTheme="majorHAnsi" w:cstheme="majorHAnsi"/>
                <w:szCs w:val="18"/>
              </w:rPr>
              <w:t xml:space="preserve">The standard OTSA prepared by a service provider must comply with the relevant provisions in the NGR and the Code. The Code will contain: </w:t>
            </w:r>
          </w:p>
          <w:p w:rsidR="00D30678" w:rsidRPr="0064242F" w:rsidRDefault="00D30678">
            <w:pPr>
              <w:pStyle w:val="TableBullet1"/>
              <w:numPr>
                <w:ilvl w:val="0"/>
                <w:numId w:val="41"/>
              </w:numPr>
              <w:spacing w:before="40" w:after="40"/>
              <w:rPr>
                <w:rFonts w:asciiTheme="majorHAnsi" w:hAnsiTheme="majorHAnsi" w:cstheme="majorHAnsi"/>
                <w:lang w:eastAsia="fr-CA"/>
              </w:rPr>
            </w:pPr>
            <w:r w:rsidRPr="0064242F">
              <w:rPr>
                <w:rFonts w:asciiTheme="majorHAnsi" w:hAnsiTheme="majorHAnsi" w:cstheme="majorHAnsi"/>
                <w:lang w:eastAsia="fr-CA"/>
              </w:rPr>
              <w:t xml:space="preserve">a description of the standard operational transportation services and the terms and conditions for the provision and use of those services; </w:t>
            </w:r>
          </w:p>
          <w:p w:rsidR="00D30678" w:rsidRPr="0064242F" w:rsidRDefault="00D30678">
            <w:pPr>
              <w:pStyle w:val="TableBullet1"/>
              <w:numPr>
                <w:ilvl w:val="0"/>
                <w:numId w:val="41"/>
              </w:numPr>
              <w:spacing w:before="40" w:after="40"/>
              <w:rPr>
                <w:rFonts w:asciiTheme="majorHAnsi" w:hAnsiTheme="majorHAnsi" w:cstheme="majorHAnsi"/>
                <w:lang w:eastAsia="fr-CA"/>
              </w:rPr>
            </w:pPr>
            <w:r w:rsidRPr="0064242F">
              <w:rPr>
                <w:rFonts w:asciiTheme="majorHAnsi" w:hAnsiTheme="majorHAnsi" w:cstheme="majorHAnsi"/>
                <w:lang w:eastAsia="fr-CA"/>
              </w:rPr>
              <w:t xml:space="preserve">a description of, and requirements for, facility specific terms; and </w:t>
            </w:r>
          </w:p>
          <w:p w:rsidR="00D30678" w:rsidRPr="0064242F" w:rsidRDefault="00D30678" w:rsidP="007A07EA">
            <w:pPr>
              <w:pStyle w:val="TableBullet1"/>
              <w:numPr>
                <w:ilvl w:val="0"/>
                <w:numId w:val="41"/>
              </w:numPr>
              <w:spacing w:before="40" w:after="40"/>
              <w:rPr>
                <w:rFonts w:asciiTheme="majorHAnsi" w:hAnsiTheme="majorHAnsi" w:cstheme="majorHAnsi"/>
                <w:lang w:eastAsia="fr-CA"/>
              </w:rPr>
            </w:pPr>
            <w:r w:rsidRPr="0064242F">
              <w:rPr>
                <w:rFonts w:asciiTheme="majorHAnsi" w:hAnsiTheme="majorHAnsi" w:cstheme="majorHAnsi"/>
                <w:lang w:eastAsia="fr-CA"/>
              </w:rPr>
              <w:t>a form of agreement for execution by the parties</w:t>
            </w:r>
            <w:r w:rsidR="00851B83" w:rsidRPr="0064242F">
              <w:rPr>
                <w:rFonts w:asciiTheme="majorHAnsi" w:hAnsiTheme="majorHAnsi" w:cstheme="majorHAnsi"/>
                <w:lang w:eastAsia="fr-CA"/>
              </w:rPr>
              <w:t>, which will automatically incorporate any changes that are made to the standard terms and a facility’s facility specific terms</w:t>
            </w:r>
            <w:r w:rsidRPr="0064242F">
              <w:rPr>
                <w:rFonts w:asciiTheme="majorHAnsi" w:hAnsiTheme="majorHAnsi" w:cstheme="majorHAnsi"/>
                <w:lang w:eastAsia="fr-CA"/>
              </w:rPr>
              <w:t xml:space="preserve">. </w:t>
            </w:r>
          </w:p>
          <w:p w:rsidR="0063726A" w:rsidRPr="0064242F" w:rsidRDefault="004A1C00" w:rsidP="00340E07">
            <w:pPr>
              <w:pStyle w:val="TableBullet1"/>
              <w:numPr>
                <w:ilvl w:val="0"/>
                <w:numId w:val="0"/>
              </w:numPr>
              <w:spacing w:before="40" w:after="40"/>
              <w:ind w:left="85"/>
              <w:rPr>
                <w:rFonts w:asciiTheme="majorHAnsi" w:hAnsiTheme="majorHAnsi" w:cstheme="majorHAnsi"/>
                <w:szCs w:val="18"/>
              </w:rPr>
            </w:pPr>
            <w:r w:rsidRPr="0064242F">
              <w:rPr>
                <w:rFonts w:asciiTheme="majorHAnsi" w:hAnsiTheme="majorHAnsi" w:cstheme="majorHAnsi"/>
                <w:szCs w:val="18"/>
              </w:rPr>
              <w:lastRenderedPageBreak/>
              <w:t xml:space="preserve">These elements of the Code are largely unchanged from the version that was released for public consultation, although some minor amendments have been made to </w:t>
            </w:r>
            <w:r w:rsidR="00EF7CCD" w:rsidRPr="0064242F">
              <w:rPr>
                <w:rFonts w:asciiTheme="majorHAnsi" w:hAnsiTheme="majorHAnsi" w:cstheme="majorHAnsi"/>
                <w:szCs w:val="18"/>
              </w:rPr>
              <w:t xml:space="preserve">enable the Code to apply to facilities that are subject to a conditional exemption and to </w:t>
            </w:r>
            <w:r w:rsidR="0063726A" w:rsidRPr="0064242F">
              <w:rPr>
                <w:rFonts w:asciiTheme="majorHAnsi" w:hAnsiTheme="majorHAnsi" w:cstheme="majorHAnsi"/>
                <w:szCs w:val="18"/>
              </w:rPr>
              <w:t xml:space="preserve">address the issues that stakeholders raised about the following aspects of the standard terms and facility specific terms: </w:t>
            </w:r>
          </w:p>
          <w:p w:rsidR="00EF7CCD" w:rsidRPr="0064242F" w:rsidRDefault="00EF7CCD" w:rsidP="00340E07">
            <w:pPr>
              <w:pStyle w:val="TableBullet1"/>
              <w:spacing w:before="40" w:after="40"/>
              <w:rPr>
                <w:rFonts w:asciiTheme="majorHAnsi" w:hAnsiTheme="majorHAnsi" w:cstheme="majorHAnsi"/>
              </w:rPr>
            </w:pPr>
            <w:r w:rsidRPr="0064242F">
              <w:rPr>
                <w:rFonts w:asciiTheme="majorHAnsi" w:hAnsiTheme="majorHAnsi" w:cstheme="majorHAnsi"/>
              </w:rPr>
              <w:t xml:space="preserve">the standard terms have been amended to: specify </w:t>
            </w:r>
            <w:r w:rsidR="0063726A" w:rsidRPr="0064242F">
              <w:rPr>
                <w:rFonts w:asciiTheme="majorHAnsi" w:hAnsiTheme="majorHAnsi" w:cstheme="majorHAnsi"/>
              </w:rPr>
              <w:t xml:space="preserve">the time at which shippers must nominate </w:t>
            </w:r>
            <w:r w:rsidRPr="0064242F">
              <w:rPr>
                <w:rFonts w:asciiTheme="majorHAnsi" w:hAnsiTheme="majorHAnsi" w:cstheme="majorHAnsi"/>
              </w:rPr>
              <w:t xml:space="preserve">the </w:t>
            </w:r>
            <w:r w:rsidR="0063726A" w:rsidRPr="0064242F">
              <w:rPr>
                <w:rFonts w:asciiTheme="majorHAnsi" w:hAnsiTheme="majorHAnsi" w:cstheme="majorHAnsi"/>
              </w:rPr>
              <w:t>service points</w:t>
            </w:r>
            <w:r w:rsidRPr="0064242F">
              <w:rPr>
                <w:rFonts w:asciiTheme="majorHAnsi" w:hAnsiTheme="majorHAnsi" w:cstheme="majorHAnsi"/>
              </w:rPr>
              <w:t xml:space="preserve"> they intend to use (i.e. at the time of transfer or trade); require service providers to inform a shipper that has no MDQ of any unplanned maintenance; and to </w:t>
            </w:r>
            <w:r w:rsidR="002C1DC3" w:rsidRPr="0064242F">
              <w:rPr>
                <w:rFonts w:asciiTheme="majorHAnsi" w:hAnsiTheme="majorHAnsi" w:cstheme="majorHAnsi"/>
              </w:rPr>
              <w:t xml:space="preserve">increase the </w:t>
            </w:r>
            <w:r w:rsidRPr="0064242F">
              <w:rPr>
                <w:rFonts w:asciiTheme="majorHAnsi" w:hAnsiTheme="majorHAnsi" w:cstheme="majorHAnsi"/>
              </w:rPr>
              <w:t>cap</w:t>
            </w:r>
            <w:r w:rsidR="002C1DC3" w:rsidRPr="0064242F">
              <w:rPr>
                <w:rFonts w:asciiTheme="majorHAnsi" w:hAnsiTheme="majorHAnsi" w:cstheme="majorHAnsi"/>
              </w:rPr>
              <w:t xml:space="preserve"> on</w:t>
            </w:r>
            <w:r w:rsidRPr="0064242F">
              <w:rPr>
                <w:rFonts w:asciiTheme="majorHAnsi" w:hAnsiTheme="majorHAnsi" w:cstheme="majorHAnsi"/>
              </w:rPr>
              <w:t xml:space="preserve"> a shipper’s liability </w:t>
            </w:r>
            <w:r w:rsidR="002C1DC3" w:rsidRPr="0064242F">
              <w:rPr>
                <w:rFonts w:asciiTheme="majorHAnsi" w:hAnsiTheme="majorHAnsi" w:cstheme="majorHAnsi"/>
              </w:rPr>
              <w:t xml:space="preserve">to $20m </w:t>
            </w:r>
            <w:r w:rsidRPr="0064242F">
              <w:rPr>
                <w:rFonts w:asciiTheme="majorHAnsi" w:hAnsiTheme="majorHAnsi" w:cstheme="majorHAnsi"/>
              </w:rPr>
              <w:t xml:space="preserve">where an event </w:t>
            </w:r>
            <w:r w:rsidR="004E11E5">
              <w:rPr>
                <w:rFonts w:asciiTheme="majorHAnsi" w:hAnsiTheme="majorHAnsi" w:cstheme="majorHAnsi"/>
              </w:rPr>
              <w:t xml:space="preserve">(or connected series of events) </w:t>
            </w:r>
            <w:r w:rsidRPr="0064242F">
              <w:rPr>
                <w:rFonts w:asciiTheme="majorHAnsi" w:hAnsiTheme="majorHAnsi" w:cstheme="majorHAnsi"/>
              </w:rPr>
              <w:t>causes physical damage to the facility;</w:t>
            </w:r>
            <w:r w:rsidR="008A2445" w:rsidRPr="0064242F">
              <w:rPr>
                <w:rFonts w:asciiTheme="majorHAnsi" w:hAnsiTheme="majorHAnsi" w:cstheme="majorHAnsi"/>
              </w:rPr>
              <w:t xml:space="preserve"> and</w:t>
            </w:r>
          </w:p>
          <w:p w:rsidR="00D30678" w:rsidRPr="0064242F" w:rsidRDefault="0063726A" w:rsidP="00340E07">
            <w:pPr>
              <w:pStyle w:val="TableBullet1"/>
              <w:spacing w:before="40" w:after="40"/>
            </w:pPr>
            <w:r w:rsidRPr="0064242F">
              <w:rPr>
                <w:rFonts w:asciiTheme="majorHAnsi" w:hAnsiTheme="majorHAnsi" w:cstheme="majorHAnsi"/>
              </w:rPr>
              <w:t>the facility specific terms have been amended to</w:t>
            </w:r>
            <w:r w:rsidR="00EF7CCD" w:rsidRPr="0064242F">
              <w:rPr>
                <w:rFonts w:asciiTheme="majorHAnsi" w:hAnsiTheme="majorHAnsi" w:cstheme="majorHAnsi"/>
              </w:rPr>
              <w:t>:</w:t>
            </w:r>
            <w:r w:rsidRPr="0064242F">
              <w:rPr>
                <w:rFonts w:asciiTheme="majorHAnsi" w:hAnsiTheme="majorHAnsi" w:cstheme="majorHAnsi"/>
              </w:rPr>
              <w:t xml:space="preserve"> provide greater clarity about the intended operation of the </w:t>
            </w:r>
            <w:r w:rsidR="004A1C00" w:rsidRPr="0064242F">
              <w:rPr>
                <w:rFonts w:asciiTheme="majorHAnsi" w:hAnsiTheme="majorHAnsi" w:cstheme="majorHAnsi"/>
              </w:rPr>
              <w:t>compression</w:t>
            </w:r>
            <w:r w:rsidRPr="0064242F">
              <w:rPr>
                <w:rFonts w:asciiTheme="majorHAnsi" w:hAnsiTheme="majorHAnsi" w:cstheme="majorHAnsi"/>
              </w:rPr>
              <w:t xml:space="preserve"> </w:t>
            </w:r>
            <w:r w:rsidR="00EF7CCD" w:rsidRPr="0064242F">
              <w:rPr>
                <w:rFonts w:asciiTheme="majorHAnsi" w:hAnsiTheme="majorHAnsi" w:cstheme="majorHAnsi"/>
              </w:rPr>
              <w:t xml:space="preserve">operation and service </w:t>
            </w:r>
            <w:r w:rsidRPr="0064242F">
              <w:rPr>
                <w:rFonts w:asciiTheme="majorHAnsi" w:hAnsiTheme="majorHAnsi" w:cstheme="majorHAnsi"/>
              </w:rPr>
              <w:t>provisions</w:t>
            </w:r>
            <w:r w:rsidR="008A2445" w:rsidRPr="0064242F">
              <w:rPr>
                <w:rFonts w:asciiTheme="majorHAnsi" w:hAnsiTheme="majorHAnsi" w:cstheme="majorHAnsi"/>
              </w:rPr>
              <w:t>;</w:t>
            </w:r>
            <w:r w:rsidRPr="0064242F">
              <w:rPr>
                <w:rFonts w:asciiTheme="majorHAnsi" w:hAnsiTheme="majorHAnsi" w:cstheme="majorHAnsi"/>
              </w:rPr>
              <w:t xml:space="preserve"> </w:t>
            </w:r>
            <w:r w:rsidR="00EF7CCD" w:rsidRPr="0064242F">
              <w:rPr>
                <w:rFonts w:asciiTheme="majorHAnsi" w:hAnsiTheme="majorHAnsi" w:cstheme="majorHAnsi"/>
              </w:rPr>
              <w:t xml:space="preserve">enable </w:t>
            </w:r>
            <w:r w:rsidRPr="0064242F">
              <w:rPr>
                <w:rFonts w:asciiTheme="majorHAnsi" w:hAnsiTheme="majorHAnsi" w:cstheme="majorHAnsi"/>
              </w:rPr>
              <w:t xml:space="preserve">service providers to deal with </w:t>
            </w:r>
            <w:r w:rsidR="004A1C00" w:rsidRPr="0064242F">
              <w:rPr>
                <w:rFonts w:asciiTheme="majorHAnsi" w:hAnsiTheme="majorHAnsi" w:cstheme="majorHAnsi"/>
              </w:rPr>
              <w:t>renomination</w:t>
            </w:r>
            <w:r w:rsidRPr="0064242F">
              <w:rPr>
                <w:rFonts w:asciiTheme="majorHAnsi" w:hAnsiTheme="majorHAnsi" w:cstheme="majorHAnsi"/>
              </w:rPr>
              <w:t xml:space="preserve"> requests at set intervals </w:t>
            </w:r>
            <w:r w:rsidR="00EF7CCD" w:rsidRPr="0064242F">
              <w:rPr>
                <w:rFonts w:asciiTheme="majorHAnsi" w:hAnsiTheme="majorHAnsi" w:cstheme="majorHAnsi"/>
              </w:rPr>
              <w:t>(</w:t>
            </w:r>
            <w:r w:rsidRPr="0064242F">
              <w:rPr>
                <w:rFonts w:asciiTheme="majorHAnsi" w:hAnsiTheme="majorHAnsi" w:cstheme="majorHAnsi"/>
              </w:rPr>
              <w:t xml:space="preserve">where consistent with existing </w:t>
            </w:r>
            <w:r w:rsidR="00EF7CCD" w:rsidRPr="0064242F">
              <w:rPr>
                <w:rFonts w:asciiTheme="majorHAnsi" w:hAnsiTheme="majorHAnsi" w:cstheme="majorHAnsi"/>
              </w:rPr>
              <w:t xml:space="preserve">practice); and specify the information to be provided on pipeline receipt and delivery points, park service points and compressors. </w:t>
            </w:r>
          </w:p>
        </w:tc>
      </w:tr>
      <w:tr w:rsidR="004A1C00" w:rsidRPr="00C37D44" w:rsidTr="003D2AD2">
        <w:tc>
          <w:tcPr>
            <w:tcW w:w="664" w:type="pct"/>
            <w:tcBorders>
              <w:top w:val="single" w:sz="4" w:space="0" w:color="auto"/>
              <w:left w:val="nil"/>
              <w:bottom w:val="single" w:sz="4" w:space="0" w:color="auto"/>
              <w:right w:val="single" w:sz="4" w:space="0" w:color="auto"/>
            </w:tcBorders>
            <w:shd w:val="clear" w:color="auto" w:fill="auto"/>
          </w:tcPr>
          <w:p w:rsidR="004A1C00" w:rsidRDefault="004A1C00" w:rsidP="0056070C">
            <w:pPr>
              <w:pStyle w:val="TableBodyText"/>
              <w:spacing w:before="40" w:after="40"/>
              <w:rPr>
                <w:rFonts w:asciiTheme="majorHAnsi" w:hAnsiTheme="majorHAnsi" w:cstheme="majorHAnsi"/>
              </w:rPr>
            </w:pPr>
            <w:r>
              <w:rPr>
                <w:rFonts w:asciiTheme="majorHAnsi" w:hAnsiTheme="majorHAnsi" w:cstheme="majorHAnsi"/>
              </w:rPr>
              <w:lastRenderedPageBreak/>
              <w:t>Governance of the Code</w:t>
            </w:r>
          </w:p>
        </w:tc>
        <w:tc>
          <w:tcPr>
            <w:tcW w:w="4336" w:type="pct"/>
            <w:tcBorders>
              <w:top w:val="single" w:sz="4" w:space="0" w:color="auto"/>
              <w:left w:val="single" w:sz="4" w:space="0" w:color="auto"/>
              <w:bottom w:val="single" w:sz="4" w:space="0" w:color="auto"/>
              <w:right w:val="nil"/>
            </w:tcBorders>
            <w:shd w:val="clear" w:color="auto" w:fill="auto"/>
          </w:tcPr>
          <w:p w:rsidR="004A1C00" w:rsidRPr="00F04A8E" w:rsidRDefault="004A1C00" w:rsidP="004A1C00">
            <w:pPr>
              <w:pStyle w:val="TableBullet1"/>
              <w:spacing w:before="40" w:after="40"/>
              <w:ind w:left="85"/>
              <w:rPr>
                <w:rFonts w:asciiTheme="majorHAnsi" w:hAnsiTheme="majorHAnsi" w:cstheme="majorHAnsi"/>
                <w:szCs w:val="18"/>
              </w:rPr>
            </w:pPr>
            <w:r w:rsidRPr="00D30678">
              <w:rPr>
                <w:rFonts w:asciiTheme="majorHAnsi" w:hAnsiTheme="majorHAnsi" w:cstheme="majorHAnsi"/>
                <w:szCs w:val="18"/>
              </w:rPr>
              <w:t>The Code will be subject to a hybrid governance model, which will involve the following:</w:t>
            </w:r>
          </w:p>
          <w:p w:rsidR="004A1C00" w:rsidRPr="00C37D44" w:rsidRDefault="004A1C00" w:rsidP="004A1C00">
            <w:pPr>
              <w:pStyle w:val="TableBullet1"/>
              <w:numPr>
                <w:ilvl w:val="0"/>
                <w:numId w:val="41"/>
              </w:numPr>
              <w:spacing w:before="40" w:after="40"/>
              <w:rPr>
                <w:rFonts w:asciiTheme="majorHAnsi" w:hAnsiTheme="majorHAnsi" w:cstheme="majorHAnsi"/>
                <w:lang w:eastAsia="fr-CA"/>
              </w:rPr>
            </w:pPr>
            <w:r w:rsidRPr="00C37D44">
              <w:rPr>
                <w:rFonts w:asciiTheme="majorHAnsi" w:hAnsiTheme="majorHAnsi" w:cstheme="majorHAnsi"/>
                <w:lang w:eastAsia="fr-CA"/>
              </w:rPr>
              <w:t xml:space="preserve">An industry Panel (the OTS Code Panel), comprising </w:t>
            </w:r>
            <w:r>
              <w:rPr>
                <w:rFonts w:asciiTheme="majorHAnsi" w:hAnsiTheme="majorHAnsi" w:cstheme="majorHAnsi"/>
                <w:lang w:eastAsia="fr-CA"/>
              </w:rPr>
              <w:t xml:space="preserve">a member from AEMO (who will chair the panel), </w:t>
            </w:r>
            <w:r w:rsidRPr="00C37D44">
              <w:rPr>
                <w:rFonts w:asciiTheme="majorHAnsi" w:hAnsiTheme="majorHAnsi" w:cstheme="majorHAnsi"/>
                <w:lang w:eastAsia="fr-CA"/>
              </w:rPr>
              <w:t>two</w:t>
            </w:r>
            <w:r>
              <w:rPr>
                <w:rFonts w:asciiTheme="majorHAnsi" w:hAnsiTheme="majorHAnsi" w:cstheme="majorHAnsi"/>
                <w:lang w:eastAsia="fr-CA"/>
              </w:rPr>
              <w:t xml:space="preserve"> </w:t>
            </w:r>
            <w:r w:rsidRPr="00C37D44">
              <w:rPr>
                <w:rFonts w:asciiTheme="majorHAnsi" w:hAnsiTheme="majorHAnsi" w:cstheme="majorHAnsi"/>
                <w:lang w:eastAsia="fr-CA"/>
              </w:rPr>
              <w:t>service provider</w:t>
            </w:r>
            <w:r w:rsidR="000935BE">
              <w:rPr>
                <w:rFonts w:asciiTheme="majorHAnsi" w:hAnsiTheme="majorHAnsi" w:cstheme="majorHAnsi"/>
                <w:lang w:eastAsia="fr-CA"/>
              </w:rPr>
              <w:t xml:space="preserve">s </w:t>
            </w:r>
            <w:r w:rsidRPr="00C37D44">
              <w:rPr>
                <w:rFonts w:asciiTheme="majorHAnsi" w:hAnsiTheme="majorHAnsi" w:cstheme="majorHAnsi"/>
                <w:lang w:eastAsia="fr-CA"/>
              </w:rPr>
              <w:t xml:space="preserve">and two shippers (one </w:t>
            </w:r>
            <w:r w:rsidR="000935BE">
              <w:rPr>
                <w:rFonts w:asciiTheme="majorHAnsi" w:hAnsiTheme="majorHAnsi" w:cstheme="majorHAnsi"/>
                <w:lang w:eastAsia="fr-CA"/>
              </w:rPr>
              <w:t xml:space="preserve">of which must be a </w:t>
            </w:r>
            <w:r w:rsidRPr="00C37D44">
              <w:rPr>
                <w:rFonts w:asciiTheme="majorHAnsi" w:hAnsiTheme="majorHAnsi" w:cstheme="majorHAnsi"/>
                <w:lang w:eastAsia="fr-CA"/>
              </w:rPr>
              <w:t>large user of gas)</w:t>
            </w:r>
            <w:r>
              <w:rPr>
                <w:rFonts w:asciiTheme="majorHAnsi" w:hAnsiTheme="majorHAnsi" w:cstheme="majorHAnsi"/>
                <w:lang w:eastAsia="fr-CA"/>
              </w:rPr>
              <w:t xml:space="preserve">. The OTS Code Panel will </w:t>
            </w:r>
            <w:r w:rsidRPr="00C37D44">
              <w:rPr>
                <w:rFonts w:asciiTheme="majorHAnsi" w:hAnsiTheme="majorHAnsi" w:cstheme="majorHAnsi"/>
                <w:lang w:eastAsia="fr-CA"/>
              </w:rPr>
              <w:t xml:space="preserve">consider </w:t>
            </w:r>
            <w:r>
              <w:rPr>
                <w:rFonts w:asciiTheme="majorHAnsi" w:hAnsiTheme="majorHAnsi" w:cstheme="majorHAnsi"/>
                <w:lang w:eastAsia="fr-CA"/>
              </w:rPr>
              <w:t>proposals to amend</w:t>
            </w:r>
            <w:r w:rsidRPr="00C37D44">
              <w:rPr>
                <w:rFonts w:asciiTheme="majorHAnsi" w:hAnsiTheme="majorHAnsi" w:cstheme="majorHAnsi"/>
                <w:lang w:eastAsia="fr-CA"/>
              </w:rPr>
              <w:t xml:space="preserve"> the Code</w:t>
            </w:r>
            <w:r>
              <w:rPr>
                <w:rFonts w:asciiTheme="majorHAnsi" w:hAnsiTheme="majorHAnsi" w:cstheme="majorHAnsi"/>
                <w:lang w:eastAsia="fr-CA"/>
              </w:rPr>
              <w:t>, having regard to stakeholder feedback,</w:t>
            </w:r>
            <w:r w:rsidRPr="00C37D44">
              <w:rPr>
                <w:rFonts w:asciiTheme="majorHAnsi" w:hAnsiTheme="majorHAnsi" w:cstheme="majorHAnsi"/>
                <w:lang w:eastAsia="fr-CA"/>
              </w:rPr>
              <w:t xml:space="preserve"> and provide </w:t>
            </w:r>
            <w:r>
              <w:rPr>
                <w:rFonts w:asciiTheme="majorHAnsi" w:hAnsiTheme="majorHAnsi" w:cstheme="majorHAnsi"/>
                <w:lang w:eastAsia="fr-CA"/>
              </w:rPr>
              <w:t>its</w:t>
            </w:r>
            <w:r w:rsidRPr="00C37D44">
              <w:rPr>
                <w:rFonts w:asciiTheme="majorHAnsi" w:hAnsiTheme="majorHAnsi" w:cstheme="majorHAnsi"/>
                <w:lang w:eastAsia="fr-CA"/>
              </w:rPr>
              <w:t xml:space="preserve"> recommendations to the AER on the proposed </w:t>
            </w:r>
            <w:r>
              <w:rPr>
                <w:rFonts w:asciiTheme="majorHAnsi" w:hAnsiTheme="majorHAnsi" w:cstheme="majorHAnsi"/>
                <w:lang w:eastAsia="fr-CA"/>
              </w:rPr>
              <w:t>amendments</w:t>
            </w:r>
            <w:r w:rsidRPr="00C37D44">
              <w:rPr>
                <w:rFonts w:asciiTheme="majorHAnsi" w:hAnsiTheme="majorHAnsi" w:cstheme="majorHAnsi"/>
                <w:lang w:eastAsia="fr-CA"/>
              </w:rPr>
              <w:t>.</w:t>
            </w:r>
            <w:r>
              <w:rPr>
                <w:rFonts w:asciiTheme="majorHAnsi" w:hAnsiTheme="majorHAnsi" w:cstheme="majorHAnsi"/>
                <w:lang w:eastAsia="fr-CA"/>
              </w:rPr>
              <w:t xml:space="preserve"> </w:t>
            </w:r>
          </w:p>
          <w:p w:rsidR="004A1C00" w:rsidRPr="00D30678" w:rsidRDefault="004A1C00" w:rsidP="004A1C00">
            <w:pPr>
              <w:pStyle w:val="TableBullet1"/>
              <w:numPr>
                <w:ilvl w:val="0"/>
                <w:numId w:val="41"/>
              </w:numPr>
              <w:spacing w:before="40" w:after="40"/>
              <w:rPr>
                <w:rFonts w:asciiTheme="majorHAnsi" w:hAnsiTheme="majorHAnsi" w:cstheme="majorHAnsi"/>
                <w:szCs w:val="18"/>
              </w:rPr>
            </w:pPr>
            <w:r>
              <w:rPr>
                <w:rFonts w:asciiTheme="majorHAnsi" w:hAnsiTheme="majorHAnsi" w:cstheme="majorHAnsi"/>
                <w:lang w:eastAsia="fr-CA"/>
              </w:rPr>
              <w:t>Amendments</w:t>
            </w:r>
            <w:r w:rsidRPr="00C37D44">
              <w:rPr>
                <w:rFonts w:asciiTheme="majorHAnsi" w:hAnsiTheme="majorHAnsi" w:cstheme="majorHAnsi"/>
                <w:lang w:eastAsia="fr-CA"/>
              </w:rPr>
              <w:t xml:space="preserve"> recommended by the OTS Code Panel will only take effect if approved by the AER. In deciding whether to approve the </w:t>
            </w:r>
            <w:r>
              <w:rPr>
                <w:rFonts w:asciiTheme="majorHAnsi" w:hAnsiTheme="majorHAnsi" w:cstheme="majorHAnsi"/>
                <w:lang w:eastAsia="fr-CA"/>
              </w:rPr>
              <w:t>amendments</w:t>
            </w:r>
            <w:r w:rsidRPr="00C37D44">
              <w:rPr>
                <w:rFonts w:asciiTheme="majorHAnsi" w:hAnsiTheme="majorHAnsi" w:cstheme="majorHAnsi"/>
                <w:lang w:eastAsia="fr-CA"/>
              </w:rPr>
              <w:t>, the AER must consider the Code objective</w:t>
            </w:r>
            <w:r>
              <w:rPr>
                <w:rStyle w:val="FootnoteReference"/>
                <w:rFonts w:asciiTheme="majorHAnsi" w:hAnsiTheme="majorHAnsi" w:cstheme="majorHAnsi"/>
                <w:lang w:eastAsia="fr-CA"/>
              </w:rPr>
              <w:footnoteReference w:id="19"/>
            </w:r>
            <w:r w:rsidRPr="00C37D44">
              <w:rPr>
                <w:rFonts w:asciiTheme="majorHAnsi" w:hAnsiTheme="majorHAnsi" w:cstheme="majorHAnsi"/>
                <w:lang w:eastAsia="fr-CA"/>
              </w:rPr>
              <w:t xml:space="preserve"> and a number of other principles and matters specified in the NGR. The AER will have the power to approve, reject and remit the proposed change. It will also have the power to amend the Code on its own initiative</w:t>
            </w:r>
            <w:r w:rsidR="004E11E5">
              <w:rPr>
                <w:rFonts w:asciiTheme="majorHAnsi" w:hAnsiTheme="majorHAnsi" w:cstheme="majorHAnsi"/>
                <w:lang w:eastAsia="fr-CA"/>
              </w:rPr>
              <w:t>. However, b</w:t>
            </w:r>
            <w:r w:rsidRPr="00C37D44">
              <w:rPr>
                <w:rFonts w:asciiTheme="majorHAnsi" w:hAnsiTheme="majorHAnsi" w:cstheme="majorHAnsi"/>
                <w:lang w:eastAsia="fr-CA"/>
              </w:rPr>
              <w:t>efore doing so</w:t>
            </w:r>
            <w:r w:rsidR="004E11E5">
              <w:rPr>
                <w:rFonts w:asciiTheme="majorHAnsi" w:hAnsiTheme="majorHAnsi" w:cstheme="majorHAnsi"/>
                <w:lang w:eastAsia="fr-CA"/>
              </w:rPr>
              <w:t xml:space="preserve">, the AER </w:t>
            </w:r>
            <w:r w:rsidRPr="00C37D44">
              <w:rPr>
                <w:rFonts w:asciiTheme="majorHAnsi" w:hAnsiTheme="majorHAnsi" w:cstheme="majorHAnsi"/>
                <w:lang w:eastAsia="fr-CA"/>
              </w:rPr>
              <w:t>must request advice from the OTS Code Panel and AEMO</w:t>
            </w:r>
            <w:r w:rsidR="000F4B3D">
              <w:rPr>
                <w:rFonts w:asciiTheme="majorHAnsi" w:hAnsiTheme="majorHAnsi" w:cstheme="majorHAnsi"/>
                <w:lang w:eastAsia="fr-CA"/>
              </w:rPr>
              <w:t>,</w:t>
            </w:r>
            <w:r w:rsidRPr="00C37D44">
              <w:rPr>
                <w:rFonts w:asciiTheme="majorHAnsi" w:hAnsiTheme="majorHAnsi" w:cstheme="majorHAnsi"/>
                <w:lang w:eastAsia="fr-CA"/>
              </w:rPr>
              <w:t xml:space="preserve"> and consult with interested parties</w:t>
            </w:r>
            <w:r w:rsidR="00340E07">
              <w:rPr>
                <w:rFonts w:asciiTheme="majorHAnsi" w:hAnsiTheme="majorHAnsi" w:cstheme="majorHAnsi"/>
                <w:lang w:eastAsia="fr-CA"/>
              </w:rPr>
              <w:t>.</w:t>
            </w:r>
            <w:r w:rsidR="00340E07">
              <w:rPr>
                <w:rStyle w:val="FootnoteReference"/>
                <w:rFonts w:asciiTheme="majorHAnsi" w:hAnsiTheme="majorHAnsi" w:cstheme="majorHAnsi"/>
                <w:lang w:eastAsia="fr-CA"/>
              </w:rPr>
              <w:footnoteReference w:id="20"/>
            </w:r>
          </w:p>
          <w:p w:rsidR="004A1C00" w:rsidRPr="00D30678" w:rsidRDefault="004A1C00" w:rsidP="00723AC6">
            <w:pPr>
              <w:pStyle w:val="TableBullet1"/>
              <w:numPr>
                <w:ilvl w:val="0"/>
                <w:numId w:val="0"/>
              </w:numPr>
              <w:spacing w:before="40" w:after="40"/>
              <w:ind w:left="85"/>
              <w:rPr>
                <w:rFonts w:asciiTheme="majorHAnsi" w:hAnsiTheme="majorHAnsi" w:cstheme="majorHAnsi"/>
                <w:szCs w:val="18"/>
              </w:rPr>
            </w:pPr>
            <w:r w:rsidRPr="00F04A8E">
              <w:rPr>
                <w:rFonts w:asciiTheme="majorHAnsi" w:hAnsiTheme="majorHAnsi" w:cstheme="majorHAnsi"/>
                <w:szCs w:val="18"/>
              </w:rPr>
              <w:t xml:space="preserve">The AER and </w:t>
            </w:r>
            <w:r w:rsidRPr="00C37D44">
              <w:rPr>
                <w:rFonts w:asciiTheme="majorHAnsi" w:hAnsiTheme="majorHAnsi" w:cstheme="majorHAnsi"/>
                <w:szCs w:val="18"/>
              </w:rPr>
              <w:t>Code Panel will also be able to seek the advice of consumer and industry representative bodies where it is appropriate to do so.</w:t>
            </w:r>
          </w:p>
        </w:tc>
      </w:tr>
      <w:tr w:rsidR="00D30678" w:rsidRPr="00C37D44" w:rsidTr="00340E07">
        <w:trPr>
          <w:cnfStyle w:val="000000010000" w:firstRow="0" w:lastRow="0" w:firstColumn="0" w:lastColumn="0" w:oddVBand="0" w:evenVBand="0" w:oddHBand="0" w:evenHBand="1" w:firstRowFirstColumn="0" w:firstRowLastColumn="0" w:lastRowFirstColumn="0" w:lastRowLastColumn="0"/>
          <w:trHeight w:val="60"/>
        </w:trPr>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C37D44" w:rsidRDefault="00D30678" w:rsidP="00340E07">
            <w:pPr>
              <w:pStyle w:val="TableBodyText"/>
              <w:keepNext/>
              <w:spacing w:before="20" w:after="20"/>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t>Measures to overcome contractual limitations on capacity trading</w:t>
            </w:r>
          </w:p>
        </w:tc>
      </w:tr>
      <w:tr w:rsidR="00D30678" w:rsidRPr="00C37D44" w:rsidTr="003D2AD2">
        <w:tc>
          <w:tcPr>
            <w:tcW w:w="664" w:type="pct"/>
            <w:tcBorders>
              <w:top w:val="single" w:sz="4" w:space="0" w:color="auto"/>
              <w:left w:val="nil"/>
              <w:bottom w:val="single" w:sz="4" w:space="0" w:color="auto"/>
              <w:right w:val="single" w:sz="4" w:space="0" w:color="auto"/>
            </w:tcBorders>
            <w:shd w:val="clear" w:color="auto" w:fill="auto"/>
            <w:hideMark/>
          </w:tcPr>
          <w:p w:rsidR="00D30678" w:rsidRPr="00C37D44" w:rsidRDefault="00D30678" w:rsidP="00340E07">
            <w:pPr>
              <w:pStyle w:val="TableBodyText"/>
              <w:spacing w:before="40" w:after="40"/>
              <w:rPr>
                <w:rFonts w:asciiTheme="majorHAnsi" w:hAnsiTheme="majorHAnsi" w:cstheme="majorHAnsi"/>
              </w:rPr>
            </w:pPr>
            <w:r w:rsidRPr="00C37D44">
              <w:rPr>
                <w:rFonts w:asciiTheme="majorHAnsi" w:hAnsiTheme="majorHAnsi" w:cstheme="majorHAnsi"/>
              </w:rPr>
              <w:t>Amending facility agreements</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C37D44" w:rsidRDefault="00D30678" w:rsidP="00340E07">
            <w:pPr>
              <w:pStyle w:val="TableBodyText"/>
              <w:spacing w:before="40" w:after="40"/>
              <w:rPr>
                <w:rFonts w:asciiTheme="majorHAnsi" w:hAnsiTheme="majorHAnsi" w:cstheme="majorHAnsi"/>
              </w:rPr>
            </w:pPr>
            <w:r w:rsidRPr="00D30678">
              <w:rPr>
                <w:rFonts w:asciiTheme="majorHAnsi" w:hAnsiTheme="majorHAnsi" w:cstheme="majorHAnsi"/>
                <w:szCs w:val="18"/>
              </w:rPr>
              <w:t xml:space="preserve">To ensure that contractual limitations in </w:t>
            </w:r>
            <w:r w:rsidRPr="00F04A8E">
              <w:rPr>
                <w:rFonts w:asciiTheme="majorHAnsi" w:hAnsiTheme="majorHAnsi" w:cstheme="majorHAnsi"/>
                <w:szCs w:val="18"/>
              </w:rPr>
              <w:t>facility agreements (primary facility agreements and OTSA</w:t>
            </w:r>
            <w:r w:rsidRPr="00C37D44">
              <w:rPr>
                <w:rFonts w:asciiTheme="majorHAnsi" w:hAnsiTheme="majorHAnsi" w:cstheme="majorHAnsi"/>
                <w:szCs w:val="18"/>
              </w:rPr>
              <w:t xml:space="preserve">s) do not act as a barrier to trade, </w:t>
            </w:r>
            <w:r w:rsidRPr="00C37D44">
              <w:rPr>
                <w:rFonts w:asciiTheme="majorHAnsi" w:hAnsiTheme="majorHAnsi" w:cstheme="majorHAnsi"/>
              </w:rPr>
              <w:t>service providers will be required</w:t>
            </w:r>
            <w:r w:rsidR="00F53904">
              <w:rPr>
                <w:rFonts w:asciiTheme="majorHAnsi" w:hAnsiTheme="majorHAnsi" w:cstheme="majorHAnsi"/>
              </w:rPr>
              <w:t>,</w:t>
            </w:r>
            <w:r w:rsidR="00F53904" w:rsidRPr="00C37D44">
              <w:rPr>
                <w:rFonts w:asciiTheme="majorHAnsi" w:hAnsiTheme="majorHAnsi" w:cstheme="majorHAnsi"/>
              </w:rPr>
              <w:t xml:space="preserve"> within 30 business days </w:t>
            </w:r>
            <w:r w:rsidR="00F53904">
              <w:rPr>
                <w:rFonts w:asciiTheme="majorHAnsi" w:hAnsiTheme="majorHAnsi" w:cstheme="majorHAnsi"/>
              </w:rPr>
              <w:t xml:space="preserve">of a request </w:t>
            </w:r>
            <w:r w:rsidR="00F53904" w:rsidRPr="00C37D44">
              <w:rPr>
                <w:rFonts w:asciiTheme="majorHAnsi" w:hAnsiTheme="majorHAnsi" w:cstheme="majorHAnsi"/>
              </w:rPr>
              <w:t>(or 45 business days during the transitional period leading up to the commencement of the auction</w:t>
            </w:r>
            <w:r w:rsidR="00F53904">
              <w:rPr>
                <w:rFonts w:asciiTheme="majorHAnsi" w:hAnsiTheme="majorHAnsi" w:cstheme="majorHAnsi"/>
              </w:rPr>
              <w:t xml:space="preserve"> and capacity trading platform</w:t>
            </w:r>
            <w:r w:rsidR="00F53904" w:rsidRPr="00C37D44">
              <w:rPr>
                <w:rFonts w:asciiTheme="majorHAnsi" w:hAnsiTheme="majorHAnsi" w:cstheme="majorHAnsi"/>
              </w:rPr>
              <w:t>),</w:t>
            </w:r>
            <w:r w:rsidRPr="00C37D44">
              <w:rPr>
                <w:rFonts w:asciiTheme="majorHAnsi" w:hAnsiTheme="majorHAnsi" w:cstheme="majorHAnsi"/>
              </w:rPr>
              <w:t xml:space="preserve"> to provide users an amending </w:t>
            </w:r>
            <w:r w:rsidR="00F03746">
              <w:rPr>
                <w:rFonts w:asciiTheme="majorHAnsi" w:hAnsiTheme="majorHAnsi" w:cstheme="majorHAnsi"/>
              </w:rPr>
              <w:t xml:space="preserve">facility </w:t>
            </w:r>
            <w:r w:rsidRPr="00C37D44">
              <w:rPr>
                <w:rFonts w:asciiTheme="majorHAnsi" w:hAnsiTheme="majorHAnsi" w:cstheme="majorHAnsi"/>
              </w:rPr>
              <w:t xml:space="preserve">agreement that: </w:t>
            </w:r>
          </w:p>
          <w:p w:rsidR="00D30678" w:rsidRPr="00C37D44" w:rsidRDefault="00D30678" w:rsidP="00340E07">
            <w:pPr>
              <w:pStyle w:val="TableBullet1"/>
              <w:numPr>
                <w:ilvl w:val="0"/>
                <w:numId w:val="41"/>
              </w:numPr>
              <w:spacing w:before="40" w:after="40"/>
              <w:rPr>
                <w:rFonts w:asciiTheme="majorHAnsi" w:hAnsiTheme="majorHAnsi" w:cstheme="majorHAnsi"/>
                <w:lang w:eastAsia="fr-CA"/>
              </w:rPr>
            </w:pPr>
            <w:r w:rsidRPr="00C37D44">
              <w:rPr>
                <w:rFonts w:asciiTheme="majorHAnsi" w:hAnsiTheme="majorHAnsi" w:cstheme="majorHAnsi"/>
                <w:lang w:eastAsia="fr-CA"/>
              </w:rPr>
              <w:t>enables the user to sell the capacity the subject of the agreement for use under an OTSA; and</w:t>
            </w:r>
          </w:p>
          <w:p w:rsidR="00D30678" w:rsidRPr="00C37D44" w:rsidRDefault="00D30678" w:rsidP="00340E07">
            <w:pPr>
              <w:pStyle w:val="TableBullet1"/>
              <w:numPr>
                <w:ilvl w:val="0"/>
                <w:numId w:val="41"/>
              </w:numPr>
              <w:spacing w:before="40" w:after="40"/>
              <w:rPr>
                <w:rFonts w:asciiTheme="majorHAnsi" w:hAnsiTheme="majorHAnsi" w:cstheme="majorHAnsi"/>
                <w:szCs w:val="18"/>
              </w:rPr>
            </w:pPr>
            <w:r w:rsidRPr="00C37D44">
              <w:rPr>
                <w:rFonts w:asciiTheme="majorHAnsi" w:hAnsiTheme="majorHAnsi" w:cstheme="majorHAnsi"/>
                <w:lang w:eastAsia="fr-CA"/>
              </w:rPr>
              <w:t xml:space="preserve">gives effect to a number of principles in the NGR that are designed to facilitate capacity trading and the </w:t>
            </w:r>
            <w:r w:rsidR="000175C2">
              <w:rPr>
                <w:rFonts w:asciiTheme="majorHAnsi" w:hAnsiTheme="majorHAnsi" w:cstheme="majorHAnsi"/>
                <w:lang w:eastAsia="fr-CA"/>
              </w:rPr>
              <w:t xml:space="preserve">day-ahead </w:t>
            </w:r>
            <w:r w:rsidRPr="00C37D44">
              <w:rPr>
                <w:rFonts w:asciiTheme="majorHAnsi" w:hAnsiTheme="majorHAnsi" w:cstheme="majorHAnsi"/>
                <w:lang w:eastAsia="fr-CA"/>
              </w:rPr>
              <w:t>auction.</w:t>
            </w:r>
          </w:p>
          <w:p w:rsidR="00D30678" w:rsidRPr="00C37D44" w:rsidRDefault="00D30678" w:rsidP="00340E07">
            <w:pPr>
              <w:pStyle w:val="TableBullet1"/>
              <w:numPr>
                <w:ilvl w:val="0"/>
                <w:numId w:val="0"/>
              </w:numPr>
              <w:spacing w:before="40" w:after="40"/>
              <w:ind w:left="85"/>
              <w:rPr>
                <w:rFonts w:asciiTheme="majorHAnsi" w:hAnsiTheme="majorHAnsi" w:cstheme="majorHAnsi"/>
                <w:szCs w:val="18"/>
              </w:rPr>
            </w:pPr>
            <w:r w:rsidRPr="00C37D44">
              <w:rPr>
                <w:rFonts w:asciiTheme="majorHAnsi" w:hAnsiTheme="majorHAnsi" w:cstheme="majorHAnsi"/>
                <w:szCs w:val="18"/>
              </w:rPr>
              <w:t xml:space="preserve">Service providers and users will be required to negotiate any amendments in good faith, but if a dispute about the terms of the amending agreement arises, </w:t>
            </w:r>
            <w:r w:rsidR="008026F0">
              <w:rPr>
                <w:rFonts w:asciiTheme="majorHAnsi" w:hAnsiTheme="majorHAnsi" w:cstheme="majorHAnsi"/>
                <w:szCs w:val="18"/>
              </w:rPr>
              <w:t xml:space="preserve">the </w:t>
            </w:r>
            <w:r w:rsidR="008026F0" w:rsidRPr="008026F0">
              <w:rPr>
                <w:rFonts w:asciiTheme="majorHAnsi" w:hAnsiTheme="majorHAnsi" w:cstheme="majorHAnsi"/>
                <w:szCs w:val="18"/>
              </w:rPr>
              <w:t xml:space="preserve">relevant contractual provisions for dispute resolution in the </w:t>
            </w:r>
            <w:r w:rsidR="008026F0">
              <w:rPr>
                <w:rFonts w:asciiTheme="majorHAnsi" w:hAnsiTheme="majorHAnsi" w:cstheme="majorHAnsi"/>
                <w:szCs w:val="18"/>
              </w:rPr>
              <w:t>facility agreement applies</w:t>
            </w:r>
            <w:r w:rsidR="008026F0" w:rsidRPr="008026F0">
              <w:rPr>
                <w:rFonts w:asciiTheme="majorHAnsi" w:hAnsiTheme="majorHAnsi" w:cstheme="majorHAnsi"/>
                <w:szCs w:val="18"/>
              </w:rPr>
              <w:t xml:space="preserve"> or, in the event the contractual provisions do not apply,</w:t>
            </w:r>
            <w:r w:rsidR="008026F0" w:rsidRPr="00C37D44">
              <w:rPr>
                <w:rFonts w:asciiTheme="majorHAnsi" w:hAnsiTheme="majorHAnsi" w:cstheme="majorHAnsi"/>
                <w:szCs w:val="18"/>
              </w:rPr>
              <w:t xml:space="preserve"> </w:t>
            </w:r>
            <w:r w:rsidRPr="00C37D44">
              <w:rPr>
                <w:rFonts w:asciiTheme="majorHAnsi" w:hAnsiTheme="majorHAnsi" w:cstheme="majorHAnsi"/>
                <w:szCs w:val="18"/>
              </w:rPr>
              <w:t>either party may refer the matter for determination by an expert.</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tcPr>
          <w:p w:rsidR="00D30678" w:rsidRPr="00C37D44" w:rsidRDefault="00D30678" w:rsidP="00340E07">
            <w:pPr>
              <w:pStyle w:val="TableBodyText"/>
              <w:spacing w:before="20" w:after="20"/>
              <w:rPr>
                <w:rFonts w:asciiTheme="majorHAnsi" w:hAnsiTheme="majorHAnsi" w:cstheme="majorHAnsi"/>
              </w:rPr>
            </w:pPr>
            <w:r w:rsidRPr="00C37D44">
              <w:rPr>
                <w:rFonts w:asciiTheme="majorHAnsi" w:hAnsiTheme="majorHAnsi" w:cstheme="majorHAnsi"/>
              </w:rPr>
              <w:t xml:space="preserve">Receipt and delivery point changes </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C37D44" w:rsidRDefault="00D30678" w:rsidP="00340E07">
            <w:pPr>
              <w:pStyle w:val="TableBodyText"/>
              <w:spacing w:before="20" w:after="20"/>
              <w:rPr>
                <w:rFonts w:asciiTheme="majorHAnsi" w:hAnsiTheme="majorHAnsi" w:cstheme="majorHAnsi"/>
                <w:lang w:eastAsia="fr-CA"/>
              </w:rPr>
            </w:pPr>
            <w:r w:rsidRPr="00C37D44">
              <w:rPr>
                <w:rFonts w:asciiTheme="majorHAnsi" w:hAnsiTheme="majorHAnsi" w:cstheme="majorHAnsi"/>
              </w:rPr>
              <w:t xml:space="preserve">Provisions in the NGR will </w:t>
            </w:r>
            <w:r w:rsidRPr="00C37D44">
              <w:rPr>
                <w:rFonts w:asciiTheme="majorHAnsi" w:hAnsiTheme="majorHAnsi" w:cstheme="majorHAnsi"/>
                <w:lang w:eastAsia="fr-CA"/>
              </w:rPr>
              <w:t xml:space="preserve">provide shippers and service providers with greater guidance on: </w:t>
            </w:r>
          </w:p>
          <w:p w:rsidR="00D30678" w:rsidRPr="00C37D44" w:rsidRDefault="00D30678" w:rsidP="00340E07">
            <w:pPr>
              <w:pStyle w:val="TableBullet1"/>
              <w:numPr>
                <w:ilvl w:val="0"/>
                <w:numId w:val="41"/>
              </w:numPr>
              <w:spacing w:before="20" w:after="20"/>
              <w:rPr>
                <w:rFonts w:asciiTheme="majorHAnsi" w:hAnsiTheme="majorHAnsi" w:cstheme="majorHAnsi"/>
                <w:lang w:eastAsia="fr-CA"/>
              </w:rPr>
            </w:pPr>
            <w:r w:rsidRPr="00C37D44">
              <w:rPr>
                <w:rFonts w:asciiTheme="majorHAnsi" w:hAnsiTheme="majorHAnsi" w:cstheme="majorHAnsi"/>
                <w:lang w:eastAsia="fr-CA"/>
              </w:rPr>
              <w:t>the rights shippers have to seek a change to their receipt or delivery points</w:t>
            </w:r>
            <w:r w:rsidR="003D2AD2">
              <w:rPr>
                <w:rFonts w:asciiTheme="majorHAnsi" w:hAnsiTheme="majorHAnsi" w:cstheme="majorHAnsi"/>
                <w:lang w:eastAsia="fr-CA"/>
              </w:rPr>
              <w:t xml:space="preserve"> </w:t>
            </w:r>
            <w:r w:rsidRPr="00C37D44">
              <w:rPr>
                <w:rFonts w:asciiTheme="majorHAnsi" w:hAnsiTheme="majorHAnsi" w:cstheme="majorHAnsi"/>
                <w:lang w:eastAsia="fr-CA"/>
              </w:rPr>
              <w:t xml:space="preserve">and the circumstances in which </w:t>
            </w:r>
            <w:r w:rsidR="003D2AD2">
              <w:rPr>
                <w:rFonts w:asciiTheme="majorHAnsi" w:hAnsiTheme="majorHAnsi" w:cstheme="majorHAnsi"/>
                <w:lang w:eastAsia="fr-CA"/>
              </w:rPr>
              <w:t>consent can be withheld</w:t>
            </w:r>
            <w:r w:rsidRPr="00C37D44">
              <w:rPr>
                <w:rFonts w:asciiTheme="majorHAnsi" w:hAnsiTheme="majorHAnsi" w:cstheme="majorHAnsi"/>
                <w:lang w:eastAsia="fr-CA"/>
              </w:rPr>
              <w:t xml:space="preserve">; </w:t>
            </w:r>
          </w:p>
          <w:p w:rsidR="00D30678" w:rsidRPr="00C37D44" w:rsidRDefault="00D30678" w:rsidP="00340E07">
            <w:pPr>
              <w:pStyle w:val="TableBullet1"/>
              <w:numPr>
                <w:ilvl w:val="0"/>
                <w:numId w:val="41"/>
              </w:numPr>
              <w:spacing w:before="20" w:after="20"/>
              <w:rPr>
                <w:rFonts w:asciiTheme="majorHAnsi" w:hAnsiTheme="majorHAnsi" w:cstheme="majorHAnsi"/>
              </w:rPr>
            </w:pPr>
            <w:r w:rsidRPr="00C37D44">
              <w:rPr>
                <w:rFonts w:asciiTheme="majorHAnsi" w:hAnsiTheme="majorHAnsi" w:cstheme="majorHAnsi"/>
                <w:lang w:eastAsia="fr-CA"/>
              </w:rPr>
              <w:t>the timeframes within which service providers must respond to a request to change a receipt or delivery point</w:t>
            </w:r>
            <w:r w:rsidRPr="00C37D44">
              <w:rPr>
                <w:rFonts w:asciiTheme="majorHAnsi" w:hAnsiTheme="majorHAnsi" w:cstheme="majorHAnsi"/>
              </w:rPr>
              <w:t>; and</w:t>
            </w:r>
          </w:p>
          <w:p w:rsidR="00D30678" w:rsidRPr="00C37D44" w:rsidRDefault="00D30678" w:rsidP="00340E07">
            <w:pPr>
              <w:pStyle w:val="TableBullet1"/>
              <w:numPr>
                <w:ilvl w:val="0"/>
                <w:numId w:val="41"/>
              </w:numPr>
              <w:spacing w:before="20" w:after="20"/>
              <w:rPr>
                <w:rFonts w:asciiTheme="majorHAnsi" w:hAnsiTheme="majorHAnsi" w:cstheme="majorHAnsi"/>
              </w:rPr>
            </w:pPr>
            <w:r w:rsidRPr="00C37D44">
              <w:rPr>
                <w:rFonts w:asciiTheme="majorHAnsi" w:hAnsiTheme="majorHAnsi" w:cstheme="majorHAnsi"/>
                <w:lang w:eastAsia="fr-CA"/>
              </w:rPr>
              <w:t>the charges that service providers can levy for, or conditions they can impose on, receipt or delivery point changes, which must be reasonable.</w:t>
            </w:r>
          </w:p>
        </w:tc>
      </w:tr>
      <w:tr w:rsidR="00D30678" w:rsidRPr="00C37D44" w:rsidTr="003D2AD2">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C37D44" w:rsidRDefault="00D30678" w:rsidP="0064242F">
            <w:pPr>
              <w:pStyle w:val="TableBodyText"/>
              <w:keepNext/>
              <w:jc w:val="center"/>
              <w:rPr>
                <w:rFonts w:asciiTheme="majorHAnsi" w:hAnsiTheme="majorHAnsi" w:cstheme="majorHAnsi"/>
                <w:b/>
                <w:color w:val="FFFFFF" w:themeColor="background1"/>
              </w:rPr>
            </w:pPr>
            <w:r w:rsidRPr="00C37D44">
              <w:rPr>
                <w:rFonts w:asciiTheme="majorHAnsi" w:hAnsiTheme="majorHAnsi" w:cstheme="majorHAnsi"/>
                <w:b/>
                <w:color w:val="FFFFFF" w:themeColor="background1"/>
              </w:rPr>
              <w:lastRenderedPageBreak/>
              <w:t>Transaction support arrangements</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rsidR="00D30678" w:rsidRPr="0064242F" w:rsidRDefault="00D30678" w:rsidP="0064242F">
            <w:pPr>
              <w:pStyle w:val="TableBodyText"/>
              <w:keepNext/>
              <w:rPr>
                <w:rFonts w:asciiTheme="majorHAnsi" w:hAnsiTheme="majorHAnsi" w:cstheme="majorHAnsi"/>
              </w:rPr>
            </w:pPr>
            <w:r w:rsidRPr="0064242F">
              <w:rPr>
                <w:rFonts w:asciiTheme="majorHAnsi" w:hAnsiTheme="majorHAnsi" w:cstheme="majorHAnsi"/>
              </w:rPr>
              <w:t>Transaction support arrangements</w:t>
            </w:r>
          </w:p>
        </w:tc>
        <w:tc>
          <w:tcPr>
            <w:tcW w:w="4336" w:type="pct"/>
            <w:tcBorders>
              <w:top w:val="single" w:sz="4" w:space="0" w:color="auto"/>
              <w:left w:val="single" w:sz="4" w:space="0" w:color="auto"/>
              <w:bottom w:val="single" w:sz="4" w:space="0" w:color="auto"/>
              <w:right w:val="nil"/>
            </w:tcBorders>
            <w:shd w:val="clear" w:color="auto" w:fill="auto"/>
            <w:hideMark/>
          </w:tcPr>
          <w:p w:rsidR="00C733BC" w:rsidRPr="0064242F" w:rsidRDefault="00D30678" w:rsidP="0064242F">
            <w:pPr>
              <w:pStyle w:val="TableBodyText"/>
              <w:keepNext/>
              <w:rPr>
                <w:rFonts w:asciiTheme="majorHAnsi" w:hAnsiTheme="majorHAnsi" w:cstheme="majorHAnsi"/>
              </w:rPr>
            </w:pPr>
            <w:r w:rsidRPr="0064242F">
              <w:rPr>
                <w:rFonts w:asciiTheme="majorHAnsi" w:hAnsiTheme="majorHAnsi" w:cstheme="majorHAnsi"/>
              </w:rPr>
              <w:t xml:space="preserve">To facilitate trade conducted through the </w:t>
            </w:r>
            <w:r w:rsidR="000175C2">
              <w:rPr>
                <w:rFonts w:asciiTheme="majorHAnsi" w:hAnsiTheme="majorHAnsi" w:cstheme="majorHAnsi"/>
              </w:rPr>
              <w:t xml:space="preserve">capacity trading platform </w:t>
            </w:r>
            <w:r w:rsidRPr="0064242F">
              <w:rPr>
                <w:rFonts w:asciiTheme="majorHAnsi" w:hAnsiTheme="majorHAnsi" w:cstheme="majorHAnsi"/>
              </w:rPr>
              <w:t xml:space="preserve">and </w:t>
            </w:r>
            <w:r w:rsidR="000175C2">
              <w:rPr>
                <w:rFonts w:asciiTheme="majorHAnsi" w:hAnsiTheme="majorHAnsi" w:cstheme="majorHAnsi"/>
              </w:rPr>
              <w:t xml:space="preserve">day-ahead </w:t>
            </w:r>
            <w:r w:rsidRPr="0064242F">
              <w:rPr>
                <w:rFonts w:asciiTheme="majorHAnsi" w:hAnsiTheme="majorHAnsi" w:cstheme="majorHAnsi"/>
              </w:rPr>
              <w:t>auction, non-exempt service providers will be required to comply with the transaction support arrangements in the Capacity Transfer and Auction Procedures</w:t>
            </w:r>
            <w:r w:rsidR="004F5D37" w:rsidRPr="0064242F">
              <w:rPr>
                <w:rFonts w:asciiTheme="majorHAnsi" w:hAnsiTheme="majorHAnsi" w:cstheme="majorHAnsi"/>
              </w:rPr>
              <w:t xml:space="preserve"> and, subject to some limitations, give effect to operational transfers.</w:t>
            </w:r>
            <w:r w:rsidR="00C733BC" w:rsidRPr="0064242F">
              <w:rPr>
                <w:rFonts w:asciiTheme="majorHAnsi" w:hAnsiTheme="majorHAnsi" w:cstheme="majorHAnsi"/>
              </w:rPr>
              <w:t xml:space="preserve"> </w:t>
            </w:r>
            <w:r w:rsidR="00044E09" w:rsidRPr="0064242F">
              <w:rPr>
                <w:rFonts w:asciiTheme="majorHAnsi" w:hAnsiTheme="majorHAnsi" w:cstheme="majorHAnsi"/>
              </w:rPr>
              <w:t>Amongst other things, t</w:t>
            </w:r>
            <w:r w:rsidR="004F5D37" w:rsidRPr="0064242F">
              <w:rPr>
                <w:rFonts w:asciiTheme="majorHAnsi" w:hAnsiTheme="majorHAnsi" w:cstheme="majorHAnsi"/>
              </w:rPr>
              <w:t xml:space="preserve">he transaction support </w:t>
            </w:r>
            <w:r w:rsidRPr="0064242F">
              <w:rPr>
                <w:rFonts w:asciiTheme="majorHAnsi" w:hAnsiTheme="majorHAnsi" w:cstheme="majorHAnsi"/>
              </w:rPr>
              <w:t>arrangements will set out</w:t>
            </w:r>
            <w:r w:rsidR="00044E09" w:rsidRPr="0064242F">
              <w:rPr>
                <w:rFonts w:asciiTheme="majorHAnsi" w:hAnsiTheme="majorHAnsi" w:cstheme="majorHAnsi"/>
              </w:rPr>
              <w:t>:</w:t>
            </w:r>
            <w:r w:rsidRPr="0064242F">
              <w:rPr>
                <w:rFonts w:asciiTheme="majorHAnsi" w:hAnsiTheme="majorHAnsi" w:cstheme="majorHAnsi"/>
              </w:rPr>
              <w:t xml:space="preserve"> </w:t>
            </w:r>
          </w:p>
          <w:p w:rsidR="00C733BC" w:rsidRPr="0064242F" w:rsidRDefault="00D30678" w:rsidP="0064242F">
            <w:pPr>
              <w:pStyle w:val="TableBullet1"/>
              <w:keepNext/>
              <w:rPr>
                <w:rFonts w:asciiTheme="majorHAnsi" w:hAnsiTheme="majorHAnsi" w:cstheme="majorHAnsi"/>
              </w:rPr>
            </w:pPr>
            <w:r w:rsidRPr="0064242F">
              <w:rPr>
                <w:rFonts w:asciiTheme="majorHAnsi" w:hAnsiTheme="majorHAnsi" w:cstheme="majorHAnsi"/>
              </w:rPr>
              <w:t>the process, form and timing of the exchanges of information between AEMO and service providers</w:t>
            </w:r>
            <w:r w:rsidR="00C733BC" w:rsidRPr="0064242F">
              <w:rPr>
                <w:rFonts w:asciiTheme="majorHAnsi" w:hAnsiTheme="majorHAnsi" w:cstheme="majorHAnsi"/>
              </w:rPr>
              <w:t xml:space="preserve"> and the </w:t>
            </w:r>
            <w:r w:rsidRPr="0064242F">
              <w:rPr>
                <w:rFonts w:asciiTheme="majorHAnsi" w:hAnsiTheme="majorHAnsi" w:cstheme="majorHAnsi"/>
              </w:rPr>
              <w:t>validation process</w:t>
            </w:r>
            <w:r w:rsidR="00044E09" w:rsidRPr="0064242F">
              <w:rPr>
                <w:rFonts w:asciiTheme="majorHAnsi" w:hAnsiTheme="majorHAnsi" w:cstheme="majorHAnsi"/>
              </w:rPr>
              <w:t xml:space="preserve">; </w:t>
            </w:r>
          </w:p>
          <w:p w:rsidR="00C733BC" w:rsidRPr="0064242F" w:rsidRDefault="00044E09" w:rsidP="0064242F">
            <w:pPr>
              <w:pStyle w:val="TableBullet1"/>
              <w:keepNext/>
              <w:rPr>
                <w:rFonts w:asciiTheme="majorHAnsi" w:hAnsiTheme="majorHAnsi" w:cstheme="majorHAnsi"/>
              </w:rPr>
            </w:pPr>
            <w:r w:rsidRPr="0064242F">
              <w:rPr>
                <w:rFonts w:asciiTheme="majorHAnsi" w:hAnsiTheme="majorHAnsi" w:cstheme="majorHAnsi"/>
              </w:rPr>
              <w:t xml:space="preserve">the contingency arrangements that will apply if there is a failure of systems or processes or default in the performance of obligations; </w:t>
            </w:r>
          </w:p>
          <w:p w:rsidR="00C733BC" w:rsidRPr="0064242F" w:rsidRDefault="00D30678" w:rsidP="0064242F">
            <w:pPr>
              <w:pStyle w:val="TableBullet1"/>
              <w:keepNext/>
              <w:rPr>
                <w:rFonts w:asciiTheme="majorHAnsi" w:hAnsiTheme="majorHAnsi" w:cstheme="majorHAnsi"/>
              </w:rPr>
            </w:pPr>
            <w:r w:rsidRPr="0064242F">
              <w:rPr>
                <w:rFonts w:asciiTheme="majorHAnsi" w:hAnsiTheme="majorHAnsi" w:cstheme="majorHAnsi"/>
              </w:rPr>
              <w:t>the circumstances in which service providers can decline to give effect to a transfer</w:t>
            </w:r>
            <w:r w:rsidR="00044E09" w:rsidRPr="0064242F">
              <w:rPr>
                <w:rFonts w:asciiTheme="majorHAnsi" w:hAnsiTheme="majorHAnsi" w:cstheme="majorHAnsi"/>
              </w:rPr>
              <w:t>;</w:t>
            </w:r>
            <w:r w:rsidR="004F5D37" w:rsidRPr="0064242F">
              <w:rPr>
                <w:rFonts w:asciiTheme="majorHAnsi" w:hAnsiTheme="majorHAnsi" w:cstheme="majorHAnsi"/>
              </w:rPr>
              <w:t xml:space="preserve"> </w:t>
            </w:r>
          </w:p>
          <w:p w:rsidR="00C733BC" w:rsidRPr="0064242F" w:rsidRDefault="004F5D37" w:rsidP="0064242F">
            <w:pPr>
              <w:pStyle w:val="TableBullet1"/>
              <w:keepNext/>
              <w:rPr>
                <w:rFonts w:asciiTheme="majorHAnsi" w:hAnsiTheme="majorHAnsi" w:cstheme="majorHAnsi"/>
              </w:rPr>
            </w:pPr>
            <w:r w:rsidRPr="0064242F">
              <w:rPr>
                <w:rFonts w:asciiTheme="majorHAnsi" w:hAnsiTheme="majorHAnsi" w:cstheme="majorHAnsi"/>
              </w:rPr>
              <w:t xml:space="preserve">the methodology </w:t>
            </w:r>
            <w:r w:rsidR="00044E09" w:rsidRPr="0064242F">
              <w:rPr>
                <w:rFonts w:asciiTheme="majorHAnsi" w:hAnsiTheme="majorHAnsi" w:cstheme="majorHAnsi"/>
              </w:rPr>
              <w:t xml:space="preserve">to be used to </w:t>
            </w:r>
            <w:r w:rsidRPr="0064242F">
              <w:rPr>
                <w:rFonts w:asciiTheme="majorHAnsi" w:hAnsiTheme="majorHAnsi" w:cstheme="majorHAnsi"/>
              </w:rPr>
              <w:t>determin</w:t>
            </w:r>
            <w:r w:rsidR="00044E09" w:rsidRPr="0064242F">
              <w:rPr>
                <w:rFonts w:asciiTheme="majorHAnsi" w:hAnsiTheme="majorHAnsi" w:cstheme="majorHAnsi"/>
              </w:rPr>
              <w:t>e</w:t>
            </w:r>
            <w:r w:rsidRPr="0064242F">
              <w:rPr>
                <w:rFonts w:asciiTheme="majorHAnsi" w:hAnsiTheme="majorHAnsi" w:cstheme="majorHAnsi"/>
              </w:rPr>
              <w:t xml:space="preserve"> the amount to be paid to service providers if a primary facility agreement is terminated and a</w:t>
            </w:r>
            <w:r w:rsidR="00044E09" w:rsidRPr="0064242F">
              <w:rPr>
                <w:rFonts w:asciiTheme="majorHAnsi" w:hAnsiTheme="majorHAnsi" w:cstheme="majorHAnsi"/>
              </w:rPr>
              <w:t>n exchange-based</w:t>
            </w:r>
            <w:r w:rsidRPr="0064242F">
              <w:rPr>
                <w:rFonts w:asciiTheme="majorHAnsi" w:hAnsiTheme="majorHAnsi" w:cstheme="majorHAnsi"/>
              </w:rPr>
              <w:t xml:space="preserve"> trade is still on foot, which will be determined by reference to the price (or prices) at which the </w:t>
            </w:r>
            <w:r w:rsidR="00044E09" w:rsidRPr="0064242F">
              <w:rPr>
                <w:rFonts w:asciiTheme="majorHAnsi" w:hAnsiTheme="majorHAnsi" w:cstheme="majorHAnsi"/>
              </w:rPr>
              <w:t xml:space="preserve">primary shipper sold the capacity through the exchange; and </w:t>
            </w:r>
          </w:p>
          <w:p w:rsidR="00D30678" w:rsidRPr="0064242F" w:rsidRDefault="00044E09" w:rsidP="0064242F">
            <w:pPr>
              <w:pStyle w:val="TableBullet1"/>
              <w:keepNext/>
              <w:rPr>
                <w:rFonts w:asciiTheme="majorHAnsi" w:hAnsiTheme="majorHAnsi" w:cstheme="majorHAnsi"/>
              </w:rPr>
            </w:pPr>
            <w:r w:rsidRPr="0064242F">
              <w:rPr>
                <w:rFonts w:asciiTheme="majorHAnsi" w:hAnsiTheme="majorHAnsi" w:cstheme="majorHAnsi"/>
              </w:rPr>
              <w:t xml:space="preserve">other obligations service </w:t>
            </w:r>
            <w:r w:rsidR="00C733BC" w:rsidRPr="0064242F">
              <w:rPr>
                <w:rFonts w:asciiTheme="majorHAnsi" w:hAnsiTheme="majorHAnsi" w:cstheme="majorHAnsi"/>
              </w:rPr>
              <w:t xml:space="preserve">providers </w:t>
            </w:r>
            <w:r w:rsidRPr="0064242F">
              <w:rPr>
                <w:rFonts w:asciiTheme="majorHAnsi" w:hAnsiTheme="majorHAnsi" w:cstheme="majorHAnsi"/>
              </w:rPr>
              <w:t>will have</w:t>
            </w:r>
            <w:r w:rsidR="00C733BC" w:rsidRPr="0064242F">
              <w:rPr>
                <w:rFonts w:asciiTheme="majorHAnsi" w:hAnsiTheme="majorHAnsi" w:cstheme="majorHAnsi"/>
              </w:rPr>
              <w:t>, including</w:t>
            </w:r>
            <w:r w:rsidR="008A2445" w:rsidRPr="0064242F">
              <w:rPr>
                <w:rFonts w:asciiTheme="majorHAnsi" w:hAnsiTheme="majorHAnsi" w:cstheme="majorHAnsi"/>
              </w:rPr>
              <w:t>:</w:t>
            </w:r>
            <w:r w:rsidR="00C733BC" w:rsidRPr="0064242F">
              <w:rPr>
                <w:rFonts w:asciiTheme="majorHAnsi" w:hAnsiTheme="majorHAnsi" w:cstheme="majorHAnsi"/>
              </w:rPr>
              <w:t xml:space="preserve"> arrangements for access to and use of the systems established by AEMO</w:t>
            </w:r>
            <w:r w:rsidR="008A2445" w:rsidRPr="0064242F">
              <w:rPr>
                <w:rFonts w:asciiTheme="majorHAnsi" w:hAnsiTheme="majorHAnsi" w:cstheme="majorHAnsi"/>
              </w:rPr>
              <w:t>;</w:t>
            </w:r>
            <w:r w:rsidR="00C733BC" w:rsidRPr="0064242F">
              <w:rPr>
                <w:rFonts w:asciiTheme="majorHAnsi" w:hAnsiTheme="majorHAnsi" w:cstheme="majorHAnsi"/>
              </w:rPr>
              <w:t xml:space="preserve"> the provision of contract reference information and information about service points, nominations and curtailments</w:t>
            </w:r>
            <w:r w:rsidR="008A2445" w:rsidRPr="0064242F">
              <w:rPr>
                <w:rFonts w:asciiTheme="majorHAnsi" w:hAnsiTheme="majorHAnsi" w:cstheme="majorHAnsi"/>
              </w:rPr>
              <w:t>;</w:t>
            </w:r>
            <w:r w:rsidR="00C733BC" w:rsidRPr="0064242F">
              <w:rPr>
                <w:rFonts w:asciiTheme="majorHAnsi" w:hAnsiTheme="majorHAnsi" w:cstheme="majorHAnsi"/>
              </w:rPr>
              <w:t xml:space="preserve"> the information required and processes to be followed to give effect to trades on the exchange or through the </w:t>
            </w:r>
            <w:r w:rsidR="000175C2">
              <w:rPr>
                <w:rFonts w:asciiTheme="majorHAnsi" w:hAnsiTheme="majorHAnsi" w:cstheme="majorHAnsi"/>
              </w:rPr>
              <w:t xml:space="preserve">day-ahead </w:t>
            </w:r>
            <w:r w:rsidR="00C733BC" w:rsidRPr="0064242F">
              <w:rPr>
                <w:rFonts w:asciiTheme="majorHAnsi" w:hAnsiTheme="majorHAnsi" w:cstheme="majorHAnsi"/>
              </w:rPr>
              <w:t>auction</w:t>
            </w:r>
            <w:r w:rsidR="008A2445" w:rsidRPr="0064242F">
              <w:rPr>
                <w:rFonts w:asciiTheme="majorHAnsi" w:hAnsiTheme="majorHAnsi" w:cstheme="majorHAnsi"/>
              </w:rPr>
              <w:t>;</w:t>
            </w:r>
            <w:r w:rsidR="00C733BC" w:rsidRPr="0064242F">
              <w:rPr>
                <w:rFonts w:asciiTheme="majorHAnsi" w:hAnsiTheme="majorHAnsi" w:cstheme="majorHAnsi"/>
              </w:rPr>
              <w:t xml:space="preserve"> and integration with other markets</w:t>
            </w:r>
            <w:r w:rsidR="008A2445" w:rsidRPr="0064242F">
              <w:rPr>
                <w:rFonts w:asciiTheme="majorHAnsi" w:hAnsiTheme="majorHAnsi" w:cstheme="majorHAnsi"/>
              </w:rPr>
              <w:t>.</w:t>
            </w:r>
          </w:p>
        </w:tc>
      </w:tr>
      <w:tr w:rsidR="00D30678" w:rsidRPr="00C37D44" w:rsidTr="003D2AD2">
        <w:tc>
          <w:tcPr>
            <w:tcW w:w="5000" w:type="pct"/>
            <w:gridSpan w:val="2"/>
            <w:tcBorders>
              <w:top w:val="single" w:sz="4" w:space="0" w:color="auto"/>
              <w:left w:val="nil"/>
              <w:bottom w:val="single" w:sz="4" w:space="0" w:color="auto"/>
              <w:right w:val="single" w:sz="4" w:space="0" w:color="auto"/>
            </w:tcBorders>
            <w:shd w:val="clear" w:color="auto" w:fill="65697F" w:themeFill="background2" w:themeFillShade="80"/>
          </w:tcPr>
          <w:p w:rsidR="00D30678" w:rsidRPr="0064242F" w:rsidRDefault="00D30678" w:rsidP="0064242F">
            <w:pPr>
              <w:pStyle w:val="TableBodyText"/>
              <w:keepNext/>
              <w:jc w:val="center"/>
              <w:rPr>
                <w:rFonts w:asciiTheme="majorHAnsi" w:hAnsiTheme="majorHAnsi" w:cstheme="majorHAnsi"/>
                <w:b/>
                <w:color w:val="FFFFFF" w:themeColor="background1"/>
              </w:rPr>
            </w:pPr>
            <w:r w:rsidRPr="0064242F">
              <w:rPr>
                <w:rFonts w:asciiTheme="majorHAnsi" w:hAnsiTheme="majorHAnsi" w:cstheme="majorHAnsi"/>
                <w:b/>
                <w:color w:val="FFFFFF" w:themeColor="background1"/>
              </w:rPr>
              <w:t>Specification of service points, pipeline segments and zones</w:t>
            </w:r>
          </w:p>
        </w:tc>
      </w:tr>
      <w:tr w:rsidR="00D30678" w:rsidRPr="00C37D44" w:rsidTr="003D2AD2">
        <w:trPr>
          <w:cnfStyle w:val="000000010000" w:firstRow="0" w:lastRow="0" w:firstColumn="0" w:lastColumn="0" w:oddVBand="0" w:evenVBand="0" w:oddHBand="0" w:evenHBand="1" w:firstRowFirstColumn="0" w:firstRowLastColumn="0" w:lastRowFirstColumn="0" w:lastRowLastColumn="0"/>
        </w:trPr>
        <w:tc>
          <w:tcPr>
            <w:tcW w:w="664" w:type="pct"/>
            <w:tcBorders>
              <w:top w:val="single" w:sz="4" w:space="0" w:color="auto"/>
              <w:left w:val="nil"/>
              <w:bottom w:val="single" w:sz="4" w:space="0" w:color="auto"/>
              <w:right w:val="single" w:sz="4" w:space="0" w:color="auto"/>
            </w:tcBorders>
            <w:shd w:val="clear" w:color="auto" w:fill="auto"/>
            <w:hideMark/>
          </w:tcPr>
          <w:p w:rsidR="00D30678" w:rsidRPr="0064242F" w:rsidRDefault="00D30678" w:rsidP="0064242F">
            <w:pPr>
              <w:pStyle w:val="TableBodyText"/>
              <w:keepNext/>
              <w:rPr>
                <w:rFonts w:asciiTheme="majorHAnsi" w:hAnsiTheme="majorHAnsi" w:cstheme="majorHAnsi"/>
              </w:rPr>
            </w:pPr>
            <w:r w:rsidRPr="0064242F">
              <w:rPr>
                <w:rFonts w:asciiTheme="majorHAnsi" w:hAnsiTheme="majorHAnsi" w:cstheme="majorHAnsi"/>
              </w:rPr>
              <w:t xml:space="preserve">Service points </w:t>
            </w:r>
          </w:p>
        </w:tc>
        <w:tc>
          <w:tcPr>
            <w:tcW w:w="4336" w:type="pct"/>
            <w:tcBorders>
              <w:top w:val="single" w:sz="4" w:space="0" w:color="auto"/>
              <w:left w:val="single" w:sz="4" w:space="0" w:color="auto"/>
              <w:bottom w:val="single" w:sz="4" w:space="0" w:color="auto"/>
              <w:right w:val="nil"/>
            </w:tcBorders>
            <w:shd w:val="clear" w:color="auto" w:fill="auto"/>
            <w:hideMark/>
          </w:tcPr>
          <w:p w:rsidR="00D30678" w:rsidRPr="0064242F" w:rsidRDefault="00D30678" w:rsidP="0064242F">
            <w:pPr>
              <w:pStyle w:val="TableBodyText"/>
              <w:keepNext/>
              <w:rPr>
                <w:rFonts w:asciiTheme="majorHAnsi" w:hAnsiTheme="majorHAnsi" w:cstheme="majorHAnsi"/>
              </w:rPr>
            </w:pPr>
            <w:r w:rsidRPr="0064242F">
              <w:rPr>
                <w:rFonts w:asciiTheme="majorHAnsi" w:hAnsiTheme="majorHAnsi" w:cstheme="majorHAnsi"/>
              </w:rPr>
              <w:t xml:space="preserve">Non-exempt service providers will be required to </w:t>
            </w:r>
            <w:r w:rsidR="00C733BC" w:rsidRPr="0064242F">
              <w:rPr>
                <w:rFonts w:asciiTheme="majorHAnsi" w:hAnsiTheme="majorHAnsi" w:cstheme="majorHAnsi"/>
              </w:rPr>
              <w:t>provide</w:t>
            </w:r>
            <w:r w:rsidR="008A2445" w:rsidRPr="0064242F">
              <w:rPr>
                <w:rFonts w:asciiTheme="majorHAnsi" w:hAnsiTheme="majorHAnsi" w:cstheme="majorHAnsi"/>
              </w:rPr>
              <w:t xml:space="preserve"> to</w:t>
            </w:r>
            <w:r w:rsidR="00C733BC" w:rsidRPr="0064242F">
              <w:rPr>
                <w:rFonts w:asciiTheme="majorHAnsi" w:hAnsiTheme="majorHAnsi" w:cstheme="majorHAnsi"/>
              </w:rPr>
              <w:t xml:space="preserve"> </w:t>
            </w:r>
            <w:r w:rsidRPr="0064242F">
              <w:rPr>
                <w:rFonts w:asciiTheme="majorHAnsi" w:hAnsiTheme="majorHAnsi" w:cstheme="majorHAnsi"/>
              </w:rPr>
              <w:t xml:space="preserve">AEMO </w:t>
            </w:r>
            <w:r w:rsidR="0056070C" w:rsidRPr="0064242F">
              <w:rPr>
                <w:rFonts w:asciiTheme="majorHAnsi" w:hAnsiTheme="majorHAnsi" w:cstheme="majorHAnsi"/>
              </w:rPr>
              <w:t xml:space="preserve">and keep up to date a </w:t>
            </w:r>
            <w:r w:rsidR="00C733BC" w:rsidRPr="0064242F">
              <w:rPr>
                <w:rFonts w:asciiTheme="majorHAnsi" w:hAnsiTheme="majorHAnsi" w:cstheme="majorHAnsi"/>
              </w:rPr>
              <w:t xml:space="preserve">specification of </w:t>
            </w:r>
            <w:r w:rsidRPr="0064242F">
              <w:rPr>
                <w:rFonts w:asciiTheme="majorHAnsi" w:hAnsiTheme="majorHAnsi" w:cstheme="majorHAnsi"/>
                <w:lang w:eastAsia="fr-CA"/>
              </w:rPr>
              <w:t xml:space="preserve">each service point (e.g. receipt point, delivery point, notional point, in-pipe trading points) at or between which transportation services are provided and each park </w:t>
            </w:r>
            <w:r w:rsidR="00F03250" w:rsidRPr="0064242F">
              <w:rPr>
                <w:rFonts w:asciiTheme="majorHAnsi" w:hAnsiTheme="majorHAnsi" w:cstheme="majorHAnsi"/>
                <w:lang w:eastAsia="fr-CA"/>
              </w:rPr>
              <w:t xml:space="preserve">service </w:t>
            </w:r>
            <w:r w:rsidRPr="0064242F">
              <w:rPr>
                <w:rFonts w:asciiTheme="majorHAnsi" w:hAnsiTheme="majorHAnsi" w:cstheme="majorHAnsi"/>
                <w:lang w:eastAsia="fr-CA"/>
              </w:rPr>
              <w:t>point</w:t>
            </w:r>
            <w:r w:rsidR="00C733BC" w:rsidRPr="0064242F">
              <w:rPr>
                <w:rFonts w:asciiTheme="majorHAnsi" w:hAnsiTheme="majorHAnsi" w:cstheme="majorHAnsi"/>
                <w:lang w:eastAsia="fr-CA"/>
              </w:rPr>
              <w:t>, in accordance with the Capacity Transfer and Auction Procedures</w:t>
            </w:r>
            <w:r w:rsidRPr="0064242F">
              <w:rPr>
                <w:rFonts w:asciiTheme="majorHAnsi" w:hAnsiTheme="majorHAnsi" w:cstheme="majorHAnsi"/>
                <w:lang w:eastAsia="fr-CA"/>
              </w:rPr>
              <w:t xml:space="preserve">. </w:t>
            </w:r>
            <w:r w:rsidR="005817B4">
              <w:rPr>
                <w:rFonts w:asciiTheme="majorHAnsi" w:hAnsiTheme="majorHAnsi" w:cstheme="majorHAnsi"/>
              </w:rPr>
              <w:t xml:space="preserve">The specifications will </w:t>
            </w:r>
            <w:r w:rsidRPr="0064242F">
              <w:rPr>
                <w:rFonts w:asciiTheme="majorHAnsi" w:hAnsiTheme="majorHAnsi" w:cstheme="majorHAnsi"/>
              </w:rPr>
              <w:t xml:space="preserve">be </w:t>
            </w:r>
            <w:r w:rsidR="005817B4">
              <w:rPr>
                <w:rFonts w:asciiTheme="majorHAnsi" w:hAnsiTheme="majorHAnsi" w:cstheme="majorHAnsi"/>
              </w:rPr>
              <w:t xml:space="preserve">published </w:t>
            </w:r>
            <w:r w:rsidRPr="0064242F">
              <w:rPr>
                <w:rFonts w:asciiTheme="majorHAnsi" w:hAnsiTheme="majorHAnsi" w:cstheme="majorHAnsi"/>
              </w:rPr>
              <w:t xml:space="preserve">in the </w:t>
            </w:r>
            <w:r w:rsidR="008A2445" w:rsidRPr="0064242F">
              <w:rPr>
                <w:rFonts w:asciiTheme="majorHAnsi" w:hAnsiTheme="majorHAnsi" w:cstheme="majorHAnsi"/>
              </w:rPr>
              <w:t>transportation service point</w:t>
            </w:r>
            <w:r w:rsidRPr="0064242F">
              <w:rPr>
                <w:rFonts w:asciiTheme="majorHAnsi" w:hAnsiTheme="majorHAnsi" w:cstheme="majorHAnsi"/>
              </w:rPr>
              <w:t xml:space="preserve"> register that AEMO will be required to maintain.</w:t>
            </w:r>
            <w:r w:rsidR="00C733BC" w:rsidRPr="0064242F">
              <w:rPr>
                <w:rFonts w:asciiTheme="majorHAnsi" w:hAnsiTheme="majorHAnsi" w:cstheme="majorHAnsi"/>
              </w:rPr>
              <w:t xml:space="preserve"> </w:t>
            </w:r>
          </w:p>
        </w:tc>
      </w:tr>
      <w:tr w:rsidR="00D30678" w:rsidRPr="00C37D44" w:rsidTr="003D2AD2">
        <w:tc>
          <w:tcPr>
            <w:tcW w:w="664" w:type="pct"/>
            <w:tcBorders>
              <w:top w:val="single" w:sz="4" w:space="0" w:color="auto"/>
              <w:left w:val="nil"/>
              <w:bottom w:val="single" w:sz="4" w:space="0" w:color="auto"/>
              <w:right w:val="single" w:sz="4" w:space="0" w:color="auto"/>
            </w:tcBorders>
            <w:shd w:val="clear" w:color="auto" w:fill="auto"/>
          </w:tcPr>
          <w:p w:rsidR="00D30678" w:rsidRPr="0064242F" w:rsidRDefault="00D30678" w:rsidP="0064242F">
            <w:pPr>
              <w:pStyle w:val="TableBodyText"/>
              <w:rPr>
                <w:rFonts w:asciiTheme="majorHAnsi" w:hAnsiTheme="majorHAnsi" w:cstheme="majorHAnsi"/>
              </w:rPr>
            </w:pPr>
            <w:r w:rsidRPr="0064242F">
              <w:rPr>
                <w:rFonts w:asciiTheme="majorHAnsi" w:hAnsiTheme="majorHAnsi" w:cstheme="majorHAnsi"/>
              </w:rPr>
              <w:t>Determination of zones and pipeline segments</w:t>
            </w:r>
          </w:p>
        </w:tc>
        <w:tc>
          <w:tcPr>
            <w:tcW w:w="4336" w:type="pct"/>
            <w:tcBorders>
              <w:top w:val="single" w:sz="4" w:space="0" w:color="auto"/>
              <w:left w:val="single" w:sz="4" w:space="0" w:color="auto"/>
              <w:bottom w:val="single" w:sz="4" w:space="0" w:color="auto"/>
              <w:right w:val="nil"/>
            </w:tcBorders>
            <w:shd w:val="clear" w:color="auto" w:fill="auto"/>
          </w:tcPr>
          <w:p w:rsidR="00D30678" w:rsidRPr="0064242F" w:rsidRDefault="00D30678" w:rsidP="0064242F">
            <w:pPr>
              <w:pStyle w:val="TableBodyText"/>
              <w:rPr>
                <w:rFonts w:asciiTheme="majorHAnsi" w:hAnsiTheme="majorHAnsi" w:cstheme="majorHAnsi"/>
                <w:szCs w:val="18"/>
              </w:rPr>
            </w:pPr>
            <w:r w:rsidRPr="0064242F">
              <w:rPr>
                <w:rFonts w:asciiTheme="majorHAnsi" w:hAnsiTheme="majorHAnsi" w:cstheme="majorHAnsi"/>
              </w:rPr>
              <w:t>AEMO will be responsible for determining the zones and pipeline segments that will be used in the capacity trading platform and the auction, following consultation with interested parties. The Capacity Transfer and Auction Procedures will set out the arrangements AEMO will use to consult on and determine the zones</w:t>
            </w:r>
            <w:r w:rsidR="0056070C" w:rsidRPr="0064242F">
              <w:rPr>
                <w:rFonts w:asciiTheme="majorHAnsi" w:hAnsiTheme="majorHAnsi" w:cstheme="majorHAnsi"/>
              </w:rPr>
              <w:t xml:space="preserve"> and pipeline segments, the information to be published in the consultation </w:t>
            </w:r>
            <w:r w:rsidR="008026F0">
              <w:rPr>
                <w:rFonts w:asciiTheme="majorHAnsi" w:hAnsiTheme="majorHAnsi" w:cstheme="majorHAnsi"/>
              </w:rPr>
              <w:t xml:space="preserve">process </w:t>
            </w:r>
            <w:r w:rsidR="0056070C" w:rsidRPr="0064242F">
              <w:rPr>
                <w:rFonts w:asciiTheme="majorHAnsi" w:hAnsiTheme="majorHAnsi" w:cstheme="majorHAnsi"/>
              </w:rPr>
              <w:t>(this will include information relating to the possible curtailment of capacity within a zone), the time frames and the confidentiality arrangements. T</w:t>
            </w:r>
            <w:r w:rsidRPr="0064242F">
              <w:rPr>
                <w:rFonts w:asciiTheme="majorHAnsi" w:hAnsiTheme="majorHAnsi" w:cstheme="majorHAnsi"/>
              </w:rPr>
              <w:t>he NGR</w:t>
            </w:r>
            <w:r w:rsidR="008026F0">
              <w:rPr>
                <w:rFonts w:asciiTheme="majorHAnsi" w:hAnsiTheme="majorHAnsi" w:cstheme="majorHAnsi"/>
              </w:rPr>
              <w:t xml:space="preserve"> </w:t>
            </w:r>
            <w:r w:rsidRPr="0064242F">
              <w:rPr>
                <w:rFonts w:asciiTheme="majorHAnsi" w:hAnsiTheme="majorHAnsi" w:cstheme="majorHAnsi"/>
              </w:rPr>
              <w:t xml:space="preserve">will set out the principles </w:t>
            </w:r>
            <w:r w:rsidR="008A2445" w:rsidRPr="0064242F">
              <w:rPr>
                <w:rFonts w:asciiTheme="majorHAnsi" w:hAnsiTheme="majorHAnsi" w:cstheme="majorHAnsi"/>
              </w:rPr>
              <w:t xml:space="preserve">AEMO </w:t>
            </w:r>
            <w:r w:rsidRPr="0064242F">
              <w:rPr>
                <w:rFonts w:asciiTheme="majorHAnsi" w:hAnsiTheme="majorHAnsi" w:cstheme="majorHAnsi"/>
              </w:rPr>
              <w:t xml:space="preserve">is to employ when making a decision about zones and the obligations that non-exempt service providers will have to assist AEMO. Amongst other things, the principles for determining zones </w:t>
            </w:r>
            <w:r w:rsidR="00E53F75" w:rsidRPr="0064242F">
              <w:rPr>
                <w:rFonts w:asciiTheme="majorHAnsi" w:hAnsiTheme="majorHAnsi" w:cstheme="majorHAnsi"/>
              </w:rPr>
              <w:t xml:space="preserve">will allow </w:t>
            </w:r>
            <w:r w:rsidRPr="0064242F">
              <w:rPr>
                <w:rFonts w:asciiTheme="majorHAnsi" w:hAnsiTheme="majorHAnsi" w:cstheme="majorHAnsi"/>
              </w:rPr>
              <w:t xml:space="preserve">AEMO </w:t>
            </w:r>
            <w:r w:rsidR="00E53F75" w:rsidRPr="0064242F">
              <w:rPr>
                <w:rFonts w:asciiTheme="majorHAnsi" w:hAnsiTheme="majorHAnsi" w:cstheme="majorHAnsi"/>
              </w:rPr>
              <w:t>to have</w:t>
            </w:r>
            <w:r w:rsidRPr="0064242F">
              <w:rPr>
                <w:rFonts w:asciiTheme="majorHAnsi" w:hAnsiTheme="majorHAnsi" w:cstheme="majorHAnsi"/>
              </w:rPr>
              <w:t xml:space="preserve"> </w:t>
            </w:r>
            <w:r w:rsidRPr="0064242F">
              <w:rPr>
                <w:rFonts w:asciiTheme="majorHAnsi" w:hAnsiTheme="majorHAnsi" w:cstheme="majorHAnsi"/>
                <w:szCs w:val="18"/>
              </w:rPr>
              <w:t>regard to:</w:t>
            </w:r>
          </w:p>
          <w:p w:rsidR="00D30678" w:rsidRPr="0064242F" w:rsidRDefault="00D30678" w:rsidP="0064242F">
            <w:pPr>
              <w:pStyle w:val="TableBullet1"/>
              <w:rPr>
                <w:rFonts w:asciiTheme="majorHAnsi" w:hAnsiTheme="majorHAnsi" w:cstheme="majorHAnsi"/>
                <w:lang w:eastAsia="fr-CA"/>
              </w:rPr>
            </w:pPr>
            <w:r w:rsidRPr="0064242F">
              <w:rPr>
                <w:rFonts w:asciiTheme="majorHAnsi" w:hAnsiTheme="majorHAnsi" w:cstheme="majorHAnsi"/>
                <w:lang w:eastAsia="fr-CA"/>
              </w:rPr>
              <w:t xml:space="preserve">the impact of the proposed allocation of points on trade in auction and exchange products, including the impact on demand or liquidity; </w:t>
            </w:r>
          </w:p>
          <w:p w:rsidR="00D30678" w:rsidRPr="0064242F" w:rsidRDefault="00D30678" w:rsidP="0064242F">
            <w:pPr>
              <w:pStyle w:val="TableBullet1"/>
              <w:rPr>
                <w:rFonts w:asciiTheme="majorHAnsi" w:hAnsiTheme="majorHAnsi" w:cstheme="majorHAnsi"/>
                <w:lang w:eastAsia="fr-CA"/>
              </w:rPr>
            </w:pPr>
            <w:r w:rsidRPr="0064242F">
              <w:rPr>
                <w:rFonts w:asciiTheme="majorHAnsi" w:eastAsiaTheme="minorHAnsi" w:hAnsiTheme="majorHAnsi" w:cstheme="majorHAnsi"/>
                <w:lang w:eastAsia="en-US"/>
              </w:rPr>
              <w:t>the possible curtailment of capacity transferred between points within a zone, over time or at particular times or in particular conditions</w:t>
            </w:r>
            <w:r w:rsidRPr="0064242F">
              <w:rPr>
                <w:rFonts w:asciiTheme="majorHAnsi" w:hAnsiTheme="majorHAnsi" w:cstheme="majorHAnsi"/>
                <w:lang w:eastAsia="fr-CA"/>
              </w:rPr>
              <w:t>; and</w:t>
            </w:r>
          </w:p>
          <w:p w:rsidR="00D30678" w:rsidRPr="0064242F" w:rsidRDefault="00D30678" w:rsidP="0064242F">
            <w:pPr>
              <w:pStyle w:val="TableBullet1"/>
              <w:rPr>
                <w:rFonts w:asciiTheme="majorHAnsi" w:hAnsiTheme="majorHAnsi" w:cstheme="majorHAnsi"/>
                <w:lang w:eastAsia="fr-CA"/>
              </w:rPr>
            </w:pPr>
            <w:r w:rsidRPr="0064242F">
              <w:rPr>
                <w:rFonts w:asciiTheme="majorHAnsi" w:hAnsiTheme="majorHAnsi" w:cstheme="majorHAnsi"/>
                <w:lang w:eastAsia="fr-CA"/>
              </w:rPr>
              <w:t>the operational and technical characteristics of the pipeline.</w:t>
            </w:r>
          </w:p>
          <w:p w:rsidR="00D30678" w:rsidRPr="0064242F" w:rsidRDefault="000175C2" w:rsidP="0064242F">
            <w:pPr>
              <w:pStyle w:val="TableBodyText"/>
              <w:rPr>
                <w:rFonts w:asciiTheme="majorHAnsi" w:hAnsiTheme="majorHAnsi" w:cstheme="majorHAnsi"/>
              </w:rPr>
            </w:pPr>
            <w:r>
              <w:rPr>
                <w:rFonts w:asciiTheme="majorHAnsi" w:hAnsiTheme="majorHAnsi" w:cstheme="majorHAnsi"/>
              </w:rPr>
              <w:t>N</w:t>
            </w:r>
            <w:r w:rsidR="00D30678" w:rsidRPr="0064242F">
              <w:rPr>
                <w:rFonts w:asciiTheme="majorHAnsi" w:hAnsiTheme="majorHAnsi" w:cstheme="majorHAnsi"/>
              </w:rPr>
              <w:t xml:space="preserve">on-exempt service providers </w:t>
            </w:r>
            <w:r>
              <w:rPr>
                <w:rFonts w:asciiTheme="majorHAnsi" w:hAnsiTheme="majorHAnsi" w:cstheme="majorHAnsi"/>
              </w:rPr>
              <w:t xml:space="preserve">will also be required </w:t>
            </w:r>
            <w:r w:rsidR="00D30678" w:rsidRPr="0064242F">
              <w:rPr>
                <w:rFonts w:asciiTheme="majorHAnsi" w:hAnsiTheme="majorHAnsi" w:cstheme="majorHAnsi"/>
              </w:rPr>
              <w:t>to provide AEMO with the information it reasonably requires for the assessment of the proposed zone and to undertake any analysis of proposed zones required by AEMO.</w:t>
            </w:r>
          </w:p>
          <w:p w:rsidR="00D30678" w:rsidRPr="0064242F" w:rsidRDefault="00D30678" w:rsidP="0064242F">
            <w:pPr>
              <w:pStyle w:val="TableBodyText"/>
              <w:rPr>
                <w:rFonts w:asciiTheme="majorHAnsi" w:hAnsiTheme="majorHAnsi" w:cstheme="majorHAnsi"/>
              </w:rPr>
            </w:pPr>
            <w:r w:rsidRPr="0064242F">
              <w:rPr>
                <w:rFonts w:asciiTheme="majorHAnsi" w:hAnsiTheme="majorHAnsi" w:cstheme="majorHAnsi"/>
              </w:rPr>
              <w:t xml:space="preserve">Once the zones are established, AEMO will be required to publish information provided by service providers </w:t>
            </w:r>
            <w:r w:rsidR="00340E07">
              <w:rPr>
                <w:rFonts w:asciiTheme="majorHAnsi" w:hAnsiTheme="majorHAnsi" w:cstheme="majorHAnsi"/>
              </w:rPr>
              <w:t xml:space="preserve">relating to curtailment of </w:t>
            </w:r>
            <w:r w:rsidRPr="0064242F">
              <w:rPr>
                <w:rFonts w:asciiTheme="majorHAnsi" w:hAnsiTheme="majorHAnsi" w:cstheme="majorHAnsi"/>
              </w:rPr>
              <w:t xml:space="preserve">capacity </w:t>
            </w:r>
            <w:r w:rsidR="00340E07">
              <w:rPr>
                <w:rFonts w:asciiTheme="majorHAnsi" w:hAnsiTheme="majorHAnsi" w:cstheme="majorHAnsi"/>
              </w:rPr>
              <w:t xml:space="preserve">transferred </w:t>
            </w:r>
            <w:r w:rsidRPr="0064242F">
              <w:rPr>
                <w:rFonts w:asciiTheme="majorHAnsi" w:hAnsiTheme="majorHAnsi" w:cstheme="majorHAnsi"/>
              </w:rPr>
              <w:t xml:space="preserve">between service points in a zone, so that shippers can get a better understanding of the deliverability risks. </w:t>
            </w:r>
          </w:p>
        </w:tc>
      </w:tr>
    </w:tbl>
    <w:p w:rsidR="0056070C" w:rsidRPr="0064242F" w:rsidRDefault="0056070C" w:rsidP="00D30678">
      <w:pPr>
        <w:pStyle w:val="Caption"/>
        <w:spacing w:before="0" w:after="0"/>
        <w:rPr>
          <w:rFonts w:asciiTheme="majorHAnsi" w:hAnsiTheme="majorHAnsi" w:cstheme="majorHAnsi"/>
          <w:sz w:val="2"/>
          <w:szCs w:val="2"/>
        </w:rPr>
      </w:pPr>
      <w:r w:rsidRPr="0064242F">
        <w:rPr>
          <w:rFonts w:asciiTheme="majorHAnsi" w:hAnsiTheme="majorHAnsi" w:cstheme="majorHAnsi"/>
          <w:sz w:val="2"/>
          <w:szCs w:val="2"/>
        </w:rPr>
        <w:br w:type="page"/>
      </w:r>
    </w:p>
    <w:p w:rsidR="00D30678" w:rsidRPr="00C37D44" w:rsidRDefault="00D30678" w:rsidP="00D30678">
      <w:pPr>
        <w:pStyle w:val="Caption"/>
        <w:spacing w:before="0" w:after="0"/>
        <w:rPr>
          <w:rFonts w:asciiTheme="majorHAnsi" w:hAnsiTheme="majorHAnsi" w:cstheme="majorHAnsi"/>
        </w:rPr>
      </w:pPr>
      <w:r w:rsidRPr="00C37D44">
        <w:rPr>
          <w:rFonts w:asciiTheme="majorHAnsi" w:hAnsiTheme="majorHAnsi" w:cstheme="majorHAnsi"/>
        </w:rPr>
        <w:lastRenderedPageBreak/>
        <w:t>Table A.</w:t>
      </w:r>
      <w:bookmarkEnd w:id="15"/>
      <w:r w:rsidRPr="00C37D44">
        <w:rPr>
          <w:rFonts w:asciiTheme="majorHAnsi" w:hAnsiTheme="majorHAnsi" w:cstheme="majorHAnsi"/>
        </w:rPr>
        <w:t>2: Final design of the capacity trading platform</w:t>
      </w:r>
    </w:p>
    <w:tbl>
      <w:tblPr>
        <w:tblStyle w:val="TableGrid"/>
        <w:tblW w:w="5000" w:type="pct"/>
        <w:tblLook w:val="04A0" w:firstRow="1" w:lastRow="0" w:firstColumn="1" w:lastColumn="0" w:noHBand="0" w:noVBand="1"/>
        <w:tblCaption w:val="Table B.2"/>
        <w:tblDescription w:val="Summary of the GMRG’s final recommendations on the capacity trading platform "/>
      </w:tblPr>
      <w:tblGrid>
        <w:gridCol w:w="1559"/>
        <w:gridCol w:w="12161"/>
      </w:tblGrid>
      <w:tr w:rsidR="00C37D44" w:rsidRPr="00C37D44" w:rsidTr="00F25C7A">
        <w:trPr>
          <w:cnfStyle w:val="100000000000" w:firstRow="1" w:lastRow="0" w:firstColumn="0" w:lastColumn="0" w:oddVBand="0" w:evenVBand="0" w:oddHBand="0" w:evenHBand="0" w:firstRowFirstColumn="0" w:firstRowLastColumn="0" w:lastRowFirstColumn="0" w:lastRowLastColumn="0"/>
          <w:tblHeader/>
        </w:trPr>
        <w:tc>
          <w:tcPr>
            <w:tcW w:w="1560" w:type="dxa"/>
            <w:tcBorders>
              <w:top w:val="single" w:sz="4" w:space="0" w:color="auto"/>
              <w:left w:val="nil"/>
              <w:bottom w:val="single" w:sz="4" w:space="0" w:color="auto"/>
              <w:right w:val="single" w:sz="4" w:space="0" w:color="auto"/>
            </w:tcBorders>
            <w:shd w:val="clear" w:color="auto" w:fill="0099CC"/>
            <w:hideMark/>
          </w:tcPr>
          <w:p w:rsidR="00D30678" w:rsidRPr="00D30678" w:rsidRDefault="00D30678" w:rsidP="0064242F">
            <w:pPr>
              <w:pStyle w:val="BodyText"/>
              <w:spacing w:before="60" w:after="60"/>
              <w:rPr>
                <w:rFonts w:asciiTheme="majorHAnsi" w:hAnsiTheme="majorHAnsi" w:cstheme="majorHAnsi"/>
                <w:b w:val="0"/>
                <w:color w:val="FFFFFF" w:themeColor="background1"/>
                <w:szCs w:val="18"/>
              </w:rPr>
            </w:pPr>
            <w:r w:rsidRPr="00D30678">
              <w:rPr>
                <w:rFonts w:asciiTheme="majorHAnsi" w:hAnsiTheme="majorHAnsi" w:cstheme="majorHAnsi"/>
                <w:color w:val="FFFFFF" w:themeColor="background1"/>
                <w:szCs w:val="18"/>
              </w:rPr>
              <w:t>Design Element</w:t>
            </w:r>
          </w:p>
        </w:tc>
        <w:tc>
          <w:tcPr>
            <w:tcW w:w="12190" w:type="dxa"/>
            <w:tcBorders>
              <w:top w:val="single" w:sz="4" w:space="0" w:color="auto"/>
              <w:left w:val="single" w:sz="4" w:space="0" w:color="auto"/>
              <w:bottom w:val="single" w:sz="4" w:space="0" w:color="auto"/>
              <w:right w:val="nil"/>
            </w:tcBorders>
            <w:shd w:val="clear" w:color="auto" w:fill="0099CC"/>
            <w:hideMark/>
          </w:tcPr>
          <w:p w:rsidR="00D30678" w:rsidRPr="00F04A8E" w:rsidRDefault="00D30678" w:rsidP="0064242F">
            <w:pPr>
              <w:pStyle w:val="BodyText"/>
              <w:spacing w:before="60" w:after="60"/>
              <w:rPr>
                <w:rFonts w:asciiTheme="majorHAnsi" w:hAnsiTheme="majorHAnsi" w:cstheme="majorHAnsi"/>
                <w:b w:val="0"/>
                <w:color w:val="FFFFFF" w:themeColor="background1"/>
                <w:szCs w:val="18"/>
              </w:rPr>
            </w:pPr>
            <w:r w:rsidRPr="00F04A8E">
              <w:rPr>
                <w:rFonts w:asciiTheme="majorHAnsi" w:hAnsiTheme="majorHAnsi" w:cstheme="majorHAnsi"/>
                <w:color w:val="FFFFFF" w:themeColor="background1"/>
                <w:szCs w:val="18"/>
              </w:rPr>
              <w:t>Detail</w:t>
            </w:r>
          </w:p>
        </w:tc>
      </w:tr>
      <w:tr w:rsidR="00723AC6" w:rsidRPr="00C37D44" w:rsidTr="00F25C7A">
        <w:tc>
          <w:tcPr>
            <w:tcW w:w="1560" w:type="dxa"/>
            <w:tcBorders>
              <w:top w:val="single" w:sz="4" w:space="0" w:color="auto"/>
              <w:left w:val="nil"/>
              <w:bottom w:val="single" w:sz="4" w:space="0" w:color="auto"/>
              <w:right w:val="single" w:sz="4" w:space="0" w:color="auto"/>
            </w:tcBorders>
            <w:shd w:val="clear" w:color="auto" w:fill="FFFFFF" w:themeFill="background1"/>
          </w:tcPr>
          <w:p w:rsidR="00723AC6" w:rsidRPr="004460A8" w:rsidRDefault="00723AC6" w:rsidP="0064242F">
            <w:pPr>
              <w:pStyle w:val="TableBodyText"/>
              <w:keepNext/>
              <w:rPr>
                <w:rFonts w:asciiTheme="majorHAnsi" w:hAnsiTheme="majorHAnsi" w:cstheme="majorHAnsi"/>
                <w:b/>
                <w:szCs w:val="18"/>
              </w:rPr>
            </w:pPr>
            <w:bookmarkStart w:id="21" w:name="_Hlk516296441"/>
            <w:r w:rsidRPr="004460A8">
              <w:rPr>
                <w:rFonts w:asciiTheme="majorHAnsi" w:hAnsiTheme="majorHAnsi" w:cstheme="majorHAnsi"/>
                <w:b/>
                <w:szCs w:val="18"/>
              </w:rPr>
              <w:t>Start date</w:t>
            </w:r>
            <w:r w:rsidR="00EE25BE" w:rsidRPr="004460A8">
              <w:rPr>
                <w:rFonts w:asciiTheme="majorHAnsi" w:hAnsiTheme="majorHAnsi" w:cstheme="majorHAnsi"/>
                <w:b/>
                <w:szCs w:val="18"/>
              </w:rPr>
              <w:t xml:space="preserve"> for trade on the capacity trading platform</w:t>
            </w:r>
            <w:r w:rsidR="000175C2">
              <w:rPr>
                <w:rFonts w:asciiTheme="majorHAnsi" w:hAnsiTheme="majorHAnsi" w:cstheme="majorHAnsi"/>
                <w:b/>
                <w:szCs w:val="18"/>
              </w:rPr>
              <w:t xml:space="preserve"> (see Table 3 for NT start dates)</w:t>
            </w:r>
          </w:p>
        </w:tc>
        <w:tc>
          <w:tcPr>
            <w:tcW w:w="12190" w:type="dxa"/>
            <w:tcBorders>
              <w:top w:val="single" w:sz="4" w:space="0" w:color="auto"/>
              <w:left w:val="single" w:sz="4" w:space="0" w:color="auto"/>
              <w:bottom w:val="single" w:sz="4" w:space="0" w:color="auto"/>
              <w:right w:val="nil"/>
            </w:tcBorders>
            <w:shd w:val="clear" w:color="auto" w:fill="FFFFFF" w:themeFill="background1"/>
          </w:tcPr>
          <w:p w:rsidR="004460A8" w:rsidRPr="004460A8" w:rsidRDefault="004460A8" w:rsidP="004460A8">
            <w:pPr>
              <w:pStyle w:val="TableBullet1"/>
              <w:numPr>
                <w:ilvl w:val="0"/>
                <w:numId w:val="0"/>
              </w:numPr>
              <w:tabs>
                <w:tab w:val="left" w:pos="720"/>
              </w:tabs>
              <w:ind w:left="85"/>
              <w:rPr>
                <w:rFonts w:asciiTheme="majorHAnsi" w:hAnsiTheme="majorHAnsi" w:cstheme="majorHAnsi"/>
              </w:rPr>
            </w:pPr>
            <w:r w:rsidRPr="004460A8">
              <w:rPr>
                <w:rFonts w:asciiTheme="majorHAnsi" w:hAnsiTheme="majorHAnsi" w:cstheme="majorHAnsi"/>
                <w:color w:val="000000"/>
              </w:rPr>
              <w:t>The obligation to give effect to t</w:t>
            </w:r>
            <w:r w:rsidRPr="004460A8">
              <w:rPr>
                <w:rFonts w:asciiTheme="majorHAnsi" w:hAnsiTheme="majorHAnsi" w:cstheme="majorHAnsi"/>
              </w:rPr>
              <w:t>rade</w:t>
            </w:r>
            <w:r w:rsidRPr="004460A8">
              <w:rPr>
                <w:rFonts w:asciiTheme="majorHAnsi" w:hAnsiTheme="majorHAnsi" w:cstheme="majorHAnsi"/>
                <w:color w:val="000000"/>
              </w:rPr>
              <w:t>s concluded</w:t>
            </w:r>
            <w:r w:rsidRPr="004460A8">
              <w:rPr>
                <w:rFonts w:asciiTheme="majorHAnsi" w:hAnsiTheme="majorHAnsi" w:cstheme="majorHAnsi"/>
              </w:rPr>
              <w:t xml:space="preserve"> through capacity trading platform will commence on 1 March 2019 (or if the rules are made after 1</w:t>
            </w:r>
            <w:r w:rsidR="00506ECB">
              <w:rPr>
                <w:rFonts w:asciiTheme="majorHAnsi" w:hAnsiTheme="majorHAnsi" w:cstheme="majorHAnsi"/>
              </w:rPr>
              <w:t> </w:t>
            </w:r>
            <w:r w:rsidRPr="004460A8">
              <w:rPr>
                <w:rFonts w:asciiTheme="majorHAnsi" w:hAnsiTheme="majorHAnsi" w:cstheme="majorHAnsi"/>
              </w:rPr>
              <w:t xml:space="preserve">December 2018, then trade will commence 60 business days after the rules are made). </w:t>
            </w:r>
            <w:r w:rsidR="000175C2">
              <w:rPr>
                <w:rFonts w:asciiTheme="majorHAnsi" w:hAnsiTheme="majorHAnsi" w:cstheme="majorHAnsi"/>
              </w:rPr>
              <w:t xml:space="preserve">Note that </w:t>
            </w:r>
            <w:r w:rsidR="000175C2">
              <w:rPr>
                <w:rFonts w:asciiTheme="majorHAnsi" w:hAnsiTheme="majorHAnsi" w:cstheme="majorHAnsi"/>
                <w:color w:val="000000"/>
              </w:rPr>
              <w:t>t</w:t>
            </w:r>
            <w:r w:rsidRPr="004460A8">
              <w:rPr>
                <w:rFonts w:asciiTheme="majorHAnsi" w:hAnsiTheme="majorHAnsi" w:cstheme="majorHAnsi"/>
                <w:color w:val="000000"/>
              </w:rPr>
              <w:t xml:space="preserve">rading of capacity on the platform may commence before that date but only for products with a service term that starts after that date. </w:t>
            </w:r>
          </w:p>
          <w:p w:rsidR="00723AC6" w:rsidRPr="004460A8" w:rsidRDefault="00723AC6" w:rsidP="00B46E13">
            <w:pPr>
              <w:pStyle w:val="TableBullet1"/>
              <w:numPr>
                <w:ilvl w:val="0"/>
                <w:numId w:val="0"/>
              </w:numPr>
              <w:ind w:left="85"/>
              <w:rPr>
                <w:rFonts w:asciiTheme="majorHAnsi" w:hAnsiTheme="majorHAnsi" w:cstheme="majorHAnsi"/>
                <w:szCs w:val="18"/>
              </w:rPr>
            </w:pPr>
            <w:r w:rsidRPr="004460A8">
              <w:rPr>
                <w:rFonts w:asciiTheme="majorHAnsi" w:hAnsiTheme="majorHAnsi" w:cstheme="majorHAnsi"/>
                <w:szCs w:val="18"/>
              </w:rPr>
              <w:t xml:space="preserve">If a </w:t>
            </w:r>
            <w:r w:rsidR="000935BE" w:rsidRPr="004460A8">
              <w:rPr>
                <w:rFonts w:asciiTheme="majorHAnsi" w:hAnsiTheme="majorHAnsi" w:cstheme="majorHAnsi"/>
                <w:szCs w:val="18"/>
              </w:rPr>
              <w:t xml:space="preserve">transportation </w:t>
            </w:r>
            <w:r w:rsidR="00501EF4" w:rsidRPr="004460A8">
              <w:rPr>
                <w:rFonts w:asciiTheme="majorHAnsi" w:hAnsiTheme="majorHAnsi" w:cstheme="majorHAnsi"/>
                <w:szCs w:val="18"/>
              </w:rPr>
              <w:t xml:space="preserve">facility later becomes subject to the reforms (e.g. because it is </w:t>
            </w:r>
            <w:r w:rsidRPr="004460A8">
              <w:rPr>
                <w:rFonts w:asciiTheme="majorHAnsi" w:hAnsiTheme="majorHAnsi" w:cstheme="majorHAnsi"/>
                <w:szCs w:val="18"/>
              </w:rPr>
              <w:t xml:space="preserve">commissioned after the trading platform commences or </w:t>
            </w:r>
            <w:r w:rsidR="00501EF4" w:rsidRPr="004460A8">
              <w:rPr>
                <w:rFonts w:asciiTheme="majorHAnsi" w:hAnsiTheme="majorHAnsi" w:cstheme="majorHAnsi"/>
                <w:szCs w:val="18"/>
              </w:rPr>
              <w:t xml:space="preserve">its </w:t>
            </w:r>
            <w:r w:rsidRPr="004460A8">
              <w:rPr>
                <w:rFonts w:asciiTheme="majorHAnsi" w:hAnsiTheme="majorHAnsi" w:cstheme="majorHAnsi"/>
                <w:szCs w:val="18"/>
              </w:rPr>
              <w:t>exemption is revoked</w:t>
            </w:r>
            <w:r w:rsidR="00501EF4" w:rsidRPr="004460A8">
              <w:rPr>
                <w:rFonts w:asciiTheme="majorHAnsi" w:hAnsiTheme="majorHAnsi" w:cstheme="majorHAnsi"/>
                <w:szCs w:val="18"/>
              </w:rPr>
              <w:t>)</w:t>
            </w:r>
            <w:r w:rsidRPr="004460A8">
              <w:rPr>
                <w:rFonts w:asciiTheme="majorHAnsi" w:hAnsiTheme="majorHAnsi" w:cstheme="majorHAnsi"/>
                <w:szCs w:val="18"/>
              </w:rPr>
              <w:t xml:space="preserve">, </w:t>
            </w:r>
            <w:r w:rsidR="00501EF4" w:rsidRPr="004460A8">
              <w:rPr>
                <w:rFonts w:asciiTheme="majorHAnsi" w:hAnsiTheme="majorHAnsi" w:cstheme="majorHAnsi"/>
                <w:szCs w:val="18"/>
              </w:rPr>
              <w:t xml:space="preserve">then </w:t>
            </w:r>
            <w:r w:rsidR="002C78DD" w:rsidRPr="004460A8">
              <w:rPr>
                <w:rFonts w:asciiTheme="majorHAnsi" w:hAnsiTheme="majorHAnsi" w:cstheme="majorHAnsi"/>
                <w:szCs w:val="18"/>
              </w:rPr>
              <w:t>the</w:t>
            </w:r>
            <w:r w:rsidR="00501EF4" w:rsidRPr="004460A8">
              <w:rPr>
                <w:rFonts w:asciiTheme="majorHAnsi" w:hAnsiTheme="majorHAnsi" w:cstheme="majorHAnsi"/>
                <w:szCs w:val="18"/>
              </w:rPr>
              <w:t xml:space="preserve"> service provider’s obligation to give effect to trades carried out through the </w:t>
            </w:r>
            <w:r w:rsidR="002C78DD" w:rsidRPr="004460A8">
              <w:rPr>
                <w:rFonts w:asciiTheme="majorHAnsi" w:hAnsiTheme="majorHAnsi" w:cstheme="majorHAnsi"/>
                <w:szCs w:val="18"/>
              </w:rPr>
              <w:t>capacity trading platform</w:t>
            </w:r>
            <w:r w:rsidR="00501EF4" w:rsidRPr="004460A8">
              <w:rPr>
                <w:rFonts w:asciiTheme="majorHAnsi" w:hAnsiTheme="majorHAnsi" w:cstheme="majorHAnsi"/>
                <w:szCs w:val="18"/>
              </w:rPr>
              <w:t xml:space="preserve"> will commence 120 business days after the date on which </w:t>
            </w:r>
            <w:r w:rsidR="002C78DD" w:rsidRPr="004460A8">
              <w:rPr>
                <w:rFonts w:asciiTheme="majorHAnsi" w:hAnsiTheme="majorHAnsi" w:cstheme="majorHAnsi"/>
                <w:szCs w:val="18"/>
              </w:rPr>
              <w:t xml:space="preserve">the facility </w:t>
            </w:r>
            <w:r w:rsidR="00501EF4" w:rsidRPr="004460A8">
              <w:rPr>
                <w:rFonts w:asciiTheme="majorHAnsi" w:hAnsiTheme="majorHAnsi" w:cstheme="majorHAnsi"/>
                <w:szCs w:val="18"/>
              </w:rPr>
              <w:t>becomes subject to the reforms.</w:t>
            </w:r>
          </w:p>
        </w:tc>
      </w:tr>
      <w:bookmarkEnd w:id="21"/>
      <w:tr w:rsidR="00C37D44" w:rsidRPr="00C37D44" w:rsidTr="00F25C7A">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shd w:val="clear" w:color="auto" w:fill="FFFFFF" w:themeFill="background1"/>
            <w:hideMark/>
          </w:tcPr>
          <w:p w:rsidR="00D30678" w:rsidRPr="00C37D44" w:rsidRDefault="00D30678" w:rsidP="0064242F">
            <w:pPr>
              <w:pStyle w:val="TableBodyText"/>
              <w:keepNext/>
              <w:rPr>
                <w:rFonts w:asciiTheme="majorHAnsi" w:hAnsiTheme="majorHAnsi" w:cstheme="majorHAnsi"/>
                <w:b/>
                <w:szCs w:val="18"/>
              </w:rPr>
            </w:pPr>
            <w:r w:rsidRPr="00D30678">
              <w:rPr>
                <w:rFonts w:asciiTheme="majorHAnsi" w:hAnsiTheme="majorHAnsi" w:cstheme="majorHAnsi"/>
                <w:b/>
                <w:szCs w:val="18"/>
              </w:rPr>
              <w:t xml:space="preserve">Operation of the </w:t>
            </w:r>
            <w:r w:rsidRPr="00F04A8E">
              <w:rPr>
                <w:rFonts w:asciiTheme="majorHAnsi" w:hAnsiTheme="majorHAnsi" w:cstheme="majorHAnsi"/>
                <w:b/>
                <w:szCs w:val="18"/>
              </w:rPr>
              <w:t>capacity trading platform</w:t>
            </w:r>
          </w:p>
        </w:tc>
        <w:tc>
          <w:tcPr>
            <w:tcW w:w="12190" w:type="dxa"/>
            <w:tcBorders>
              <w:top w:val="single" w:sz="4" w:space="0" w:color="auto"/>
              <w:left w:val="single" w:sz="4" w:space="0" w:color="auto"/>
              <w:bottom w:val="single" w:sz="4" w:space="0" w:color="auto"/>
              <w:right w:val="nil"/>
            </w:tcBorders>
            <w:shd w:val="clear" w:color="auto" w:fill="FFFFFF" w:themeFill="background1"/>
            <w:hideMark/>
          </w:tcPr>
          <w:p w:rsidR="00D30678" w:rsidRPr="00C37D44" w:rsidRDefault="00D30678" w:rsidP="0064242F">
            <w:pPr>
              <w:pStyle w:val="TableBodyText"/>
              <w:keepNext/>
              <w:rPr>
                <w:rFonts w:asciiTheme="majorHAnsi" w:hAnsiTheme="majorHAnsi" w:cstheme="majorHAnsi"/>
                <w:szCs w:val="18"/>
                <w:lang w:eastAsia="fr-CA"/>
              </w:rPr>
            </w:pPr>
            <w:r w:rsidRPr="00C37D44">
              <w:rPr>
                <w:rFonts w:asciiTheme="majorHAnsi" w:hAnsiTheme="majorHAnsi" w:cstheme="majorHAnsi"/>
                <w:szCs w:val="18"/>
              </w:rPr>
              <w:t>The capacity trading platform will be operated by AEMO and form part of the GSH. The capacity trading platform will provide for both:</w:t>
            </w:r>
          </w:p>
          <w:p w:rsidR="00D30678" w:rsidRPr="00C37D44" w:rsidRDefault="00D30678" w:rsidP="0064242F">
            <w:pPr>
              <w:pStyle w:val="TableBullet1"/>
              <w:keepNext/>
              <w:numPr>
                <w:ilvl w:val="0"/>
                <w:numId w:val="41"/>
              </w:numPr>
              <w:rPr>
                <w:rFonts w:asciiTheme="majorHAnsi" w:hAnsiTheme="majorHAnsi" w:cstheme="majorHAnsi"/>
                <w:szCs w:val="18"/>
              </w:rPr>
            </w:pPr>
            <w:r w:rsidRPr="00C37D44">
              <w:rPr>
                <w:rFonts w:asciiTheme="majorHAnsi" w:hAnsiTheme="majorHAnsi" w:cstheme="majorHAnsi"/>
                <w:b/>
                <w:szCs w:val="18"/>
              </w:rPr>
              <w:t>Exchange-based trading</w:t>
            </w:r>
            <w:r w:rsidRPr="00C37D44">
              <w:rPr>
                <w:rFonts w:asciiTheme="majorHAnsi" w:hAnsiTheme="majorHAnsi" w:cstheme="majorHAnsi"/>
                <w:szCs w:val="18"/>
              </w:rPr>
              <w:t xml:space="preserve"> of commonly traded transportation (pipeline and compression) products, which can be conducted through either:</w:t>
            </w:r>
          </w:p>
          <w:p w:rsidR="00D30678" w:rsidRPr="00C37D44" w:rsidRDefault="00D30678" w:rsidP="0064242F">
            <w:pPr>
              <w:pStyle w:val="TableBullet2"/>
              <w:keepNext/>
              <w:numPr>
                <w:ilvl w:val="1"/>
                <w:numId w:val="41"/>
              </w:numPr>
              <w:rPr>
                <w:rFonts w:asciiTheme="majorHAnsi" w:hAnsiTheme="majorHAnsi" w:cstheme="majorHAnsi"/>
                <w:szCs w:val="18"/>
              </w:rPr>
            </w:pPr>
            <w:r w:rsidRPr="00C37D44">
              <w:rPr>
                <w:rFonts w:asciiTheme="majorHAnsi" w:hAnsiTheme="majorHAnsi" w:cstheme="majorHAnsi"/>
                <w:szCs w:val="18"/>
              </w:rPr>
              <w:t xml:space="preserve">the screen trade service, which allows anonymous bids or offers to be placed on standardised products that are automatically matched; or </w:t>
            </w:r>
          </w:p>
          <w:p w:rsidR="00D30678" w:rsidRPr="00C37D44" w:rsidRDefault="00D30678" w:rsidP="0064242F">
            <w:pPr>
              <w:pStyle w:val="TableBullet2"/>
              <w:keepNext/>
              <w:numPr>
                <w:ilvl w:val="1"/>
                <w:numId w:val="41"/>
              </w:numPr>
              <w:rPr>
                <w:rFonts w:asciiTheme="majorHAnsi" w:hAnsiTheme="majorHAnsi" w:cstheme="majorHAnsi"/>
                <w:szCs w:val="18"/>
              </w:rPr>
            </w:pPr>
            <w:r w:rsidRPr="00C37D44">
              <w:rPr>
                <w:rFonts w:asciiTheme="majorHAnsi" w:hAnsiTheme="majorHAnsi" w:cstheme="majorHAnsi"/>
                <w:szCs w:val="18"/>
              </w:rPr>
              <w:t>the pre-matched trade service, which allows participants to bring a bilateral trade in one of the listed products to the exchange for settlement.</w:t>
            </w:r>
          </w:p>
          <w:p w:rsidR="00D30678" w:rsidRPr="00D30678" w:rsidRDefault="00D30678" w:rsidP="0064242F">
            <w:pPr>
              <w:pStyle w:val="TableBullet1"/>
              <w:keepNext/>
              <w:numPr>
                <w:ilvl w:val="0"/>
                <w:numId w:val="0"/>
              </w:numPr>
              <w:tabs>
                <w:tab w:val="left" w:pos="720"/>
              </w:tabs>
              <w:ind w:left="312"/>
              <w:rPr>
                <w:rFonts w:asciiTheme="majorHAnsi" w:hAnsiTheme="majorHAnsi" w:cstheme="majorHAnsi"/>
                <w:szCs w:val="18"/>
              </w:rPr>
            </w:pPr>
            <w:r w:rsidRPr="00D30678">
              <w:rPr>
                <w:rFonts w:asciiTheme="majorHAnsi" w:hAnsiTheme="majorHAnsi" w:cstheme="majorHAnsi"/>
                <w:szCs w:val="18"/>
              </w:rPr>
              <w:t xml:space="preserve">The screen trade service will operate on a fully anonymous basis (i.e. the names of counterparties will not be revealed pre or post-transaction), with AEMO informing </w:t>
            </w:r>
            <w:r w:rsidRPr="00C37D44">
              <w:rPr>
                <w:rFonts w:asciiTheme="majorHAnsi" w:hAnsiTheme="majorHAnsi" w:cstheme="majorHAnsi"/>
                <w:szCs w:val="18"/>
                <w:lang w:eastAsia="fr-CA"/>
              </w:rPr>
              <w:t>the service provider of the trade and the service provider then confirming and giving effect to the trade. The process for validating trades will be set out in the transaction support arrangements that will form part of the Capacity Transfer and Auction Procedures.</w:t>
            </w:r>
          </w:p>
          <w:p w:rsidR="00D30678" w:rsidRPr="00C37D44" w:rsidRDefault="00D30678" w:rsidP="0064242F">
            <w:pPr>
              <w:pStyle w:val="TableBullet1"/>
              <w:keepNext/>
              <w:numPr>
                <w:ilvl w:val="0"/>
                <w:numId w:val="41"/>
              </w:numPr>
              <w:rPr>
                <w:rFonts w:asciiTheme="majorHAnsi" w:hAnsiTheme="majorHAnsi" w:cstheme="majorHAnsi"/>
                <w:szCs w:val="18"/>
              </w:rPr>
            </w:pPr>
            <w:r w:rsidRPr="00F04A8E">
              <w:rPr>
                <w:rFonts w:asciiTheme="majorHAnsi" w:hAnsiTheme="majorHAnsi" w:cstheme="majorHAnsi"/>
                <w:b/>
                <w:szCs w:val="18"/>
              </w:rPr>
              <w:t>A listing service</w:t>
            </w:r>
            <w:r w:rsidRPr="00F04A8E">
              <w:rPr>
                <w:rFonts w:asciiTheme="majorHAnsi" w:hAnsiTheme="majorHAnsi" w:cstheme="majorHAnsi"/>
                <w:szCs w:val="18"/>
              </w:rPr>
              <w:t xml:space="preserve"> that shippers can use to list other </w:t>
            </w:r>
            <w:r w:rsidRPr="00C37D44">
              <w:rPr>
                <w:rFonts w:asciiTheme="majorHAnsi" w:hAnsiTheme="majorHAnsi" w:cstheme="majorHAnsi"/>
                <w:szCs w:val="18"/>
              </w:rPr>
              <w:t>more bespoke products and imbalance trades.</w:t>
            </w:r>
          </w:p>
          <w:p w:rsidR="00D30678" w:rsidRPr="00C37D44" w:rsidRDefault="00D30678" w:rsidP="00E51942">
            <w:pPr>
              <w:pStyle w:val="TableBullet1"/>
              <w:keepNext/>
              <w:numPr>
                <w:ilvl w:val="0"/>
                <w:numId w:val="0"/>
              </w:numPr>
              <w:tabs>
                <w:tab w:val="left" w:pos="720"/>
              </w:tabs>
              <w:ind w:left="85"/>
              <w:rPr>
                <w:rFonts w:asciiTheme="majorHAnsi" w:hAnsiTheme="majorHAnsi" w:cstheme="majorHAnsi"/>
                <w:szCs w:val="18"/>
              </w:rPr>
            </w:pPr>
            <w:r w:rsidRPr="00C37D44">
              <w:rPr>
                <w:rFonts w:asciiTheme="majorHAnsi" w:hAnsiTheme="majorHAnsi" w:cstheme="majorHAnsi"/>
                <w:szCs w:val="18"/>
              </w:rPr>
              <w:t>Trades conducted through the exchange will use existing GSH settlement, prudential and reporting frameworks, which means participants will receive one settlement statement for all products and be able to aggregate prudential requirements across gas and secondary capacity products.</w:t>
            </w:r>
          </w:p>
        </w:tc>
      </w:tr>
      <w:tr w:rsidR="00C37D44" w:rsidRPr="00C37D44" w:rsidTr="00F25C7A">
        <w:tc>
          <w:tcPr>
            <w:tcW w:w="1560" w:type="dxa"/>
            <w:tcBorders>
              <w:top w:val="single" w:sz="4" w:space="0" w:color="auto"/>
              <w:left w:val="nil"/>
              <w:bottom w:val="single" w:sz="4" w:space="0" w:color="auto"/>
              <w:right w:val="single" w:sz="4" w:space="0" w:color="auto"/>
            </w:tcBorders>
            <w:shd w:val="clear" w:color="auto" w:fill="FFFFFF" w:themeFill="background1"/>
            <w:hideMark/>
          </w:tcPr>
          <w:p w:rsidR="00D30678" w:rsidRPr="00F04A8E" w:rsidRDefault="00D30678" w:rsidP="00723AC6">
            <w:pPr>
              <w:pStyle w:val="BodyText"/>
              <w:spacing w:before="60" w:after="60"/>
              <w:rPr>
                <w:rFonts w:asciiTheme="majorHAnsi" w:hAnsiTheme="majorHAnsi" w:cstheme="majorHAnsi"/>
                <w:b/>
                <w:szCs w:val="18"/>
              </w:rPr>
            </w:pPr>
            <w:r w:rsidRPr="00D30678">
              <w:rPr>
                <w:rFonts w:asciiTheme="majorHAnsi" w:hAnsiTheme="majorHAnsi" w:cstheme="majorHAnsi"/>
                <w:b/>
                <w:szCs w:val="18"/>
              </w:rPr>
              <w:t xml:space="preserve">Initial set of services to be listed on the exchange </w:t>
            </w:r>
          </w:p>
        </w:tc>
        <w:tc>
          <w:tcPr>
            <w:tcW w:w="12190" w:type="dxa"/>
            <w:tcBorders>
              <w:top w:val="single" w:sz="4" w:space="0" w:color="auto"/>
              <w:left w:val="single" w:sz="4" w:space="0" w:color="auto"/>
              <w:bottom w:val="single" w:sz="4" w:space="0" w:color="auto"/>
              <w:right w:val="nil"/>
            </w:tcBorders>
            <w:shd w:val="clear" w:color="auto" w:fill="FFFFFF" w:themeFill="background1"/>
            <w:hideMark/>
          </w:tcPr>
          <w:p w:rsidR="00D30678" w:rsidRPr="00C37D44" w:rsidRDefault="00D30678" w:rsidP="00723AC6">
            <w:pPr>
              <w:pStyle w:val="TableBodyText"/>
              <w:rPr>
                <w:rFonts w:asciiTheme="majorHAnsi" w:hAnsiTheme="majorHAnsi" w:cstheme="majorHAnsi"/>
                <w:b/>
                <w:szCs w:val="18"/>
              </w:rPr>
            </w:pPr>
            <w:r w:rsidRPr="00C37D44">
              <w:rPr>
                <w:rFonts w:asciiTheme="majorHAnsi" w:hAnsiTheme="majorHAnsi" w:cstheme="majorHAnsi"/>
                <w:szCs w:val="18"/>
              </w:rPr>
              <w:t xml:space="preserve">The initial set of standardised products to be sold on the exchange include: </w:t>
            </w:r>
          </w:p>
          <w:p w:rsidR="00D30678" w:rsidRPr="00C37D44" w:rsidRDefault="00D30678" w:rsidP="00723AC6">
            <w:pPr>
              <w:pStyle w:val="TableBullet1"/>
              <w:numPr>
                <w:ilvl w:val="0"/>
                <w:numId w:val="41"/>
              </w:numPr>
              <w:rPr>
                <w:rFonts w:asciiTheme="majorHAnsi" w:hAnsiTheme="majorHAnsi" w:cstheme="majorHAnsi"/>
                <w:szCs w:val="18"/>
              </w:rPr>
            </w:pPr>
            <w:r w:rsidRPr="00C37D44">
              <w:rPr>
                <w:rFonts w:asciiTheme="majorHAnsi" w:hAnsiTheme="majorHAnsi" w:cstheme="majorHAnsi"/>
                <w:szCs w:val="18"/>
              </w:rPr>
              <w:t>firm forward haul services on transmission pipelines (if the pipeline is bi-directional,</w:t>
            </w:r>
            <w:r w:rsidR="00534E67">
              <w:rPr>
                <w:rStyle w:val="FootnoteReference"/>
                <w:rFonts w:asciiTheme="majorHAnsi" w:hAnsiTheme="majorHAnsi" w:cstheme="majorHAnsi"/>
                <w:szCs w:val="18"/>
              </w:rPr>
              <w:footnoteReference w:id="21"/>
            </w:r>
            <w:r w:rsidRPr="00C37D44">
              <w:rPr>
                <w:rFonts w:asciiTheme="majorHAnsi" w:hAnsiTheme="majorHAnsi" w:cstheme="majorHAnsi"/>
                <w:szCs w:val="18"/>
              </w:rPr>
              <w:t xml:space="preserve"> services will be available in both directions);</w:t>
            </w:r>
          </w:p>
          <w:p w:rsidR="00D30678" w:rsidRPr="00C37D44" w:rsidRDefault="00D30678" w:rsidP="00723AC6">
            <w:pPr>
              <w:pStyle w:val="TableBullet1"/>
              <w:numPr>
                <w:ilvl w:val="0"/>
                <w:numId w:val="41"/>
              </w:numPr>
              <w:rPr>
                <w:rFonts w:asciiTheme="majorHAnsi" w:hAnsiTheme="majorHAnsi" w:cstheme="majorHAnsi"/>
                <w:szCs w:val="18"/>
              </w:rPr>
            </w:pPr>
            <w:r w:rsidRPr="00C37D44">
              <w:rPr>
                <w:rFonts w:asciiTheme="majorHAnsi" w:hAnsiTheme="majorHAnsi" w:cstheme="majorHAnsi"/>
                <w:szCs w:val="18"/>
              </w:rPr>
              <w:t xml:space="preserve">firm stand-alone compression services; and </w:t>
            </w:r>
          </w:p>
          <w:p w:rsidR="00D30678" w:rsidRPr="00C37D44" w:rsidRDefault="00D30678" w:rsidP="00723AC6">
            <w:pPr>
              <w:pStyle w:val="TableBullet1"/>
              <w:numPr>
                <w:ilvl w:val="0"/>
                <w:numId w:val="41"/>
              </w:numPr>
              <w:rPr>
                <w:rFonts w:asciiTheme="majorHAnsi" w:hAnsiTheme="majorHAnsi" w:cstheme="majorHAnsi"/>
                <w:szCs w:val="18"/>
              </w:rPr>
            </w:pPr>
            <w:r w:rsidRPr="00C37D44">
              <w:rPr>
                <w:rFonts w:asciiTheme="majorHAnsi" w:hAnsiTheme="majorHAnsi" w:cstheme="majorHAnsi"/>
                <w:szCs w:val="18"/>
              </w:rPr>
              <w:t>firm park (storage) services on transmission pipelines that offer this service.</w:t>
            </w:r>
          </w:p>
          <w:p w:rsidR="00D30678" w:rsidRPr="00C37D44" w:rsidRDefault="00D30678" w:rsidP="00E51942">
            <w:pPr>
              <w:pStyle w:val="TableBodyText"/>
              <w:keepNext/>
              <w:spacing w:after="120"/>
              <w:rPr>
                <w:rFonts w:asciiTheme="majorHAnsi" w:hAnsiTheme="majorHAnsi" w:cstheme="majorHAnsi"/>
                <w:szCs w:val="18"/>
              </w:rPr>
            </w:pPr>
            <w:r w:rsidRPr="00C37D44">
              <w:rPr>
                <w:rFonts w:asciiTheme="majorHAnsi" w:hAnsiTheme="majorHAnsi" w:cstheme="majorHAnsi"/>
                <w:szCs w:val="18"/>
              </w:rPr>
              <w:t xml:space="preserve">These services will have a minimum contract size of 500 GJ/day and will be available as: a day-ahead product; a daily product (available on a 6-day rolling basis); a weekly product (available on a 4-week rolling basis); and a monthly product (available on a 3-month rolling basis). </w:t>
            </w:r>
          </w:p>
          <w:p w:rsidR="00D30678" w:rsidRPr="00C37D44" w:rsidRDefault="00D30678" w:rsidP="00723AC6">
            <w:pPr>
              <w:pStyle w:val="TableBodyText"/>
              <w:rPr>
                <w:rFonts w:asciiTheme="majorHAnsi" w:hAnsiTheme="majorHAnsi" w:cstheme="majorHAnsi"/>
                <w:szCs w:val="18"/>
              </w:rPr>
            </w:pPr>
            <w:r w:rsidRPr="00C37D44">
              <w:rPr>
                <w:rFonts w:asciiTheme="majorHAnsi" w:hAnsiTheme="majorHAnsi" w:cstheme="majorHAnsi"/>
                <w:szCs w:val="18"/>
              </w:rPr>
              <w:t>The terms and conditions on which the buyer can use these products will be set out in the service provider’s standard OTSA</w:t>
            </w:r>
            <w:r w:rsidR="00464273">
              <w:rPr>
                <w:rFonts w:asciiTheme="majorHAnsi" w:hAnsiTheme="majorHAnsi" w:cstheme="majorHAnsi"/>
                <w:szCs w:val="18"/>
              </w:rPr>
              <w:t xml:space="preserve"> (or other agreement containing the terms for use of the service)</w:t>
            </w:r>
            <w:r w:rsidRPr="00C37D44">
              <w:rPr>
                <w:rFonts w:asciiTheme="majorHAnsi" w:hAnsiTheme="majorHAnsi" w:cstheme="majorHAnsi"/>
                <w:szCs w:val="18"/>
              </w:rPr>
              <w:t xml:space="preserve">, which, amongst other things, will specify the hourly flexibility and imbalance allowance the buyer will have and provide for a reasonable endeavours renomination right. </w:t>
            </w:r>
          </w:p>
        </w:tc>
      </w:tr>
      <w:tr w:rsidR="00C37D44" w:rsidRPr="00C37D44" w:rsidTr="00F25C7A">
        <w:trPr>
          <w:cnfStyle w:val="000000010000" w:firstRow="0" w:lastRow="0" w:firstColumn="0" w:lastColumn="0" w:oddVBand="0" w:evenVBand="0" w:oddHBand="0" w:evenHBand="1" w:firstRowFirstColumn="0" w:firstRowLastColumn="0" w:lastRowFirstColumn="0" w:lastRowLastColumn="0"/>
        </w:trPr>
        <w:tc>
          <w:tcPr>
            <w:tcW w:w="1560" w:type="dxa"/>
            <w:tcBorders>
              <w:top w:val="single" w:sz="4" w:space="0" w:color="auto"/>
              <w:left w:val="nil"/>
              <w:bottom w:val="single" w:sz="4" w:space="0" w:color="auto"/>
              <w:right w:val="single" w:sz="4" w:space="0" w:color="auto"/>
            </w:tcBorders>
            <w:shd w:val="clear" w:color="auto" w:fill="FFFFFF" w:themeFill="background1"/>
            <w:hideMark/>
          </w:tcPr>
          <w:p w:rsidR="00D30678" w:rsidRPr="00F04A8E" w:rsidRDefault="00D30678" w:rsidP="00723AC6">
            <w:pPr>
              <w:pStyle w:val="BodyText"/>
              <w:keepNext/>
              <w:spacing w:before="60" w:after="60"/>
              <w:rPr>
                <w:rFonts w:asciiTheme="majorHAnsi" w:hAnsiTheme="majorHAnsi" w:cstheme="majorHAnsi"/>
                <w:b/>
                <w:szCs w:val="18"/>
              </w:rPr>
            </w:pPr>
            <w:r w:rsidRPr="00D30678">
              <w:rPr>
                <w:rFonts w:asciiTheme="majorHAnsi" w:hAnsiTheme="majorHAnsi" w:cstheme="majorHAnsi"/>
                <w:b/>
                <w:szCs w:val="18"/>
              </w:rPr>
              <w:lastRenderedPageBreak/>
              <w:t>Contract path model</w:t>
            </w:r>
          </w:p>
        </w:tc>
        <w:tc>
          <w:tcPr>
            <w:tcW w:w="12190" w:type="dxa"/>
            <w:tcBorders>
              <w:top w:val="single" w:sz="4" w:space="0" w:color="auto"/>
              <w:left w:val="single" w:sz="4" w:space="0" w:color="auto"/>
              <w:bottom w:val="single" w:sz="4" w:space="0" w:color="auto"/>
              <w:right w:val="nil"/>
            </w:tcBorders>
            <w:shd w:val="clear" w:color="auto" w:fill="FFFFFF" w:themeFill="background1"/>
            <w:hideMark/>
          </w:tcPr>
          <w:p w:rsidR="00D30678" w:rsidRPr="00C37D44" w:rsidRDefault="00D30678" w:rsidP="00723AC6">
            <w:pPr>
              <w:pStyle w:val="TableBodyText"/>
              <w:keepNext/>
              <w:rPr>
                <w:rFonts w:asciiTheme="majorHAnsi" w:hAnsiTheme="majorHAnsi" w:cstheme="majorHAnsi"/>
                <w:szCs w:val="18"/>
              </w:rPr>
            </w:pPr>
            <w:r w:rsidRPr="00F04A8E">
              <w:rPr>
                <w:rFonts w:asciiTheme="majorHAnsi" w:hAnsiTheme="majorHAnsi" w:cstheme="majorHAnsi"/>
                <w:szCs w:val="18"/>
              </w:rPr>
              <w:t>Forw</w:t>
            </w:r>
            <w:r w:rsidRPr="00C37D44">
              <w:rPr>
                <w:rFonts w:asciiTheme="majorHAnsi" w:hAnsiTheme="majorHAnsi" w:cstheme="majorHAnsi"/>
                <w:szCs w:val="18"/>
              </w:rPr>
              <w:t xml:space="preserve">ard haul services will be traded using the zonal model </w:t>
            </w:r>
            <w:r w:rsidR="00340E07">
              <w:rPr>
                <w:rFonts w:asciiTheme="majorHAnsi" w:hAnsiTheme="majorHAnsi" w:cstheme="majorHAnsi"/>
                <w:szCs w:val="18"/>
              </w:rPr>
              <w:t xml:space="preserve">and will have </w:t>
            </w:r>
            <w:r w:rsidRPr="00C37D44">
              <w:rPr>
                <w:rFonts w:asciiTheme="majorHAnsi" w:hAnsiTheme="majorHAnsi" w:cstheme="majorHAnsi"/>
                <w:szCs w:val="18"/>
              </w:rPr>
              <w:t xml:space="preserve">secondary firm rights at receipt and delivery points. Under the zonal model: </w:t>
            </w:r>
          </w:p>
          <w:p w:rsidR="00D30678" w:rsidRPr="00F04A8E" w:rsidRDefault="000175C2" w:rsidP="00723AC6">
            <w:pPr>
              <w:pStyle w:val="TableBullet1"/>
              <w:keepNext/>
              <w:numPr>
                <w:ilvl w:val="0"/>
                <w:numId w:val="41"/>
              </w:numPr>
              <w:rPr>
                <w:rFonts w:asciiTheme="majorHAnsi" w:hAnsiTheme="majorHAnsi" w:cstheme="majorHAnsi"/>
                <w:szCs w:val="18"/>
              </w:rPr>
            </w:pPr>
            <w:r>
              <w:rPr>
                <w:rFonts w:asciiTheme="majorHAnsi" w:hAnsiTheme="majorHAnsi" w:cstheme="majorHAnsi"/>
                <w:szCs w:val="18"/>
              </w:rPr>
              <w:t xml:space="preserve">sellers </w:t>
            </w:r>
            <w:r w:rsidR="00D30678" w:rsidRPr="00D30678">
              <w:rPr>
                <w:rFonts w:asciiTheme="majorHAnsi" w:hAnsiTheme="majorHAnsi" w:cstheme="majorHAnsi"/>
                <w:szCs w:val="18"/>
              </w:rPr>
              <w:t>will be able to sell point-to-point capacity on a zone-to-zone basis; and</w:t>
            </w:r>
          </w:p>
          <w:p w:rsidR="00D30678" w:rsidRPr="00C37D44" w:rsidRDefault="000175C2" w:rsidP="00723AC6">
            <w:pPr>
              <w:pStyle w:val="TableBullet1"/>
              <w:keepNext/>
              <w:numPr>
                <w:ilvl w:val="0"/>
                <w:numId w:val="41"/>
              </w:numPr>
              <w:rPr>
                <w:rFonts w:asciiTheme="majorHAnsi" w:hAnsiTheme="majorHAnsi" w:cstheme="majorHAnsi"/>
                <w:szCs w:val="18"/>
              </w:rPr>
            </w:pPr>
            <w:r>
              <w:rPr>
                <w:rFonts w:asciiTheme="majorHAnsi" w:hAnsiTheme="majorHAnsi" w:cstheme="majorHAnsi"/>
                <w:szCs w:val="18"/>
              </w:rPr>
              <w:t xml:space="preserve">buyers </w:t>
            </w:r>
            <w:r w:rsidR="00D30678" w:rsidRPr="00C37D44">
              <w:rPr>
                <w:rFonts w:asciiTheme="majorHAnsi" w:hAnsiTheme="majorHAnsi" w:cstheme="majorHAnsi"/>
                <w:szCs w:val="18"/>
              </w:rPr>
              <w:t xml:space="preserve">will be able to acquire capacity on a zone-to-zone basis. </w:t>
            </w:r>
          </w:p>
          <w:p w:rsidR="00D30678" w:rsidRDefault="00D30678" w:rsidP="00E51942">
            <w:pPr>
              <w:pStyle w:val="BodyText"/>
              <w:keepNext/>
              <w:spacing w:before="60"/>
              <w:rPr>
                <w:rFonts w:asciiTheme="majorHAnsi" w:hAnsiTheme="majorHAnsi" w:cstheme="majorHAnsi"/>
                <w:szCs w:val="18"/>
              </w:rPr>
            </w:pPr>
            <w:r w:rsidRPr="00C37D44">
              <w:rPr>
                <w:rFonts w:asciiTheme="majorHAnsi" w:hAnsiTheme="majorHAnsi" w:cstheme="majorHAnsi"/>
                <w:szCs w:val="18"/>
              </w:rPr>
              <w:t xml:space="preserve">The secondary firm rights concept is required under the zonal model because the capacity that is sold by the </w:t>
            </w:r>
            <w:r w:rsidR="000175C2">
              <w:rPr>
                <w:rFonts w:asciiTheme="majorHAnsi" w:hAnsiTheme="majorHAnsi" w:cstheme="majorHAnsi"/>
                <w:szCs w:val="18"/>
              </w:rPr>
              <w:t xml:space="preserve">seller </w:t>
            </w:r>
            <w:r w:rsidRPr="00C37D44">
              <w:rPr>
                <w:rFonts w:asciiTheme="majorHAnsi" w:hAnsiTheme="majorHAnsi" w:cstheme="majorHAnsi"/>
                <w:szCs w:val="18"/>
              </w:rPr>
              <w:t xml:space="preserve">may be released from a different receipt or delivery point in the zone to the point the </w:t>
            </w:r>
            <w:r w:rsidR="000175C2">
              <w:rPr>
                <w:rFonts w:asciiTheme="majorHAnsi" w:hAnsiTheme="majorHAnsi" w:cstheme="majorHAnsi"/>
                <w:szCs w:val="18"/>
              </w:rPr>
              <w:t xml:space="preserve">buyer </w:t>
            </w:r>
            <w:r w:rsidRPr="00C37D44">
              <w:rPr>
                <w:rFonts w:asciiTheme="majorHAnsi" w:hAnsiTheme="majorHAnsi" w:cstheme="majorHAnsi"/>
                <w:szCs w:val="18"/>
              </w:rPr>
              <w:t>intends to use in that zone and the capacity of individual points within a zone will usually be lower than the zonal capacity. To deal with these limitations, while also recognising the firm rights that primary shippers have to use receipt and delivery points, the secondary firm rights concept allows secondary shippers to use any receipt or delivery points within a zone but their rights at those points are subordinate to primary shippers with firm rights at those points.</w:t>
            </w:r>
          </w:p>
          <w:p w:rsidR="00C733BC" w:rsidRPr="00D30678" w:rsidRDefault="00C733BC" w:rsidP="00723AC6">
            <w:pPr>
              <w:pStyle w:val="BodyText"/>
              <w:keepNext/>
              <w:spacing w:before="60" w:after="60"/>
              <w:rPr>
                <w:rFonts w:asciiTheme="majorHAnsi" w:hAnsiTheme="majorHAnsi" w:cstheme="majorHAnsi"/>
                <w:color w:val="000000"/>
                <w:szCs w:val="18"/>
              </w:rPr>
            </w:pPr>
            <w:r>
              <w:rPr>
                <w:rFonts w:asciiTheme="majorHAnsi" w:hAnsiTheme="majorHAnsi" w:cstheme="majorHAnsi"/>
                <w:color w:val="000000"/>
                <w:szCs w:val="18"/>
              </w:rPr>
              <w:t xml:space="preserve">At the time the trade is </w:t>
            </w:r>
            <w:r w:rsidR="00DE4A10">
              <w:rPr>
                <w:rFonts w:asciiTheme="majorHAnsi" w:hAnsiTheme="majorHAnsi" w:cstheme="majorHAnsi"/>
                <w:color w:val="000000"/>
                <w:szCs w:val="18"/>
              </w:rPr>
              <w:t>entered,</w:t>
            </w:r>
            <w:r>
              <w:rPr>
                <w:rFonts w:asciiTheme="majorHAnsi" w:hAnsiTheme="majorHAnsi" w:cstheme="majorHAnsi"/>
                <w:color w:val="000000"/>
                <w:szCs w:val="18"/>
              </w:rPr>
              <w:t xml:space="preserve"> </w:t>
            </w:r>
            <w:r w:rsidR="000935BE">
              <w:rPr>
                <w:rFonts w:asciiTheme="majorHAnsi" w:hAnsiTheme="majorHAnsi" w:cstheme="majorHAnsi"/>
                <w:color w:val="000000"/>
                <w:szCs w:val="18"/>
              </w:rPr>
              <w:t>or the transfer occurs</w:t>
            </w:r>
            <w:r>
              <w:rPr>
                <w:rFonts w:asciiTheme="majorHAnsi" w:hAnsiTheme="majorHAnsi" w:cstheme="majorHAnsi"/>
                <w:color w:val="000000"/>
                <w:szCs w:val="18"/>
              </w:rPr>
              <w:t>, sellers will be required to notify AEMO of the receipt and delivery points they intend to release their capacity from and buyers will be required to notify AEMO of the points they intend to use.</w:t>
            </w:r>
            <w:r w:rsidR="000175C2">
              <w:rPr>
                <w:rFonts w:asciiTheme="majorHAnsi" w:hAnsiTheme="majorHAnsi" w:cstheme="majorHAnsi"/>
                <w:color w:val="000000"/>
                <w:szCs w:val="18"/>
              </w:rPr>
              <w:t xml:space="preserve"> This information will be provided to the relevant service provider.</w:t>
            </w:r>
          </w:p>
        </w:tc>
      </w:tr>
      <w:tr w:rsidR="00C37D44" w:rsidRPr="00C37D44" w:rsidTr="00F25C7A">
        <w:tc>
          <w:tcPr>
            <w:tcW w:w="1560" w:type="dxa"/>
            <w:tcBorders>
              <w:top w:val="single" w:sz="4" w:space="0" w:color="auto"/>
              <w:left w:val="nil"/>
              <w:bottom w:val="single" w:sz="4" w:space="0" w:color="auto"/>
              <w:right w:val="single" w:sz="4" w:space="0" w:color="auto"/>
            </w:tcBorders>
            <w:shd w:val="clear" w:color="auto" w:fill="FFFFFF" w:themeFill="background1"/>
            <w:hideMark/>
          </w:tcPr>
          <w:p w:rsidR="00D30678" w:rsidRPr="00F04A8E" w:rsidRDefault="00D30678" w:rsidP="0064242F">
            <w:pPr>
              <w:pStyle w:val="BodyText"/>
              <w:keepNext/>
              <w:spacing w:before="60" w:after="60"/>
              <w:rPr>
                <w:rFonts w:asciiTheme="majorHAnsi" w:hAnsiTheme="majorHAnsi" w:cstheme="majorHAnsi"/>
                <w:b/>
                <w:szCs w:val="18"/>
              </w:rPr>
            </w:pPr>
            <w:r w:rsidRPr="00D30678">
              <w:rPr>
                <w:rFonts w:asciiTheme="majorHAnsi" w:hAnsiTheme="majorHAnsi" w:cstheme="majorHAnsi"/>
                <w:b/>
                <w:szCs w:val="18"/>
              </w:rPr>
              <w:t>Management of financial and delivery default risks</w:t>
            </w:r>
          </w:p>
        </w:tc>
        <w:tc>
          <w:tcPr>
            <w:tcW w:w="12190" w:type="dxa"/>
            <w:tcBorders>
              <w:top w:val="single" w:sz="4" w:space="0" w:color="auto"/>
              <w:left w:val="single" w:sz="4" w:space="0" w:color="auto"/>
              <w:bottom w:val="single" w:sz="4" w:space="0" w:color="auto"/>
              <w:right w:val="nil"/>
            </w:tcBorders>
            <w:shd w:val="clear" w:color="auto" w:fill="FFFFFF" w:themeFill="background1"/>
            <w:hideMark/>
          </w:tcPr>
          <w:p w:rsidR="00D30678" w:rsidRPr="00C37D44" w:rsidRDefault="00D30678" w:rsidP="0064242F">
            <w:pPr>
              <w:pStyle w:val="TableBodyText"/>
              <w:keepNext/>
              <w:rPr>
                <w:rFonts w:asciiTheme="majorHAnsi" w:hAnsiTheme="majorHAnsi" w:cstheme="majorHAnsi"/>
                <w:szCs w:val="18"/>
              </w:rPr>
            </w:pPr>
            <w:r w:rsidRPr="00C37D44">
              <w:rPr>
                <w:rFonts w:asciiTheme="majorHAnsi" w:hAnsiTheme="majorHAnsi" w:cstheme="majorHAnsi"/>
                <w:szCs w:val="18"/>
              </w:rPr>
              <w:t>There are two key risks that buyers using the exchange will be exposed to:</w:t>
            </w:r>
          </w:p>
          <w:p w:rsidR="00B46E13" w:rsidRPr="00B46E13" w:rsidRDefault="00D30678" w:rsidP="0064242F">
            <w:pPr>
              <w:pStyle w:val="TableBullet1"/>
              <w:keepNext/>
              <w:numPr>
                <w:ilvl w:val="0"/>
                <w:numId w:val="41"/>
              </w:numPr>
              <w:rPr>
                <w:rFonts w:asciiTheme="majorHAnsi" w:hAnsiTheme="majorHAnsi" w:cstheme="majorHAnsi"/>
                <w:szCs w:val="18"/>
              </w:rPr>
            </w:pPr>
            <w:r w:rsidRPr="00B46E13">
              <w:rPr>
                <w:rFonts w:asciiTheme="majorHAnsi" w:hAnsiTheme="majorHAnsi" w:cstheme="majorHAnsi"/>
                <w:szCs w:val="18"/>
              </w:rPr>
              <w:t xml:space="preserve">The seller’s primary facility agreement is terminated </w:t>
            </w:r>
            <w:r w:rsidR="00B46E13" w:rsidRPr="00B46E13">
              <w:rPr>
                <w:rFonts w:asciiTheme="majorHAnsi" w:hAnsiTheme="majorHAnsi" w:cstheme="majorHAnsi"/>
                <w:szCs w:val="18"/>
              </w:rPr>
              <w:t xml:space="preserve">or suspended </w:t>
            </w:r>
            <w:r w:rsidRPr="00B46E13">
              <w:rPr>
                <w:rFonts w:asciiTheme="majorHAnsi" w:hAnsiTheme="majorHAnsi" w:cstheme="majorHAnsi"/>
                <w:szCs w:val="18"/>
              </w:rPr>
              <w:t xml:space="preserve">by the service provider: </w:t>
            </w:r>
          </w:p>
          <w:p w:rsidR="00B46E13" w:rsidRPr="00B46E13" w:rsidRDefault="00B46E13" w:rsidP="00B46E13">
            <w:pPr>
              <w:pStyle w:val="TableBullet2"/>
              <w:rPr>
                <w:rFonts w:asciiTheme="majorHAnsi" w:hAnsiTheme="majorHAnsi" w:cstheme="majorHAnsi"/>
              </w:rPr>
            </w:pPr>
            <w:r w:rsidRPr="00B46E13">
              <w:rPr>
                <w:rFonts w:asciiTheme="majorHAnsi" w:hAnsiTheme="majorHAnsi" w:cstheme="majorHAnsi"/>
              </w:rPr>
              <w:t xml:space="preserve">If the agreement is terminated, </w:t>
            </w:r>
            <w:r w:rsidR="00D30678" w:rsidRPr="00B46E13">
              <w:rPr>
                <w:rFonts w:asciiTheme="majorHAnsi" w:hAnsiTheme="majorHAnsi" w:cstheme="majorHAnsi"/>
              </w:rPr>
              <w:t xml:space="preserve">the service provider will be obliged to notify AEMO of the termination of the primary facility agreement and to honour the transaction for up to 14 days </w:t>
            </w:r>
            <w:r w:rsidR="000935BE" w:rsidRPr="00B46E13">
              <w:rPr>
                <w:rFonts w:asciiTheme="majorHAnsi" w:hAnsiTheme="majorHAnsi" w:cstheme="majorHAnsi"/>
              </w:rPr>
              <w:t xml:space="preserve">after the notification </w:t>
            </w:r>
            <w:r w:rsidRPr="00B46E13">
              <w:rPr>
                <w:rFonts w:asciiTheme="majorHAnsi" w:hAnsiTheme="majorHAnsi" w:cstheme="majorHAnsi"/>
              </w:rPr>
              <w:t xml:space="preserve">is received. If this occurs, the service provider will </w:t>
            </w:r>
            <w:r w:rsidR="00D30678" w:rsidRPr="00B46E13">
              <w:rPr>
                <w:rFonts w:asciiTheme="majorHAnsi" w:hAnsiTheme="majorHAnsi" w:cstheme="majorHAnsi"/>
              </w:rPr>
              <w:t xml:space="preserve">receive </w:t>
            </w:r>
            <w:r w:rsidR="005817B4" w:rsidRPr="00B46E13">
              <w:rPr>
                <w:rFonts w:asciiTheme="majorHAnsi" w:hAnsiTheme="majorHAnsi" w:cstheme="majorHAnsi"/>
              </w:rPr>
              <w:t xml:space="preserve">a </w:t>
            </w:r>
            <w:r w:rsidR="00D30678" w:rsidRPr="00B46E13">
              <w:rPr>
                <w:rFonts w:asciiTheme="majorHAnsi" w:hAnsiTheme="majorHAnsi" w:cstheme="majorHAnsi"/>
              </w:rPr>
              <w:t xml:space="preserve">price </w:t>
            </w:r>
            <w:r w:rsidR="005817B4" w:rsidRPr="00B46E13">
              <w:rPr>
                <w:rFonts w:asciiTheme="majorHAnsi" w:hAnsiTheme="majorHAnsi" w:cstheme="majorHAnsi"/>
              </w:rPr>
              <w:t xml:space="preserve">determined by reference to the price at which the seller sold the capacity through the GSH </w:t>
            </w:r>
            <w:r w:rsidR="00D30678" w:rsidRPr="00B46E13">
              <w:rPr>
                <w:rFonts w:asciiTheme="majorHAnsi" w:hAnsiTheme="majorHAnsi" w:cstheme="majorHAnsi"/>
              </w:rPr>
              <w:t xml:space="preserve">in return for doing so. </w:t>
            </w:r>
          </w:p>
          <w:p w:rsidR="00D30678" w:rsidRPr="00B46E13" w:rsidRDefault="00D30678" w:rsidP="00B46E13">
            <w:pPr>
              <w:pStyle w:val="TableBullet2"/>
              <w:rPr>
                <w:rFonts w:asciiTheme="majorHAnsi" w:hAnsiTheme="majorHAnsi" w:cstheme="majorHAnsi"/>
              </w:rPr>
            </w:pPr>
            <w:r w:rsidRPr="00B46E13">
              <w:rPr>
                <w:rFonts w:asciiTheme="majorHAnsi" w:hAnsiTheme="majorHAnsi" w:cstheme="majorHAnsi"/>
              </w:rPr>
              <w:t>If the agreement is suspended, the service provider will be obliged to honour the trade for the term of the trade</w:t>
            </w:r>
            <w:r w:rsidR="00B46E13" w:rsidRPr="00B46E13">
              <w:rPr>
                <w:rFonts w:asciiTheme="majorHAnsi" w:hAnsiTheme="majorHAnsi" w:cstheme="majorHAnsi"/>
              </w:rPr>
              <w:t>. In contrast to a termination, the service provider will not receive any payment for honouring the trade because it will be expected to continue recovering the charges from the seller under the terms of the primary facility agreement</w:t>
            </w:r>
            <w:r w:rsidRPr="00B46E13">
              <w:rPr>
                <w:rFonts w:asciiTheme="majorHAnsi" w:hAnsiTheme="majorHAnsi" w:cstheme="majorHAnsi"/>
              </w:rPr>
              <w:t>.</w:t>
            </w:r>
          </w:p>
          <w:p w:rsidR="00D30678" w:rsidRPr="00C37D44" w:rsidRDefault="00D30678" w:rsidP="0064242F">
            <w:pPr>
              <w:pStyle w:val="TableBullet1"/>
              <w:keepNext/>
              <w:numPr>
                <w:ilvl w:val="0"/>
                <w:numId w:val="41"/>
              </w:numPr>
              <w:rPr>
                <w:rFonts w:asciiTheme="majorHAnsi" w:hAnsiTheme="majorHAnsi" w:cstheme="majorHAnsi"/>
                <w:szCs w:val="18"/>
              </w:rPr>
            </w:pPr>
            <w:r w:rsidRPr="00C37D44">
              <w:rPr>
                <w:rFonts w:asciiTheme="majorHAnsi" w:hAnsiTheme="majorHAnsi" w:cstheme="majorHAnsi"/>
                <w:szCs w:val="18"/>
              </w:rPr>
              <w:t xml:space="preserve">The seller’s facility agreement does not provide for the services that have been sold: In this case, the arrangements in the Capacity Transfer and Auction Procedures will give the seller a short period of time to rectify the position. If it cannot be rectified, the trade will be cancelled, and the buyer(s) compensated </w:t>
            </w:r>
            <w:r w:rsidR="005817B4">
              <w:rPr>
                <w:rFonts w:asciiTheme="majorHAnsi" w:hAnsiTheme="majorHAnsi" w:cstheme="majorHAnsi"/>
                <w:szCs w:val="18"/>
              </w:rPr>
              <w:t>under the delivery failure arrangements in the Exchange Agreement</w:t>
            </w:r>
            <w:r w:rsidRPr="00C37D44">
              <w:rPr>
                <w:rFonts w:asciiTheme="majorHAnsi" w:hAnsiTheme="majorHAnsi" w:cstheme="majorHAnsi"/>
                <w:szCs w:val="18"/>
              </w:rPr>
              <w:t>. Because individual counterparties will not be known, if a trade is cancelled all secondary shippers’ capacity would be pro-rated down. In addition to this measure, exchange members will be prohibited from short-selling transportation capacity</w:t>
            </w:r>
            <w:r w:rsidR="00B46E13">
              <w:rPr>
                <w:rFonts w:asciiTheme="majorHAnsi" w:hAnsiTheme="majorHAnsi" w:cstheme="majorHAnsi"/>
                <w:szCs w:val="18"/>
              </w:rPr>
              <w:t xml:space="preserve">. When </w:t>
            </w:r>
            <w:r w:rsidRPr="00C37D44">
              <w:rPr>
                <w:rFonts w:asciiTheme="majorHAnsi" w:hAnsiTheme="majorHAnsi" w:cstheme="majorHAnsi"/>
                <w:szCs w:val="18"/>
              </w:rPr>
              <w:t xml:space="preserve">coupled with the prudential controls in the GSH, </w:t>
            </w:r>
            <w:r w:rsidR="00B46E13">
              <w:rPr>
                <w:rFonts w:asciiTheme="majorHAnsi" w:hAnsiTheme="majorHAnsi" w:cstheme="majorHAnsi"/>
                <w:szCs w:val="18"/>
              </w:rPr>
              <w:t xml:space="preserve">these provisions </w:t>
            </w:r>
            <w:r w:rsidRPr="00C37D44">
              <w:rPr>
                <w:rFonts w:asciiTheme="majorHAnsi" w:hAnsiTheme="majorHAnsi" w:cstheme="majorHAnsi"/>
                <w:szCs w:val="18"/>
              </w:rPr>
              <w:t xml:space="preserve">should discourage any uncovered speculative trading. </w:t>
            </w:r>
          </w:p>
        </w:tc>
      </w:tr>
    </w:tbl>
    <w:p w:rsidR="00D30678" w:rsidRPr="00C37D44" w:rsidRDefault="00D30678" w:rsidP="00D30678">
      <w:pPr>
        <w:pStyle w:val="AppendixHeading2"/>
        <w:numPr>
          <w:ilvl w:val="0"/>
          <w:numId w:val="0"/>
        </w:numPr>
        <w:ind w:left="851"/>
        <w:rPr>
          <w:rFonts w:cstheme="majorHAnsi"/>
        </w:rPr>
        <w:sectPr w:rsidR="00D30678" w:rsidRPr="00C37D44" w:rsidSect="00F25C7A">
          <w:headerReference w:type="default" r:id="rId21"/>
          <w:footerReference w:type="default" r:id="rId22"/>
          <w:pgSz w:w="16839" w:h="11907" w:orient="landscape" w:code="9"/>
          <w:pgMar w:top="1701" w:right="1418" w:bottom="851" w:left="1701" w:header="425" w:footer="397" w:gutter="0"/>
          <w:cols w:space="708"/>
          <w:docGrid w:linePitch="360"/>
        </w:sectPr>
      </w:pPr>
    </w:p>
    <w:p w:rsidR="00D30678" w:rsidRPr="00C37D44" w:rsidRDefault="00D30678" w:rsidP="00D30678">
      <w:pPr>
        <w:pStyle w:val="Caption"/>
        <w:spacing w:before="0" w:after="0"/>
        <w:rPr>
          <w:rFonts w:asciiTheme="majorHAnsi" w:hAnsiTheme="majorHAnsi" w:cstheme="majorHAnsi"/>
        </w:rPr>
      </w:pPr>
      <w:bookmarkStart w:id="22" w:name="_Ref508819772"/>
      <w:r w:rsidRPr="00C37D44">
        <w:rPr>
          <w:rFonts w:asciiTheme="majorHAnsi" w:hAnsiTheme="majorHAnsi" w:cstheme="majorHAnsi"/>
        </w:rPr>
        <w:lastRenderedPageBreak/>
        <w:t>Table A.</w:t>
      </w:r>
      <w:bookmarkEnd w:id="22"/>
      <w:r w:rsidRPr="00C37D44">
        <w:rPr>
          <w:rFonts w:asciiTheme="majorHAnsi" w:hAnsiTheme="majorHAnsi" w:cstheme="majorHAnsi"/>
        </w:rPr>
        <w:t>3: Final design of the day-ahead auction</w:t>
      </w:r>
    </w:p>
    <w:tbl>
      <w:tblPr>
        <w:tblStyle w:val="TableGrid"/>
        <w:tblW w:w="14176" w:type="dxa"/>
        <w:tblInd w:w="-284" w:type="dxa"/>
        <w:tblLook w:val="04A0" w:firstRow="1" w:lastRow="0" w:firstColumn="1" w:lastColumn="0" w:noHBand="0" w:noVBand="1"/>
        <w:tblCaption w:val="Table 5.1: Design of the day-ahead auction"/>
        <w:tblDescription w:val="Table outlining the design of the day-ahead auction"/>
      </w:tblPr>
      <w:tblGrid>
        <w:gridCol w:w="365"/>
        <w:gridCol w:w="1421"/>
        <w:gridCol w:w="12390"/>
      </w:tblGrid>
      <w:tr w:rsidR="00C37D44" w:rsidRPr="00C37D44" w:rsidTr="00535A2E">
        <w:trPr>
          <w:cnfStyle w:val="100000000000" w:firstRow="1" w:lastRow="0" w:firstColumn="0" w:lastColumn="0" w:oddVBand="0" w:evenVBand="0" w:oddHBand="0" w:evenHBand="0" w:firstRowFirstColumn="0" w:firstRowLastColumn="0" w:lastRowFirstColumn="0" w:lastRowLastColumn="0"/>
          <w:tblHeader/>
        </w:trPr>
        <w:tc>
          <w:tcPr>
            <w:tcW w:w="1786" w:type="dxa"/>
            <w:gridSpan w:val="2"/>
            <w:tcBorders>
              <w:top w:val="single" w:sz="4" w:space="0" w:color="auto"/>
              <w:left w:val="nil"/>
              <w:bottom w:val="single" w:sz="4" w:space="0" w:color="auto"/>
              <w:right w:val="single" w:sz="4" w:space="0" w:color="auto"/>
            </w:tcBorders>
            <w:shd w:val="clear" w:color="auto" w:fill="0099CC"/>
            <w:hideMark/>
          </w:tcPr>
          <w:p w:rsidR="00D30678" w:rsidRPr="00C37D44" w:rsidRDefault="00D30678" w:rsidP="00B46E13">
            <w:pPr>
              <w:pStyle w:val="BodyText"/>
              <w:spacing w:before="40" w:after="20"/>
              <w:rPr>
                <w:rFonts w:asciiTheme="majorHAnsi" w:hAnsiTheme="majorHAnsi" w:cstheme="majorHAnsi"/>
                <w:b w:val="0"/>
                <w:color w:val="FFFFFF" w:themeColor="background1"/>
                <w:szCs w:val="18"/>
              </w:rPr>
            </w:pPr>
            <w:r w:rsidRPr="00C37D44">
              <w:rPr>
                <w:rFonts w:asciiTheme="majorHAnsi" w:hAnsiTheme="majorHAnsi" w:cstheme="majorHAnsi"/>
                <w:color w:val="FFFFFF" w:themeColor="background1"/>
                <w:szCs w:val="18"/>
              </w:rPr>
              <w:t>Design Element</w:t>
            </w:r>
          </w:p>
        </w:tc>
        <w:tc>
          <w:tcPr>
            <w:tcW w:w="12390" w:type="dxa"/>
            <w:tcBorders>
              <w:top w:val="single" w:sz="4" w:space="0" w:color="auto"/>
              <w:left w:val="single" w:sz="4" w:space="0" w:color="auto"/>
              <w:bottom w:val="single" w:sz="4" w:space="0" w:color="auto"/>
              <w:right w:val="nil"/>
            </w:tcBorders>
            <w:shd w:val="clear" w:color="auto" w:fill="0099CC"/>
            <w:hideMark/>
          </w:tcPr>
          <w:p w:rsidR="00D30678" w:rsidRPr="00C37D44" w:rsidRDefault="00D30678" w:rsidP="00B46E13">
            <w:pPr>
              <w:pStyle w:val="BodyText"/>
              <w:spacing w:before="40" w:after="20"/>
              <w:rPr>
                <w:rFonts w:asciiTheme="majorHAnsi" w:hAnsiTheme="majorHAnsi" w:cstheme="majorHAnsi"/>
                <w:b w:val="0"/>
                <w:color w:val="FFFFFF" w:themeColor="background1"/>
                <w:szCs w:val="18"/>
              </w:rPr>
            </w:pPr>
            <w:r w:rsidRPr="00C37D44">
              <w:rPr>
                <w:rFonts w:asciiTheme="majorHAnsi" w:hAnsiTheme="majorHAnsi" w:cstheme="majorHAnsi"/>
                <w:color w:val="FFFFFF" w:themeColor="background1"/>
                <w:szCs w:val="18"/>
              </w:rPr>
              <w:t>Detail</w:t>
            </w:r>
          </w:p>
        </w:tc>
      </w:tr>
      <w:tr w:rsidR="00723AC6" w:rsidRPr="00C37D44" w:rsidTr="00535A2E">
        <w:trPr>
          <w:trHeight w:val="285"/>
        </w:trPr>
        <w:tc>
          <w:tcPr>
            <w:tcW w:w="1786" w:type="dxa"/>
            <w:gridSpan w:val="2"/>
            <w:tcBorders>
              <w:top w:val="single" w:sz="4" w:space="0" w:color="auto"/>
              <w:left w:val="nil"/>
              <w:right w:val="single" w:sz="4" w:space="0" w:color="auto"/>
            </w:tcBorders>
            <w:shd w:val="clear" w:color="auto" w:fill="auto"/>
          </w:tcPr>
          <w:p w:rsidR="00723AC6" w:rsidRPr="00C37D44" w:rsidRDefault="00723AC6" w:rsidP="00B46E13">
            <w:pPr>
              <w:pStyle w:val="BodyText"/>
              <w:spacing w:before="40" w:after="20"/>
              <w:rPr>
                <w:rFonts w:asciiTheme="majorHAnsi" w:hAnsiTheme="majorHAnsi" w:cstheme="majorHAnsi"/>
                <w:b/>
                <w:szCs w:val="18"/>
              </w:rPr>
            </w:pPr>
            <w:bookmarkStart w:id="23" w:name="_Hlk516296460"/>
            <w:r w:rsidRPr="00723AC6">
              <w:rPr>
                <w:rFonts w:asciiTheme="majorHAnsi" w:hAnsiTheme="majorHAnsi" w:cstheme="majorHAnsi"/>
                <w:b/>
                <w:szCs w:val="18"/>
              </w:rPr>
              <w:t>Start date</w:t>
            </w:r>
            <w:r w:rsidR="00EE25BE">
              <w:rPr>
                <w:rFonts w:asciiTheme="majorHAnsi" w:hAnsiTheme="majorHAnsi" w:cstheme="majorHAnsi"/>
                <w:b/>
                <w:szCs w:val="18"/>
              </w:rPr>
              <w:t xml:space="preserve"> for the auction</w:t>
            </w:r>
            <w:r w:rsidR="00464273">
              <w:rPr>
                <w:rFonts w:asciiTheme="majorHAnsi" w:hAnsiTheme="majorHAnsi" w:cstheme="majorHAnsi"/>
                <w:b/>
                <w:szCs w:val="18"/>
              </w:rPr>
              <w:t xml:space="preserve"> (see Table 3 for NT start dates)</w:t>
            </w:r>
          </w:p>
        </w:tc>
        <w:tc>
          <w:tcPr>
            <w:tcW w:w="12390" w:type="dxa"/>
            <w:tcBorders>
              <w:top w:val="single" w:sz="4" w:space="0" w:color="auto"/>
              <w:left w:val="single" w:sz="4" w:space="0" w:color="auto"/>
              <w:right w:val="nil"/>
            </w:tcBorders>
            <w:shd w:val="clear" w:color="auto" w:fill="auto"/>
          </w:tcPr>
          <w:p w:rsidR="00723AC6" w:rsidRPr="00C37D44" w:rsidRDefault="00723AC6" w:rsidP="00B46E13">
            <w:pPr>
              <w:pStyle w:val="TableBullet1"/>
              <w:numPr>
                <w:ilvl w:val="0"/>
                <w:numId w:val="0"/>
              </w:numPr>
              <w:spacing w:before="40" w:after="20"/>
              <w:ind w:left="85"/>
              <w:rPr>
                <w:rFonts w:asciiTheme="majorHAnsi" w:hAnsiTheme="majorHAnsi" w:cstheme="majorHAnsi"/>
              </w:rPr>
            </w:pPr>
            <w:r>
              <w:rPr>
                <w:rFonts w:asciiTheme="majorHAnsi" w:hAnsiTheme="majorHAnsi" w:cstheme="majorHAnsi"/>
                <w:szCs w:val="18"/>
              </w:rPr>
              <w:t xml:space="preserve">The day-ahead auction </w:t>
            </w:r>
            <w:r w:rsidRPr="00723AC6">
              <w:rPr>
                <w:rFonts w:asciiTheme="majorHAnsi" w:hAnsiTheme="majorHAnsi" w:cstheme="majorHAnsi"/>
                <w:szCs w:val="18"/>
              </w:rPr>
              <w:t xml:space="preserve">will commence on </w:t>
            </w:r>
            <w:r w:rsidRPr="00723AC6">
              <w:rPr>
                <w:rFonts w:asciiTheme="majorHAnsi" w:hAnsiTheme="majorHAnsi" w:cstheme="majorHAnsi"/>
                <w:b/>
                <w:szCs w:val="18"/>
              </w:rPr>
              <w:t xml:space="preserve">1 March 2019 </w:t>
            </w:r>
            <w:r w:rsidRPr="00723AC6">
              <w:rPr>
                <w:rFonts w:asciiTheme="majorHAnsi" w:hAnsiTheme="majorHAnsi" w:cstheme="majorHAnsi"/>
                <w:szCs w:val="18"/>
              </w:rPr>
              <w:t xml:space="preserve">(or if the rules are made after 1 December 2018, then it will commence 60 business days after the rules are made). </w:t>
            </w:r>
            <w:r w:rsidR="00501EF4" w:rsidRPr="00723AC6">
              <w:rPr>
                <w:rFonts w:asciiTheme="majorHAnsi" w:hAnsiTheme="majorHAnsi" w:cstheme="majorHAnsi"/>
                <w:szCs w:val="18"/>
              </w:rPr>
              <w:t xml:space="preserve">If a </w:t>
            </w:r>
            <w:r w:rsidR="00501EF4">
              <w:rPr>
                <w:rFonts w:asciiTheme="majorHAnsi" w:hAnsiTheme="majorHAnsi" w:cstheme="majorHAnsi"/>
                <w:szCs w:val="18"/>
              </w:rPr>
              <w:t xml:space="preserve">facility later becomes subject to the </w:t>
            </w:r>
            <w:r w:rsidR="00B46E13">
              <w:rPr>
                <w:rFonts w:asciiTheme="majorHAnsi" w:hAnsiTheme="majorHAnsi" w:cstheme="majorHAnsi"/>
                <w:szCs w:val="18"/>
              </w:rPr>
              <w:t xml:space="preserve">auction </w:t>
            </w:r>
            <w:r w:rsidR="00501EF4">
              <w:rPr>
                <w:rFonts w:asciiTheme="majorHAnsi" w:hAnsiTheme="majorHAnsi" w:cstheme="majorHAnsi"/>
                <w:szCs w:val="18"/>
              </w:rPr>
              <w:t xml:space="preserve">(e.g. because it is </w:t>
            </w:r>
            <w:r w:rsidR="00501EF4" w:rsidRPr="00723AC6">
              <w:rPr>
                <w:rFonts w:asciiTheme="majorHAnsi" w:hAnsiTheme="majorHAnsi" w:cstheme="majorHAnsi"/>
                <w:szCs w:val="18"/>
              </w:rPr>
              <w:t xml:space="preserve">commissioned after the </w:t>
            </w:r>
            <w:r w:rsidR="00501EF4">
              <w:rPr>
                <w:rFonts w:asciiTheme="majorHAnsi" w:hAnsiTheme="majorHAnsi" w:cstheme="majorHAnsi"/>
                <w:szCs w:val="18"/>
              </w:rPr>
              <w:t xml:space="preserve">auction </w:t>
            </w:r>
            <w:r w:rsidR="00501EF4" w:rsidRPr="00723AC6">
              <w:rPr>
                <w:rFonts w:asciiTheme="majorHAnsi" w:hAnsiTheme="majorHAnsi" w:cstheme="majorHAnsi"/>
                <w:szCs w:val="18"/>
              </w:rPr>
              <w:t xml:space="preserve">commences or </w:t>
            </w:r>
            <w:r w:rsidR="00501EF4">
              <w:rPr>
                <w:rFonts w:asciiTheme="majorHAnsi" w:hAnsiTheme="majorHAnsi" w:cstheme="majorHAnsi"/>
                <w:szCs w:val="18"/>
              </w:rPr>
              <w:t xml:space="preserve">its </w:t>
            </w:r>
            <w:r w:rsidR="00501EF4" w:rsidRPr="00723AC6">
              <w:rPr>
                <w:rFonts w:asciiTheme="majorHAnsi" w:hAnsiTheme="majorHAnsi" w:cstheme="majorHAnsi"/>
                <w:szCs w:val="18"/>
              </w:rPr>
              <w:t>exemption is revoked</w:t>
            </w:r>
            <w:r w:rsidR="00501EF4">
              <w:rPr>
                <w:rFonts w:asciiTheme="majorHAnsi" w:hAnsiTheme="majorHAnsi" w:cstheme="majorHAnsi"/>
                <w:szCs w:val="18"/>
              </w:rPr>
              <w:t>),</w:t>
            </w:r>
            <w:r w:rsidR="00501EF4" w:rsidRPr="00723AC6">
              <w:rPr>
                <w:rFonts w:asciiTheme="majorHAnsi" w:hAnsiTheme="majorHAnsi" w:cstheme="majorHAnsi"/>
                <w:szCs w:val="18"/>
              </w:rPr>
              <w:t xml:space="preserve"> </w:t>
            </w:r>
            <w:r w:rsidR="00501EF4">
              <w:rPr>
                <w:rFonts w:asciiTheme="majorHAnsi" w:hAnsiTheme="majorHAnsi" w:cstheme="majorHAnsi"/>
                <w:szCs w:val="18"/>
              </w:rPr>
              <w:t xml:space="preserve">the auction </w:t>
            </w:r>
            <w:r w:rsidR="00B46E13">
              <w:rPr>
                <w:rFonts w:asciiTheme="majorHAnsi" w:hAnsiTheme="majorHAnsi" w:cstheme="majorHAnsi"/>
                <w:szCs w:val="18"/>
              </w:rPr>
              <w:t xml:space="preserve">will apply to the facility </w:t>
            </w:r>
            <w:r w:rsidR="00501EF4" w:rsidRPr="00723AC6">
              <w:rPr>
                <w:rFonts w:asciiTheme="majorHAnsi" w:hAnsiTheme="majorHAnsi" w:cstheme="majorHAnsi"/>
                <w:szCs w:val="18"/>
              </w:rPr>
              <w:t xml:space="preserve">120 business days after the date </w:t>
            </w:r>
            <w:r w:rsidR="00501EF4">
              <w:rPr>
                <w:rFonts w:asciiTheme="majorHAnsi" w:hAnsiTheme="majorHAnsi" w:cstheme="majorHAnsi"/>
                <w:szCs w:val="18"/>
              </w:rPr>
              <w:t>on which it becomes subject to the auction</w:t>
            </w:r>
            <w:r w:rsidR="00501EF4" w:rsidRPr="00723AC6">
              <w:rPr>
                <w:rFonts w:asciiTheme="majorHAnsi" w:hAnsiTheme="majorHAnsi" w:cstheme="majorHAnsi"/>
                <w:szCs w:val="18"/>
              </w:rPr>
              <w:t>.</w:t>
            </w:r>
          </w:p>
        </w:tc>
      </w:tr>
      <w:bookmarkEnd w:id="23"/>
      <w:tr w:rsidR="00C37D44" w:rsidRPr="00C37D44" w:rsidTr="00535A2E">
        <w:trPr>
          <w:cnfStyle w:val="000000010000" w:firstRow="0" w:lastRow="0" w:firstColumn="0" w:lastColumn="0" w:oddVBand="0" w:evenVBand="0" w:oddHBand="0" w:evenHBand="1" w:firstRowFirstColumn="0" w:firstRowLastColumn="0" w:lastRowFirstColumn="0" w:lastRowLastColumn="0"/>
          <w:trHeight w:val="104"/>
        </w:trPr>
        <w:tc>
          <w:tcPr>
            <w:tcW w:w="1786" w:type="dxa"/>
            <w:gridSpan w:val="2"/>
            <w:tcBorders>
              <w:top w:val="single" w:sz="4" w:space="0" w:color="auto"/>
              <w:left w:val="nil"/>
              <w:bottom w:val="single" w:sz="4" w:space="0" w:color="auto"/>
              <w:right w:val="single" w:sz="4" w:space="0" w:color="auto"/>
            </w:tcBorders>
            <w:shd w:val="clear" w:color="auto" w:fill="FFFFFF" w:themeFill="background1"/>
            <w:hideMark/>
          </w:tcPr>
          <w:p w:rsidR="00D30678" w:rsidRPr="00C37D44" w:rsidRDefault="00D30678" w:rsidP="00B46E13">
            <w:pPr>
              <w:pStyle w:val="BodyText"/>
              <w:spacing w:before="40" w:after="20"/>
              <w:rPr>
                <w:rFonts w:asciiTheme="majorHAnsi" w:hAnsiTheme="majorHAnsi" w:cstheme="majorHAnsi"/>
                <w:b/>
                <w:szCs w:val="18"/>
              </w:rPr>
            </w:pPr>
            <w:r w:rsidRPr="00C37D44">
              <w:rPr>
                <w:rFonts w:asciiTheme="majorHAnsi" w:hAnsiTheme="majorHAnsi" w:cstheme="majorHAnsi"/>
                <w:b/>
                <w:szCs w:val="18"/>
              </w:rPr>
              <w:t>Operation of auction</w:t>
            </w:r>
          </w:p>
        </w:tc>
        <w:tc>
          <w:tcPr>
            <w:tcW w:w="12390" w:type="dxa"/>
            <w:tcBorders>
              <w:top w:val="single" w:sz="4" w:space="0" w:color="auto"/>
              <w:left w:val="single" w:sz="4" w:space="0" w:color="auto"/>
              <w:right w:val="nil"/>
            </w:tcBorders>
            <w:shd w:val="clear" w:color="auto" w:fill="FFFFFF" w:themeFill="background1"/>
            <w:hideMark/>
          </w:tcPr>
          <w:p w:rsidR="00D30678" w:rsidRPr="00C37D44" w:rsidRDefault="00D30678" w:rsidP="00B46E13">
            <w:pPr>
              <w:pStyle w:val="TableBodyText"/>
              <w:spacing w:before="40" w:after="20"/>
              <w:rPr>
                <w:rFonts w:asciiTheme="majorHAnsi" w:hAnsiTheme="majorHAnsi" w:cstheme="majorHAnsi"/>
                <w:szCs w:val="18"/>
              </w:rPr>
            </w:pPr>
            <w:r w:rsidRPr="00C37D44">
              <w:rPr>
                <w:rFonts w:asciiTheme="majorHAnsi" w:hAnsiTheme="majorHAnsi" w:cstheme="majorHAnsi"/>
                <w:szCs w:val="18"/>
              </w:rPr>
              <w:t>AEMO will be responsible for establishing, operating and administering the auction</w:t>
            </w:r>
            <w:r w:rsidR="005817B4">
              <w:rPr>
                <w:rFonts w:asciiTheme="majorHAnsi" w:hAnsiTheme="majorHAnsi" w:cstheme="majorHAnsi"/>
                <w:szCs w:val="18"/>
              </w:rPr>
              <w:t xml:space="preserve">. The </w:t>
            </w:r>
            <w:r w:rsidRPr="00C37D44">
              <w:rPr>
                <w:rFonts w:asciiTheme="majorHAnsi" w:hAnsiTheme="majorHAnsi" w:cstheme="majorHAnsi"/>
              </w:rPr>
              <w:t xml:space="preserve">settlement, prudential and reporting frameworks </w:t>
            </w:r>
            <w:r w:rsidR="005817B4">
              <w:rPr>
                <w:rFonts w:asciiTheme="majorHAnsi" w:hAnsiTheme="majorHAnsi" w:cstheme="majorHAnsi"/>
              </w:rPr>
              <w:t xml:space="preserve">for the auction will be aligned with those used for the GSH and will allow a </w:t>
            </w:r>
            <w:r w:rsidRPr="00C37D44">
              <w:rPr>
                <w:rFonts w:asciiTheme="majorHAnsi" w:hAnsiTheme="majorHAnsi" w:cstheme="majorHAnsi"/>
              </w:rPr>
              <w:t>shipper</w:t>
            </w:r>
            <w:r w:rsidR="005817B4">
              <w:rPr>
                <w:rFonts w:asciiTheme="majorHAnsi" w:hAnsiTheme="majorHAnsi" w:cstheme="majorHAnsi"/>
              </w:rPr>
              <w:t xml:space="preserve"> </w:t>
            </w:r>
            <w:r w:rsidR="00464273">
              <w:rPr>
                <w:rFonts w:asciiTheme="majorHAnsi" w:hAnsiTheme="majorHAnsi" w:cstheme="majorHAnsi"/>
              </w:rPr>
              <w:t xml:space="preserve">using </w:t>
            </w:r>
            <w:r w:rsidR="005817B4">
              <w:rPr>
                <w:rFonts w:asciiTheme="majorHAnsi" w:hAnsiTheme="majorHAnsi" w:cstheme="majorHAnsi"/>
              </w:rPr>
              <w:t xml:space="preserve">both markets to aggregate </w:t>
            </w:r>
            <w:r w:rsidRPr="00C37D44">
              <w:rPr>
                <w:rFonts w:asciiTheme="majorHAnsi" w:hAnsiTheme="majorHAnsi" w:cstheme="majorHAnsi"/>
              </w:rPr>
              <w:t>prudential requirements.</w:t>
            </w:r>
          </w:p>
        </w:tc>
      </w:tr>
      <w:tr w:rsidR="00C37D44" w:rsidRPr="00C37D44" w:rsidTr="00535A2E">
        <w:trPr>
          <w:trHeight w:val="56"/>
        </w:trPr>
        <w:tc>
          <w:tcPr>
            <w:tcW w:w="1786" w:type="dxa"/>
            <w:gridSpan w:val="2"/>
            <w:tcBorders>
              <w:top w:val="single" w:sz="4" w:space="0" w:color="auto"/>
              <w:left w:val="nil"/>
              <w:bottom w:val="single" w:sz="4" w:space="0" w:color="auto"/>
              <w:right w:val="single" w:sz="4" w:space="0" w:color="auto"/>
            </w:tcBorders>
            <w:shd w:val="clear" w:color="auto" w:fill="FFFFFF" w:themeFill="background1"/>
          </w:tcPr>
          <w:p w:rsidR="00D30678" w:rsidRPr="0064242F" w:rsidRDefault="00D30678" w:rsidP="00B46E13">
            <w:pPr>
              <w:pStyle w:val="BodyText"/>
              <w:spacing w:before="40" w:after="20"/>
              <w:rPr>
                <w:rFonts w:asciiTheme="majorHAnsi" w:hAnsiTheme="majorHAnsi" w:cstheme="majorHAnsi"/>
                <w:b/>
                <w:szCs w:val="18"/>
              </w:rPr>
            </w:pPr>
            <w:r w:rsidRPr="0064242F">
              <w:rPr>
                <w:rFonts w:asciiTheme="majorHAnsi" w:hAnsiTheme="majorHAnsi" w:cstheme="majorHAnsi"/>
                <w:b/>
                <w:szCs w:val="18"/>
              </w:rPr>
              <w:t xml:space="preserve">Auction participation </w:t>
            </w:r>
          </w:p>
        </w:tc>
        <w:tc>
          <w:tcPr>
            <w:tcW w:w="12390" w:type="dxa"/>
            <w:tcBorders>
              <w:left w:val="single" w:sz="4" w:space="0" w:color="auto"/>
              <w:bottom w:val="single" w:sz="4" w:space="0" w:color="auto"/>
              <w:right w:val="nil"/>
            </w:tcBorders>
            <w:shd w:val="clear" w:color="auto" w:fill="FFFFFF" w:themeFill="background1"/>
          </w:tcPr>
          <w:p w:rsidR="00B46E13" w:rsidRDefault="00D30678" w:rsidP="00B46E13">
            <w:pPr>
              <w:pStyle w:val="TableBodyText"/>
              <w:spacing w:before="40" w:after="20"/>
              <w:rPr>
                <w:rFonts w:asciiTheme="majorHAnsi" w:hAnsiTheme="majorHAnsi" w:cstheme="majorHAnsi"/>
                <w:szCs w:val="18"/>
              </w:rPr>
            </w:pPr>
            <w:r w:rsidRPr="0064242F">
              <w:rPr>
                <w:rFonts w:asciiTheme="majorHAnsi" w:hAnsiTheme="majorHAnsi" w:cstheme="majorHAnsi"/>
                <w:szCs w:val="18"/>
              </w:rPr>
              <w:t>To participate in the auction shippers will be required to enter into an Auction Agreement with AEMO</w:t>
            </w:r>
            <w:r w:rsidR="005817B4">
              <w:rPr>
                <w:rFonts w:asciiTheme="majorHAnsi" w:hAnsiTheme="majorHAnsi" w:cstheme="majorHAnsi"/>
                <w:szCs w:val="18"/>
              </w:rPr>
              <w:t xml:space="preserve">. </w:t>
            </w:r>
          </w:p>
          <w:p w:rsidR="00D30678" w:rsidRPr="0064242F" w:rsidRDefault="005817B4" w:rsidP="00B46E13">
            <w:pPr>
              <w:pStyle w:val="TableBodyText"/>
              <w:spacing w:before="40" w:after="20"/>
              <w:rPr>
                <w:rFonts w:asciiTheme="majorHAnsi" w:hAnsiTheme="majorHAnsi" w:cstheme="majorHAnsi"/>
                <w:szCs w:val="18"/>
              </w:rPr>
            </w:pPr>
            <w:r>
              <w:rPr>
                <w:rFonts w:asciiTheme="majorHAnsi" w:hAnsiTheme="majorHAnsi" w:cstheme="majorHAnsi"/>
                <w:szCs w:val="18"/>
              </w:rPr>
              <w:t xml:space="preserve">To use the capacity procured through the auction, shippers will be required to </w:t>
            </w:r>
            <w:r w:rsidR="00D30678" w:rsidRPr="0064242F">
              <w:rPr>
                <w:rFonts w:asciiTheme="majorHAnsi" w:hAnsiTheme="majorHAnsi" w:cstheme="majorHAnsi"/>
                <w:szCs w:val="18"/>
              </w:rPr>
              <w:t xml:space="preserve">have an </w:t>
            </w:r>
            <w:r w:rsidR="00E246AB" w:rsidRPr="0064242F">
              <w:rPr>
                <w:rFonts w:asciiTheme="majorHAnsi" w:hAnsiTheme="majorHAnsi" w:cstheme="majorHAnsi"/>
                <w:szCs w:val="18"/>
              </w:rPr>
              <w:t xml:space="preserve">OTSA </w:t>
            </w:r>
            <w:r w:rsidR="00D30678" w:rsidRPr="0064242F">
              <w:rPr>
                <w:rFonts w:asciiTheme="majorHAnsi" w:hAnsiTheme="majorHAnsi" w:cstheme="majorHAnsi"/>
                <w:szCs w:val="18"/>
              </w:rPr>
              <w:t>in place with the relevant service provider.</w:t>
            </w:r>
          </w:p>
        </w:tc>
      </w:tr>
      <w:tr w:rsidR="00723AC6" w:rsidRPr="00C37D44" w:rsidTr="00535A2E">
        <w:trPr>
          <w:cnfStyle w:val="000000010000" w:firstRow="0" w:lastRow="0" w:firstColumn="0" w:lastColumn="0" w:oddVBand="0" w:evenVBand="0" w:oddHBand="0" w:evenHBand="1" w:firstRowFirstColumn="0" w:firstRowLastColumn="0" w:lastRowFirstColumn="0" w:lastRowLastColumn="0"/>
          <w:trHeight w:val="396"/>
        </w:trPr>
        <w:tc>
          <w:tcPr>
            <w:tcW w:w="365" w:type="dxa"/>
            <w:vMerge w:val="restart"/>
            <w:tcBorders>
              <w:top w:val="single" w:sz="4" w:space="0" w:color="auto"/>
              <w:left w:val="nil"/>
              <w:right w:val="single" w:sz="4" w:space="0" w:color="auto"/>
            </w:tcBorders>
            <w:shd w:val="clear" w:color="auto" w:fill="FFFFFF" w:themeFill="background1"/>
            <w:textDirection w:val="btLr"/>
            <w:hideMark/>
          </w:tcPr>
          <w:p w:rsidR="00723AC6" w:rsidRPr="0064242F" w:rsidRDefault="00723AC6" w:rsidP="00B46E13">
            <w:pPr>
              <w:pStyle w:val="BodyText"/>
              <w:spacing w:before="40" w:after="20"/>
              <w:jc w:val="center"/>
              <w:rPr>
                <w:rFonts w:asciiTheme="majorHAnsi" w:hAnsiTheme="majorHAnsi" w:cstheme="majorHAnsi"/>
                <w:b/>
                <w:szCs w:val="18"/>
              </w:rPr>
            </w:pPr>
            <w:bookmarkStart w:id="24" w:name="_Hlk516296494"/>
            <w:r w:rsidRPr="0064242F">
              <w:rPr>
                <w:rFonts w:asciiTheme="majorHAnsi" w:hAnsiTheme="majorHAnsi" w:cstheme="majorHAnsi"/>
                <w:b/>
                <w:szCs w:val="18"/>
              </w:rPr>
              <w:t>Auction services</w:t>
            </w:r>
          </w:p>
        </w:tc>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723AC6" w:rsidRPr="0064242F" w:rsidRDefault="00723AC6" w:rsidP="00B46E13">
            <w:pPr>
              <w:pStyle w:val="BodyText"/>
              <w:spacing w:before="40" w:after="20"/>
              <w:rPr>
                <w:rFonts w:asciiTheme="majorHAnsi" w:hAnsiTheme="majorHAnsi" w:cstheme="majorHAnsi"/>
                <w:b/>
                <w:szCs w:val="18"/>
              </w:rPr>
            </w:pPr>
            <w:r w:rsidRPr="0064242F">
              <w:rPr>
                <w:rFonts w:asciiTheme="majorHAnsi" w:hAnsiTheme="majorHAnsi" w:cstheme="majorHAnsi"/>
                <w:b/>
                <w:szCs w:val="18"/>
              </w:rPr>
              <w:t>Auction services</w:t>
            </w:r>
          </w:p>
        </w:tc>
        <w:tc>
          <w:tcPr>
            <w:tcW w:w="12390" w:type="dxa"/>
            <w:tcBorders>
              <w:top w:val="single" w:sz="4" w:space="0" w:color="auto"/>
              <w:left w:val="single" w:sz="4" w:space="0" w:color="auto"/>
              <w:bottom w:val="single" w:sz="4" w:space="0" w:color="auto"/>
              <w:right w:val="nil"/>
            </w:tcBorders>
            <w:shd w:val="clear" w:color="auto" w:fill="FFFFFF" w:themeFill="background1"/>
            <w:hideMark/>
          </w:tcPr>
          <w:p w:rsidR="00464273" w:rsidRPr="00464273" w:rsidRDefault="00723AC6" w:rsidP="00B46E13">
            <w:pPr>
              <w:pStyle w:val="TableBodyText"/>
              <w:spacing w:before="40" w:after="20"/>
              <w:rPr>
                <w:rFonts w:asciiTheme="majorHAnsi" w:hAnsiTheme="majorHAnsi" w:cstheme="majorHAnsi"/>
              </w:rPr>
            </w:pPr>
            <w:r w:rsidRPr="0064242F">
              <w:rPr>
                <w:rFonts w:asciiTheme="majorHAnsi" w:hAnsiTheme="majorHAnsi" w:cstheme="majorHAnsi"/>
              </w:rPr>
              <w:t>Pa</w:t>
            </w:r>
            <w:r w:rsidRPr="00464273">
              <w:rPr>
                <w:rFonts w:asciiTheme="majorHAnsi" w:hAnsiTheme="majorHAnsi" w:cstheme="majorHAnsi"/>
              </w:rPr>
              <w:t xml:space="preserve">rticipants will be able to use the auction to procure: </w:t>
            </w:r>
          </w:p>
          <w:p w:rsidR="00464273" w:rsidRPr="00464273" w:rsidRDefault="00723AC6" w:rsidP="00464273">
            <w:pPr>
              <w:pStyle w:val="TableBullet1"/>
              <w:rPr>
                <w:rFonts w:asciiTheme="majorHAnsi" w:hAnsiTheme="majorHAnsi" w:cstheme="majorHAnsi"/>
              </w:rPr>
            </w:pPr>
            <w:r w:rsidRPr="00464273">
              <w:rPr>
                <w:rFonts w:asciiTheme="majorHAnsi" w:hAnsiTheme="majorHAnsi" w:cstheme="majorHAnsi"/>
                <w:b/>
              </w:rPr>
              <w:t>forward haul</w:t>
            </w:r>
            <w:r w:rsidRPr="00464273">
              <w:rPr>
                <w:rFonts w:asciiTheme="majorHAnsi" w:hAnsiTheme="majorHAnsi" w:cstheme="majorHAnsi"/>
              </w:rPr>
              <w:t xml:space="preserve"> transportation services (with separate products offered in both directions on bi-directional</w:t>
            </w:r>
            <w:r w:rsidR="00B46E13" w:rsidRPr="00464273">
              <w:rPr>
                <w:rStyle w:val="FootnoteReference"/>
                <w:rFonts w:asciiTheme="majorHAnsi" w:hAnsiTheme="majorHAnsi" w:cstheme="majorHAnsi"/>
              </w:rPr>
              <w:footnoteReference w:id="22"/>
            </w:r>
            <w:r w:rsidRPr="00464273">
              <w:rPr>
                <w:rFonts w:asciiTheme="majorHAnsi" w:hAnsiTheme="majorHAnsi" w:cstheme="majorHAnsi"/>
              </w:rPr>
              <w:t xml:space="preserve"> pipelines); </w:t>
            </w:r>
          </w:p>
          <w:p w:rsidR="00464273" w:rsidRPr="00464273" w:rsidRDefault="00723AC6" w:rsidP="00464273">
            <w:pPr>
              <w:pStyle w:val="TableBullet1"/>
              <w:rPr>
                <w:rFonts w:asciiTheme="majorHAnsi" w:eastAsiaTheme="majorEastAsia" w:hAnsiTheme="majorHAnsi" w:cstheme="majorHAnsi"/>
              </w:rPr>
            </w:pPr>
            <w:r w:rsidRPr="00464273">
              <w:rPr>
                <w:rFonts w:asciiTheme="majorHAnsi" w:eastAsiaTheme="majorEastAsia" w:hAnsiTheme="majorHAnsi" w:cstheme="majorHAnsi"/>
                <w:b/>
              </w:rPr>
              <w:t>backhaul services</w:t>
            </w:r>
            <w:r w:rsidRPr="00464273">
              <w:rPr>
                <w:rFonts w:asciiTheme="majorHAnsi" w:eastAsiaTheme="majorEastAsia" w:hAnsiTheme="majorHAnsi" w:cstheme="majorHAnsi"/>
              </w:rPr>
              <w:t xml:space="preserve"> on </w:t>
            </w:r>
            <w:r w:rsidR="00464273" w:rsidRPr="00464273">
              <w:rPr>
                <w:rFonts w:asciiTheme="majorHAnsi" w:eastAsiaTheme="majorEastAsia" w:hAnsiTheme="majorHAnsi" w:cstheme="majorHAnsi"/>
              </w:rPr>
              <w:t xml:space="preserve">those </w:t>
            </w:r>
            <w:r w:rsidRPr="00464273">
              <w:rPr>
                <w:rFonts w:asciiTheme="majorHAnsi" w:eastAsiaTheme="majorEastAsia" w:hAnsiTheme="majorHAnsi" w:cstheme="majorHAnsi"/>
              </w:rPr>
              <w:t xml:space="preserve">single direction pipelines (or parts of pipelines) </w:t>
            </w:r>
            <w:r w:rsidR="00340E07">
              <w:rPr>
                <w:rFonts w:asciiTheme="majorHAnsi" w:eastAsiaTheme="majorEastAsia" w:hAnsiTheme="majorHAnsi" w:cstheme="majorHAnsi"/>
              </w:rPr>
              <w:t xml:space="preserve">on which </w:t>
            </w:r>
            <w:r w:rsidR="00464273" w:rsidRPr="00464273">
              <w:rPr>
                <w:rFonts w:asciiTheme="majorHAnsi" w:eastAsiaTheme="majorEastAsia" w:hAnsiTheme="majorHAnsi" w:cstheme="majorHAnsi"/>
              </w:rPr>
              <w:t xml:space="preserve">AEMO specifies backhaul service points; </w:t>
            </w:r>
            <w:r w:rsidRPr="00464273">
              <w:rPr>
                <w:rFonts w:asciiTheme="majorHAnsi" w:eastAsiaTheme="majorEastAsia" w:hAnsiTheme="majorHAnsi" w:cstheme="majorHAnsi"/>
              </w:rPr>
              <w:t xml:space="preserve">and </w:t>
            </w:r>
          </w:p>
          <w:p w:rsidR="00723AC6" w:rsidRPr="0064242F" w:rsidRDefault="00723AC6" w:rsidP="00464273">
            <w:pPr>
              <w:pStyle w:val="TableBullet1"/>
            </w:pPr>
            <w:r w:rsidRPr="00464273">
              <w:rPr>
                <w:rFonts w:asciiTheme="majorHAnsi" w:hAnsiTheme="majorHAnsi" w:cstheme="majorHAnsi"/>
                <w:b/>
              </w:rPr>
              <w:t>stand-alone compression services</w:t>
            </w:r>
            <w:r w:rsidRPr="00464273">
              <w:rPr>
                <w:rFonts w:asciiTheme="majorHAnsi" w:hAnsiTheme="majorHAnsi" w:cstheme="majorHAnsi"/>
              </w:rPr>
              <w:t>.</w:t>
            </w:r>
          </w:p>
        </w:tc>
      </w:tr>
      <w:tr w:rsidR="00535A2E" w:rsidRPr="00C37D44" w:rsidTr="00535A2E">
        <w:trPr>
          <w:trHeight w:val="1392"/>
        </w:trPr>
        <w:tc>
          <w:tcPr>
            <w:tcW w:w="365" w:type="dxa"/>
            <w:vMerge/>
            <w:tcBorders>
              <w:left w:val="nil"/>
              <w:right w:val="single" w:sz="4" w:space="0" w:color="auto"/>
            </w:tcBorders>
            <w:shd w:val="clear" w:color="auto" w:fill="FFFFFF" w:themeFill="background1"/>
            <w:vAlign w:val="center"/>
            <w:hideMark/>
          </w:tcPr>
          <w:p w:rsidR="00535A2E" w:rsidRPr="0064242F" w:rsidRDefault="00535A2E" w:rsidP="00B46E13">
            <w:pPr>
              <w:spacing w:before="40" w:after="20"/>
              <w:rPr>
                <w:rFonts w:asciiTheme="majorHAnsi" w:hAnsiTheme="majorHAnsi" w:cstheme="majorHAnsi"/>
                <w:b/>
                <w:szCs w:val="18"/>
              </w:rPr>
            </w:pPr>
            <w:bookmarkStart w:id="25" w:name="_Hlk516296477"/>
          </w:p>
        </w:tc>
        <w:tc>
          <w:tcPr>
            <w:tcW w:w="1421" w:type="dxa"/>
            <w:vMerge w:val="restart"/>
            <w:tcBorders>
              <w:top w:val="single" w:sz="4" w:space="0" w:color="auto"/>
              <w:left w:val="single" w:sz="4" w:space="0" w:color="auto"/>
              <w:right w:val="single" w:sz="4" w:space="0" w:color="auto"/>
            </w:tcBorders>
            <w:shd w:val="clear" w:color="auto" w:fill="FFFFFF" w:themeFill="background1"/>
            <w:hideMark/>
          </w:tcPr>
          <w:p w:rsidR="00535A2E" w:rsidRPr="0064242F" w:rsidRDefault="00535A2E" w:rsidP="00B46E13">
            <w:pPr>
              <w:pStyle w:val="BodyText"/>
              <w:spacing w:before="40" w:after="20"/>
              <w:rPr>
                <w:rFonts w:asciiTheme="majorHAnsi" w:hAnsiTheme="majorHAnsi" w:cstheme="majorHAnsi"/>
                <w:b/>
                <w:szCs w:val="18"/>
              </w:rPr>
            </w:pPr>
            <w:r w:rsidRPr="0064242F">
              <w:rPr>
                <w:rFonts w:asciiTheme="majorHAnsi" w:hAnsiTheme="majorHAnsi" w:cstheme="majorHAnsi"/>
                <w:b/>
                <w:szCs w:val="18"/>
              </w:rPr>
              <w:t>Auction service priorities</w:t>
            </w:r>
          </w:p>
        </w:tc>
        <w:tc>
          <w:tcPr>
            <w:tcW w:w="12390" w:type="dxa"/>
            <w:tcBorders>
              <w:top w:val="single" w:sz="4" w:space="0" w:color="auto"/>
              <w:left w:val="single" w:sz="4" w:space="0" w:color="auto"/>
              <w:bottom w:val="single" w:sz="4" w:space="0" w:color="auto"/>
              <w:right w:val="nil"/>
            </w:tcBorders>
            <w:shd w:val="clear" w:color="auto" w:fill="FFFFFF" w:themeFill="background1"/>
            <w:hideMark/>
          </w:tcPr>
          <w:p w:rsidR="00535A2E" w:rsidRPr="00723AC6" w:rsidRDefault="00535A2E" w:rsidP="00B46E13">
            <w:pPr>
              <w:spacing w:before="40" w:after="20"/>
              <w:rPr>
                <w:rFonts w:ascii="Arial" w:hAnsi="Arial" w:cs="Arial"/>
                <w:szCs w:val="18"/>
              </w:rPr>
            </w:pPr>
            <w:r w:rsidRPr="00723AC6">
              <w:rPr>
                <w:rFonts w:asciiTheme="majorHAnsi" w:hAnsiTheme="majorHAnsi" w:cstheme="majorHAnsi"/>
                <w:b/>
                <w:iCs/>
                <w:lang w:eastAsia="en-US"/>
              </w:rPr>
              <w:t>Classification of services:</w:t>
            </w:r>
            <w:r w:rsidRPr="00723AC6">
              <w:rPr>
                <w:rFonts w:asciiTheme="majorHAnsi" w:hAnsiTheme="majorHAnsi" w:cstheme="majorHAnsi"/>
                <w:iCs/>
                <w:lang w:eastAsia="en-US"/>
              </w:rPr>
              <w:t xml:space="preserve"> </w:t>
            </w:r>
            <w:r>
              <w:rPr>
                <w:rFonts w:asciiTheme="majorHAnsi" w:hAnsiTheme="majorHAnsi" w:cstheme="majorHAnsi"/>
                <w:iCs/>
                <w:lang w:eastAsia="en-US"/>
              </w:rPr>
              <w:t xml:space="preserve">Auction facility operators </w:t>
            </w:r>
            <w:r w:rsidRPr="00723AC6">
              <w:rPr>
                <w:rFonts w:asciiTheme="majorHAnsi" w:hAnsiTheme="majorHAnsi" w:cstheme="majorHAnsi"/>
                <w:iCs/>
                <w:lang w:eastAsia="en-US"/>
              </w:rPr>
              <w:t xml:space="preserve">will be required to classify each of their services </w:t>
            </w:r>
            <w:r>
              <w:rPr>
                <w:rFonts w:asciiTheme="majorHAnsi" w:hAnsiTheme="majorHAnsi" w:cstheme="majorHAnsi"/>
                <w:iCs/>
                <w:lang w:eastAsia="en-US"/>
              </w:rPr>
              <w:t xml:space="preserve">(excluding auction services) </w:t>
            </w:r>
            <w:r w:rsidRPr="00723AC6">
              <w:rPr>
                <w:rFonts w:asciiTheme="majorHAnsi" w:hAnsiTheme="majorHAnsi" w:cstheme="majorHAnsi"/>
                <w:iCs/>
                <w:lang w:eastAsia="en-US"/>
              </w:rPr>
              <w:t xml:space="preserve">as being either a firm service or a lower tier service (having regard to the definitions in the NGR) and to use the same classification for the purposes of determining auction quantity limits and </w:t>
            </w:r>
            <w:r>
              <w:rPr>
                <w:rFonts w:asciiTheme="majorHAnsi" w:hAnsiTheme="majorHAnsi" w:cstheme="majorHAnsi"/>
                <w:iCs/>
                <w:lang w:eastAsia="en-US"/>
              </w:rPr>
              <w:t xml:space="preserve">complying with the </w:t>
            </w:r>
            <w:r w:rsidRPr="00723AC6">
              <w:rPr>
                <w:rFonts w:asciiTheme="majorHAnsi" w:hAnsiTheme="majorHAnsi" w:cstheme="majorHAnsi"/>
                <w:iCs/>
                <w:lang w:eastAsia="en-US"/>
              </w:rPr>
              <w:t xml:space="preserve">auction service priority principles. Where there is some doubt about whether a service should be classified as a firm or lower tier service, service providers will be required to adopt a classification that is reasonable, having regard to the definitions of firm and lower tier services in the NGR and reasonable commercial practice in the industry. If requested by the </w:t>
            </w:r>
            <w:r w:rsidRPr="00723AC6">
              <w:rPr>
                <w:rFonts w:asciiTheme="majorHAnsi" w:hAnsiTheme="majorHAnsi" w:cstheme="majorHAnsi"/>
                <w:szCs w:val="18"/>
              </w:rPr>
              <w:t>AER, a</w:t>
            </w:r>
            <w:r>
              <w:rPr>
                <w:rFonts w:asciiTheme="majorHAnsi" w:hAnsiTheme="majorHAnsi" w:cstheme="majorHAnsi"/>
                <w:szCs w:val="18"/>
              </w:rPr>
              <w:t>n auction facility operator</w:t>
            </w:r>
            <w:r w:rsidRPr="00723AC6">
              <w:rPr>
                <w:rFonts w:asciiTheme="majorHAnsi" w:hAnsiTheme="majorHAnsi" w:cstheme="majorHAnsi"/>
                <w:szCs w:val="18"/>
              </w:rPr>
              <w:t xml:space="preserve"> must </w:t>
            </w:r>
            <w:r>
              <w:rPr>
                <w:rFonts w:asciiTheme="majorHAnsi" w:hAnsiTheme="majorHAnsi" w:cstheme="majorHAnsi"/>
                <w:szCs w:val="18"/>
              </w:rPr>
              <w:t xml:space="preserve">give </w:t>
            </w:r>
            <w:r w:rsidRPr="00723AC6">
              <w:rPr>
                <w:rFonts w:asciiTheme="majorHAnsi" w:hAnsiTheme="majorHAnsi" w:cstheme="majorHAnsi"/>
                <w:szCs w:val="18"/>
              </w:rPr>
              <w:t xml:space="preserve">the AER the information reasonably required </w:t>
            </w:r>
            <w:r>
              <w:rPr>
                <w:rFonts w:asciiTheme="majorHAnsi" w:hAnsiTheme="majorHAnsi" w:cstheme="majorHAnsi"/>
                <w:szCs w:val="18"/>
              </w:rPr>
              <w:t xml:space="preserve">by the AER </w:t>
            </w:r>
            <w:r w:rsidRPr="00723AC6">
              <w:rPr>
                <w:rFonts w:asciiTheme="majorHAnsi" w:hAnsiTheme="majorHAnsi" w:cstheme="majorHAnsi"/>
                <w:szCs w:val="18"/>
              </w:rPr>
              <w:t xml:space="preserve">to </w:t>
            </w:r>
            <w:r w:rsidR="00464273">
              <w:rPr>
                <w:rFonts w:asciiTheme="majorHAnsi" w:hAnsiTheme="majorHAnsi" w:cstheme="majorHAnsi"/>
                <w:szCs w:val="18"/>
              </w:rPr>
              <w:t>assess</w:t>
            </w:r>
            <w:r w:rsidRPr="00723AC6">
              <w:rPr>
                <w:rFonts w:asciiTheme="majorHAnsi" w:hAnsiTheme="majorHAnsi" w:cstheme="majorHAnsi"/>
                <w:szCs w:val="18"/>
              </w:rPr>
              <w:t xml:space="preserve"> the classification of the service. </w:t>
            </w:r>
          </w:p>
        </w:tc>
      </w:tr>
      <w:tr w:rsidR="00535A2E" w:rsidRPr="00C37D44" w:rsidTr="00535A2E">
        <w:trPr>
          <w:cnfStyle w:val="000000010000" w:firstRow="0" w:lastRow="0" w:firstColumn="0" w:lastColumn="0" w:oddVBand="0" w:evenVBand="0" w:oddHBand="0" w:evenHBand="1" w:firstRowFirstColumn="0" w:firstRowLastColumn="0" w:lastRowFirstColumn="0" w:lastRowLastColumn="0"/>
          <w:trHeight w:val="245"/>
        </w:trPr>
        <w:tc>
          <w:tcPr>
            <w:tcW w:w="365" w:type="dxa"/>
            <w:vMerge/>
            <w:tcBorders>
              <w:left w:val="nil"/>
              <w:right w:val="single" w:sz="4" w:space="0" w:color="auto"/>
            </w:tcBorders>
            <w:shd w:val="clear" w:color="auto" w:fill="FFFFFF" w:themeFill="background1"/>
            <w:vAlign w:val="center"/>
          </w:tcPr>
          <w:p w:rsidR="00535A2E" w:rsidRPr="0064242F" w:rsidRDefault="00535A2E" w:rsidP="00B46E13">
            <w:pPr>
              <w:spacing w:before="40" w:after="20"/>
              <w:rPr>
                <w:rFonts w:asciiTheme="majorHAnsi" w:hAnsiTheme="majorHAnsi" w:cstheme="majorHAnsi"/>
                <w:b/>
                <w:szCs w:val="18"/>
              </w:rPr>
            </w:pPr>
          </w:p>
        </w:tc>
        <w:tc>
          <w:tcPr>
            <w:tcW w:w="1421" w:type="dxa"/>
            <w:vMerge/>
            <w:tcBorders>
              <w:left w:val="single" w:sz="4" w:space="0" w:color="auto"/>
              <w:right w:val="single" w:sz="4" w:space="0" w:color="auto"/>
            </w:tcBorders>
            <w:shd w:val="clear" w:color="auto" w:fill="FFFFFF" w:themeFill="background1"/>
          </w:tcPr>
          <w:p w:rsidR="00535A2E" w:rsidRPr="0064242F" w:rsidRDefault="00535A2E" w:rsidP="00B46E13">
            <w:pPr>
              <w:pStyle w:val="BodyText"/>
              <w:spacing w:before="40" w:after="20"/>
              <w:rPr>
                <w:rFonts w:asciiTheme="majorHAnsi" w:hAnsiTheme="majorHAnsi" w:cstheme="majorHAnsi"/>
                <w:b/>
                <w:szCs w:val="18"/>
              </w:rPr>
            </w:pPr>
          </w:p>
        </w:tc>
        <w:tc>
          <w:tcPr>
            <w:tcW w:w="12390" w:type="dxa"/>
            <w:tcBorders>
              <w:top w:val="single" w:sz="4" w:space="0" w:color="auto"/>
              <w:left w:val="single" w:sz="4" w:space="0" w:color="auto"/>
              <w:bottom w:val="single" w:sz="4" w:space="0" w:color="auto"/>
              <w:right w:val="nil"/>
            </w:tcBorders>
            <w:shd w:val="clear" w:color="auto" w:fill="FFFFFF" w:themeFill="background1"/>
          </w:tcPr>
          <w:p w:rsidR="00535A2E" w:rsidRPr="0064242F" w:rsidRDefault="00535A2E" w:rsidP="00B46E13">
            <w:pPr>
              <w:pStyle w:val="TableBullet1"/>
              <w:numPr>
                <w:ilvl w:val="0"/>
                <w:numId w:val="0"/>
              </w:numPr>
              <w:spacing w:before="40" w:after="20"/>
              <w:ind w:left="312" w:hanging="227"/>
              <w:rPr>
                <w:rFonts w:asciiTheme="majorHAnsi" w:hAnsiTheme="majorHAnsi" w:cstheme="majorHAnsi"/>
              </w:rPr>
            </w:pPr>
            <w:r w:rsidRPr="0064242F">
              <w:rPr>
                <w:rFonts w:asciiTheme="majorHAnsi" w:hAnsiTheme="majorHAnsi" w:cstheme="majorHAnsi"/>
                <w:b/>
              </w:rPr>
              <w:t xml:space="preserve">Priority principles: </w:t>
            </w:r>
            <w:r w:rsidRPr="0064242F">
              <w:rPr>
                <w:rFonts w:asciiTheme="majorHAnsi" w:hAnsiTheme="majorHAnsi" w:cstheme="majorHAnsi"/>
              </w:rPr>
              <w:t>Auction services will be subject to the following priority principles:</w:t>
            </w:r>
          </w:p>
          <w:p w:rsidR="00535A2E" w:rsidRPr="0064242F" w:rsidRDefault="00535A2E" w:rsidP="00B46E13">
            <w:pPr>
              <w:pStyle w:val="TableBullet1"/>
              <w:numPr>
                <w:ilvl w:val="0"/>
                <w:numId w:val="41"/>
              </w:numPr>
              <w:spacing w:before="40" w:after="20"/>
              <w:rPr>
                <w:rFonts w:asciiTheme="majorHAnsi" w:hAnsiTheme="majorHAnsi" w:cstheme="majorHAnsi"/>
                <w:szCs w:val="18"/>
              </w:rPr>
            </w:pPr>
            <w:r w:rsidRPr="0064242F">
              <w:rPr>
                <w:rFonts w:asciiTheme="majorHAnsi" w:hAnsiTheme="majorHAnsi" w:cstheme="majorHAnsi"/>
                <w:szCs w:val="18"/>
              </w:rPr>
              <w:t xml:space="preserve">For contracted capacity, auction services will rank below firm </w:t>
            </w:r>
            <w:r>
              <w:rPr>
                <w:rFonts w:asciiTheme="majorHAnsi" w:hAnsiTheme="majorHAnsi" w:cstheme="majorHAnsi"/>
                <w:szCs w:val="18"/>
              </w:rPr>
              <w:t xml:space="preserve">transportation </w:t>
            </w:r>
            <w:r w:rsidR="00464273">
              <w:rPr>
                <w:rFonts w:asciiTheme="majorHAnsi" w:hAnsiTheme="majorHAnsi" w:cstheme="majorHAnsi"/>
                <w:szCs w:val="18"/>
              </w:rPr>
              <w:t xml:space="preserve">services </w:t>
            </w:r>
            <w:r w:rsidRPr="0064242F">
              <w:rPr>
                <w:rFonts w:asciiTheme="majorHAnsi" w:hAnsiTheme="majorHAnsi" w:cstheme="majorHAnsi"/>
                <w:szCs w:val="18"/>
              </w:rPr>
              <w:t>and renomination rights</w:t>
            </w:r>
            <w:r>
              <w:rPr>
                <w:rStyle w:val="FootnoteReference"/>
                <w:rFonts w:asciiTheme="majorHAnsi" w:hAnsiTheme="majorHAnsi" w:cstheme="majorHAnsi"/>
                <w:szCs w:val="18"/>
              </w:rPr>
              <w:footnoteReference w:id="23"/>
            </w:r>
            <w:r w:rsidRPr="0064242F">
              <w:rPr>
                <w:rFonts w:asciiTheme="majorHAnsi" w:hAnsiTheme="majorHAnsi" w:cstheme="majorHAnsi"/>
                <w:szCs w:val="18"/>
              </w:rPr>
              <w:t xml:space="preserve"> held by firm capacity holders, but above all lower tier </w:t>
            </w:r>
            <w:r w:rsidR="00464273">
              <w:rPr>
                <w:rFonts w:asciiTheme="majorHAnsi" w:hAnsiTheme="majorHAnsi" w:cstheme="majorHAnsi"/>
                <w:szCs w:val="18"/>
              </w:rPr>
              <w:t>services</w:t>
            </w:r>
            <w:r w:rsidRPr="0064242F">
              <w:rPr>
                <w:rFonts w:asciiTheme="majorHAnsi" w:hAnsiTheme="majorHAnsi" w:cstheme="majorHAnsi"/>
                <w:szCs w:val="18"/>
              </w:rPr>
              <w:t xml:space="preserve"> from a scheduling, curtailment and renomination perspective. </w:t>
            </w:r>
          </w:p>
          <w:p w:rsidR="00535A2E" w:rsidRPr="0064242F" w:rsidRDefault="00535A2E" w:rsidP="00B46E13">
            <w:pPr>
              <w:pStyle w:val="TableBullet1"/>
              <w:numPr>
                <w:ilvl w:val="0"/>
                <w:numId w:val="41"/>
              </w:numPr>
              <w:spacing w:before="40" w:after="20"/>
              <w:rPr>
                <w:rFonts w:asciiTheme="majorHAnsi" w:hAnsiTheme="majorHAnsi" w:cstheme="majorHAnsi"/>
                <w:szCs w:val="18"/>
              </w:rPr>
            </w:pPr>
            <w:r w:rsidRPr="0064242F">
              <w:rPr>
                <w:rFonts w:asciiTheme="majorHAnsi" w:hAnsiTheme="majorHAnsi" w:cstheme="majorHAnsi"/>
                <w:szCs w:val="18"/>
              </w:rPr>
              <w:t xml:space="preserve">If there is a more general shortfall in the facility’s capacity, which affects both the contracted and uncontracted capacity on a day (including in the case of backhaul, by reason of a reduction in net </w:t>
            </w:r>
            <w:r>
              <w:rPr>
                <w:rFonts w:asciiTheme="majorHAnsi" w:hAnsiTheme="majorHAnsi" w:cstheme="majorHAnsi"/>
                <w:szCs w:val="18"/>
              </w:rPr>
              <w:t xml:space="preserve">firm </w:t>
            </w:r>
            <w:r w:rsidRPr="0064242F">
              <w:rPr>
                <w:rFonts w:asciiTheme="majorHAnsi" w:hAnsiTheme="majorHAnsi" w:cstheme="majorHAnsi"/>
                <w:szCs w:val="18"/>
              </w:rPr>
              <w:t>forward haul flows), the auction service will be curtailed after lower tier services.</w:t>
            </w:r>
          </w:p>
          <w:p w:rsidR="00535A2E" w:rsidRDefault="00535A2E" w:rsidP="00B46E13">
            <w:pPr>
              <w:pStyle w:val="TableBodyText"/>
              <w:spacing w:before="40" w:after="20"/>
              <w:rPr>
                <w:rFonts w:asciiTheme="majorHAnsi" w:hAnsiTheme="majorHAnsi" w:cstheme="majorHAnsi"/>
                <w:color w:val="000000"/>
                <w:szCs w:val="18"/>
              </w:rPr>
            </w:pPr>
            <w:r w:rsidRPr="0064242F">
              <w:rPr>
                <w:rFonts w:asciiTheme="majorHAnsi" w:hAnsiTheme="majorHAnsi" w:cstheme="majorHAnsi"/>
                <w:color w:val="000000"/>
                <w:szCs w:val="18"/>
              </w:rPr>
              <w:t xml:space="preserve">After the auction, service providers will be able to sell any unused auction capacity on an interruptible basis, but these services will rank below the auction product from a curtailment and renominations right perspective. </w:t>
            </w:r>
          </w:p>
          <w:p w:rsidR="00535A2E" w:rsidRPr="00B46E13" w:rsidRDefault="00535A2E" w:rsidP="00B46E13">
            <w:pPr>
              <w:pStyle w:val="TableBodyText"/>
              <w:spacing w:before="40" w:after="20"/>
              <w:rPr>
                <w:rFonts w:asciiTheme="majorHAnsi" w:hAnsiTheme="majorHAnsi" w:cstheme="majorHAnsi"/>
              </w:rPr>
            </w:pPr>
            <w:r>
              <w:rPr>
                <w:rFonts w:asciiTheme="majorHAnsi" w:hAnsiTheme="majorHAnsi" w:cstheme="majorHAnsi"/>
              </w:rPr>
              <w:t xml:space="preserve">Auction facility operators </w:t>
            </w:r>
            <w:r w:rsidRPr="0064242F">
              <w:rPr>
                <w:rFonts w:asciiTheme="majorHAnsi" w:hAnsiTheme="majorHAnsi" w:cstheme="majorHAnsi"/>
              </w:rPr>
              <w:t xml:space="preserve">will be required to comply with these priority principles to the extent it is operationally and technically feasible to do so and will also be prohibited from scheduling lower tier services earlier than the auction service. </w:t>
            </w:r>
            <w:r>
              <w:rPr>
                <w:rFonts w:asciiTheme="majorHAnsi" w:hAnsiTheme="majorHAnsi" w:cstheme="majorHAnsi"/>
                <w:lang w:val="en-US"/>
              </w:rPr>
              <w:t xml:space="preserve">Auction facility operators </w:t>
            </w:r>
            <w:r w:rsidRPr="0064242F">
              <w:rPr>
                <w:rFonts w:asciiTheme="majorHAnsi" w:hAnsiTheme="majorHAnsi" w:cstheme="majorHAnsi"/>
                <w:lang w:val="en-US"/>
              </w:rPr>
              <w:t xml:space="preserve">will </w:t>
            </w:r>
            <w:r>
              <w:rPr>
                <w:rFonts w:asciiTheme="majorHAnsi" w:hAnsiTheme="majorHAnsi" w:cstheme="majorHAnsi"/>
                <w:lang w:val="en-US"/>
              </w:rPr>
              <w:t xml:space="preserve">also </w:t>
            </w:r>
            <w:r w:rsidRPr="0064242F">
              <w:rPr>
                <w:rFonts w:asciiTheme="majorHAnsi" w:hAnsiTheme="majorHAnsi" w:cstheme="majorHAnsi"/>
                <w:lang w:val="en-US"/>
              </w:rPr>
              <w:t>have a transitional immunity from civil monetary liability that may otherwise arise as a result of complying with these requirements or releasing contracted capacity into the auction.</w:t>
            </w:r>
          </w:p>
        </w:tc>
      </w:tr>
      <w:bookmarkEnd w:id="24"/>
      <w:bookmarkEnd w:id="25"/>
      <w:tr w:rsidR="00723AC6" w:rsidRPr="00C37D44" w:rsidTr="00535A2E">
        <w:trPr>
          <w:trHeight w:val="380"/>
        </w:trPr>
        <w:tc>
          <w:tcPr>
            <w:tcW w:w="365" w:type="dxa"/>
            <w:vMerge/>
            <w:tcBorders>
              <w:left w:val="nil"/>
              <w:right w:val="single" w:sz="4" w:space="0" w:color="auto"/>
            </w:tcBorders>
            <w:shd w:val="clear" w:color="auto" w:fill="FFFFFF" w:themeFill="background1"/>
            <w:vAlign w:val="center"/>
            <w:hideMark/>
          </w:tcPr>
          <w:p w:rsidR="00723AC6" w:rsidRPr="0064242F" w:rsidRDefault="00723AC6" w:rsidP="00B46E13">
            <w:pPr>
              <w:spacing w:before="40" w:after="20"/>
              <w:rPr>
                <w:rFonts w:asciiTheme="majorHAnsi" w:hAnsiTheme="majorHAnsi" w:cstheme="majorHAnsi"/>
                <w:b/>
                <w:szCs w:val="18"/>
              </w:rPr>
            </w:pPr>
          </w:p>
        </w:tc>
        <w:tc>
          <w:tcPr>
            <w:tcW w:w="1421" w:type="dxa"/>
            <w:tcBorders>
              <w:left w:val="single" w:sz="4" w:space="0" w:color="auto"/>
              <w:bottom w:val="single" w:sz="4" w:space="0" w:color="auto"/>
              <w:right w:val="single" w:sz="4" w:space="0" w:color="auto"/>
            </w:tcBorders>
            <w:shd w:val="clear" w:color="auto" w:fill="FFFFFF" w:themeFill="background1"/>
            <w:hideMark/>
          </w:tcPr>
          <w:p w:rsidR="00723AC6" w:rsidRPr="0064242F" w:rsidRDefault="00535A2E" w:rsidP="001522F8">
            <w:pPr>
              <w:pStyle w:val="BodyText"/>
              <w:spacing w:before="80" w:after="80"/>
              <w:rPr>
                <w:rFonts w:asciiTheme="majorHAnsi" w:hAnsiTheme="majorHAnsi" w:cstheme="majorHAnsi"/>
                <w:b/>
                <w:szCs w:val="18"/>
              </w:rPr>
            </w:pPr>
            <w:r>
              <w:rPr>
                <w:rFonts w:asciiTheme="majorHAnsi" w:hAnsiTheme="majorHAnsi" w:cstheme="majorHAnsi"/>
                <w:b/>
                <w:szCs w:val="18"/>
              </w:rPr>
              <w:t>G</w:t>
            </w:r>
            <w:r w:rsidRPr="0064242F">
              <w:rPr>
                <w:rFonts w:asciiTheme="majorHAnsi" w:hAnsiTheme="majorHAnsi" w:cstheme="majorHAnsi"/>
                <w:b/>
                <w:szCs w:val="18"/>
              </w:rPr>
              <w:t>randfathered rights</w:t>
            </w:r>
          </w:p>
        </w:tc>
        <w:tc>
          <w:tcPr>
            <w:tcW w:w="12390" w:type="dxa"/>
            <w:tcBorders>
              <w:top w:val="single" w:sz="4" w:space="0" w:color="auto"/>
              <w:left w:val="single" w:sz="4" w:space="0" w:color="auto"/>
              <w:bottom w:val="single" w:sz="4" w:space="0" w:color="auto"/>
              <w:right w:val="nil"/>
            </w:tcBorders>
            <w:shd w:val="clear" w:color="auto" w:fill="FFFFFF" w:themeFill="background1"/>
            <w:hideMark/>
          </w:tcPr>
          <w:p w:rsidR="00723AC6" w:rsidRPr="0064242F" w:rsidRDefault="00723AC6" w:rsidP="001522F8">
            <w:pPr>
              <w:pStyle w:val="TableBodyText"/>
              <w:spacing w:before="80" w:after="80"/>
              <w:rPr>
                <w:rFonts w:asciiTheme="majorHAnsi" w:hAnsiTheme="majorHAnsi" w:cstheme="majorHAnsi"/>
              </w:rPr>
            </w:pPr>
            <w:r w:rsidRPr="0064242F">
              <w:rPr>
                <w:rFonts w:asciiTheme="majorHAnsi" w:hAnsiTheme="majorHAnsi" w:cstheme="majorHAnsi"/>
                <w:b/>
              </w:rPr>
              <w:t>Grandfather</w:t>
            </w:r>
            <w:r w:rsidRPr="007F6490">
              <w:rPr>
                <w:rFonts w:asciiTheme="majorHAnsi" w:hAnsiTheme="majorHAnsi" w:cstheme="majorHAnsi"/>
                <w:b/>
              </w:rPr>
              <w:t>ed (‘transitional firm’) ser</w:t>
            </w:r>
            <w:r w:rsidRPr="0064242F">
              <w:rPr>
                <w:rFonts w:asciiTheme="majorHAnsi" w:hAnsiTheme="majorHAnsi" w:cstheme="majorHAnsi"/>
                <w:b/>
              </w:rPr>
              <w:t xml:space="preserve">vices: </w:t>
            </w:r>
            <w:r w:rsidRPr="0064242F">
              <w:rPr>
                <w:rFonts w:asciiTheme="majorHAnsi" w:hAnsiTheme="majorHAnsi" w:cstheme="majorHAnsi"/>
              </w:rPr>
              <w:t xml:space="preserve">Transitional arrangements will be implemented for a two-year period following the commencement of the auction to enable transportation services that meet the following criteria to be treated as ‘transitional firm’ services for the purposes of the auction </w:t>
            </w:r>
            <w:r w:rsidR="00B46E13">
              <w:rPr>
                <w:rFonts w:asciiTheme="majorHAnsi" w:hAnsiTheme="majorHAnsi" w:cstheme="majorHAnsi"/>
              </w:rPr>
              <w:t xml:space="preserve">priority principles </w:t>
            </w:r>
            <w:r w:rsidRPr="0064242F">
              <w:rPr>
                <w:rFonts w:asciiTheme="majorHAnsi" w:hAnsiTheme="majorHAnsi" w:cstheme="majorHAnsi"/>
              </w:rPr>
              <w:t>and therefore rank ahead of the auction product both in relation to nominations and renominations:</w:t>
            </w:r>
          </w:p>
          <w:p w:rsidR="00723AC6" w:rsidRPr="0064242F" w:rsidRDefault="00723AC6" w:rsidP="001522F8">
            <w:pPr>
              <w:pStyle w:val="TableBullet1"/>
              <w:spacing w:before="80" w:after="80"/>
              <w:rPr>
                <w:rFonts w:asciiTheme="majorHAnsi" w:hAnsiTheme="majorHAnsi" w:cstheme="majorHAnsi"/>
              </w:rPr>
            </w:pPr>
            <w:r w:rsidRPr="0064242F">
              <w:rPr>
                <w:rFonts w:asciiTheme="majorHAnsi" w:hAnsiTheme="majorHAnsi" w:cstheme="majorHAnsi"/>
              </w:rPr>
              <w:t xml:space="preserve">the transportation service is currently treated as firm once scheduled (e.g. </w:t>
            </w:r>
            <w:r w:rsidR="00464273">
              <w:rPr>
                <w:rFonts w:asciiTheme="majorHAnsi" w:hAnsiTheme="majorHAnsi" w:cstheme="majorHAnsi"/>
              </w:rPr>
              <w:t xml:space="preserve">some </w:t>
            </w:r>
            <w:r w:rsidRPr="0064242F">
              <w:rPr>
                <w:rFonts w:asciiTheme="majorHAnsi" w:hAnsiTheme="majorHAnsi" w:cstheme="majorHAnsi"/>
              </w:rPr>
              <w:t xml:space="preserve">as available and authorised overrun services); </w:t>
            </w:r>
          </w:p>
          <w:p w:rsidR="00723AC6" w:rsidRPr="0064242F" w:rsidRDefault="00723AC6" w:rsidP="001522F8">
            <w:pPr>
              <w:pStyle w:val="TableBullet1"/>
              <w:spacing w:before="80" w:after="80"/>
              <w:rPr>
                <w:rFonts w:asciiTheme="majorHAnsi" w:hAnsiTheme="majorHAnsi" w:cstheme="majorHAnsi"/>
              </w:rPr>
            </w:pPr>
            <w:r w:rsidRPr="0064242F">
              <w:rPr>
                <w:rFonts w:asciiTheme="majorHAnsi" w:hAnsiTheme="majorHAnsi" w:cstheme="majorHAnsi"/>
              </w:rPr>
              <w:t>the transportation service is used for the supply of gas for consumption by a gas-fired generator that is a market generating unit;</w:t>
            </w:r>
          </w:p>
          <w:p w:rsidR="00723AC6" w:rsidRPr="0064242F" w:rsidRDefault="00723AC6" w:rsidP="001522F8">
            <w:pPr>
              <w:pStyle w:val="TableBullet1"/>
              <w:spacing w:before="80" w:after="80"/>
              <w:rPr>
                <w:rFonts w:asciiTheme="majorHAnsi" w:hAnsiTheme="majorHAnsi" w:cstheme="majorHAnsi"/>
              </w:rPr>
            </w:pPr>
            <w:r w:rsidRPr="00796B24">
              <w:rPr>
                <w:rFonts w:asciiTheme="majorHAnsi" w:hAnsiTheme="majorHAnsi" w:cstheme="majorHAnsi"/>
              </w:rPr>
              <w:t>at least one of the service points is either a point at which gas is supplied for consumption by a market generating unit</w:t>
            </w:r>
            <w:r w:rsidR="00B46E13">
              <w:rPr>
                <w:rFonts w:asciiTheme="majorHAnsi" w:hAnsiTheme="majorHAnsi" w:cstheme="majorHAnsi"/>
              </w:rPr>
              <w:t>,</w:t>
            </w:r>
            <w:r w:rsidRPr="00796B24">
              <w:rPr>
                <w:rFonts w:asciiTheme="majorHAnsi" w:hAnsiTheme="majorHAnsi" w:cstheme="majorHAnsi"/>
              </w:rPr>
              <w:t xml:space="preserve"> or is o</w:t>
            </w:r>
            <w:r w:rsidRPr="00DB065A">
              <w:rPr>
                <w:rFonts w:asciiTheme="majorHAnsi" w:hAnsiTheme="majorHAnsi" w:cstheme="majorHAnsi"/>
              </w:rPr>
              <w:t xml:space="preserve">n another transportation facility </w:t>
            </w:r>
            <w:r w:rsidR="00B46E13">
              <w:rPr>
                <w:rFonts w:asciiTheme="majorHAnsi" w:hAnsiTheme="majorHAnsi" w:cstheme="majorHAnsi"/>
              </w:rPr>
              <w:t xml:space="preserve">that is </w:t>
            </w:r>
            <w:r w:rsidRPr="00DB065A">
              <w:rPr>
                <w:rFonts w:asciiTheme="majorHAnsi" w:hAnsiTheme="majorHAnsi" w:cstheme="majorHAnsi"/>
              </w:rPr>
              <w:t xml:space="preserve">used to receive gas for </w:t>
            </w:r>
            <w:r w:rsidR="00B46E13">
              <w:rPr>
                <w:rFonts w:asciiTheme="majorHAnsi" w:hAnsiTheme="majorHAnsi" w:cstheme="majorHAnsi"/>
              </w:rPr>
              <w:t xml:space="preserve">onward </w:t>
            </w:r>
            <w:r w:rsidRPr="00DB065A">
              <w:rPr>
                <w:rFonts w:asciiTheme="majorHAnsi" w:hAnsiTheme="majorHAnsi" w:cstheme="majorHAnsi"/>
              </w:rPr>
              <w:t xml:space="preserve">transportation </w:t>
            </w:r>
            <w:r w:rsidR="00B46E13">
              <w:rPr>
                <w:rFonts w:asciiTheme="majorHAnsi" w:hAnsiTheme="majorHAnsi" w:cstheme="majorHAnsi"/>
              </w:rPr>
              <w:t xml:space="preserve">to </w:t>
            </w:r>
            <w:r w:rsidRPr="00DB065A">
              <w:rPr>
                <w:rFonts w:asciiTheme="majorHAnsi" w:hAnsiTheme="majorHAnsi" w:cstheme="majorHAnsi"/>
              </w:rPr>
              <w:t>a market generating unit</w:t>
            </w:r>
            <w:r w:rsidRPr="00796B24">
              <w:rPr>
                <w:rFonts w:asciiTheme="majorHAnsi" w:hAnsiTheme="majorHAnsi" w:cstheme="majorHAnsi"/>
              </w:rPr>
              <w:t xml:space="preserve">; and </w:t>
            </w:r>
          </w:p>
          <w:p w:rsidR="00723AC6" w:rsidRPr="0064242F" w:rsidRDefault="00723AC6" w:rsidP="001522F8">
            <w:pPr>
              <w:pStyle w:val="TableBullet1"/>
              <w:spacing w:before="80" w:after="80"/>
              <w:rPr>
                <w:rFonts w:ascii="Arial" w:hAnsi="Arial"/>
              </w:rPr>
            </w:pPr>
            <w:r w:rsidRPr="0064242F">
              <w:rPr>
                <w:rFonts w:ascii="Arial" w:hAnsi="Arial"/>
              </w:rPr>
              <w:t>the terms and conditions for use of the transportation service are set out in a primary facility agreement made on or before 19 March 2018 and are the same, or substantially the same, as the terms and conditions in force on that date.</w:t>
            </w:r>
          </w:p>
          <w:p w:rsidR="00B46E13" w:rsidRDefault="00723AC6" w:rsidP="001522F8">
            <w:pPr>
              <w:pStyle w:val="TableBodyText"/>
              <w:spacing w:before="80" w:after="80"/>
              <w:rPr>
                <w:rFonts w:asciiTheme="majorHAnsi" w:hAnsiTheme="majorHAnsi" w:cstheme="majorHAnsi"/>
              </w:rPr>
            </w:pPr>
            <w:r w:rsidRPr="0064242F">
              <w:rPr>
                <w:rFonts w:asciiTheme="majorHAnsi" w:hAnsiTheme="majorHAnsi" w:cstheme="majorHAnsi"/>
                <w:b/>
              </w:rPr>
              <w:t xml:space="preserve">Classification of </w:t>
            </w:r>
            <w:r w:rsidR="00B46E13">
              <w:rPr>
                <w:rFonts w:asciiTheme="majorHAnsi" w:hAnsiTheme="majorHAnsi" w:cstheme="majorHAnsi"/>
                <w:b/>
              </w:rPr>
              <w:t>transitional firm</w:t>
            </w:r>
            <w:r w:rsidRPr="0064242F">
              <w:rPr>
                <w:rFonts w:asciiTheme="majorHAnsi" w:hAnsiTheme="majorHAnsi" w:cstheme="majorHAnsi"/>
                <w:b/>
              </w:rPr>
              <w:t xml:space="preserve"> services:</w:t>
            </w:r>
            <w:r w:rsidRPr="0064242F">
              <w:rPr>
                <w:rFonts w:asciiTheme="majorHAnsi" w:hAnsiTheme="majorHAnsi" w:cstheme="majorHAnsi"/>
              </w:rPr>
              <w:t xml:space="preserve"> </w:t>
            </w:r>
            <w:r w:rsidR="00B46E13">
              <w:rPr>
                <w:rFonts w:asciiTheme="majorHAnsi" w:hAnsiTheme="majorHAnsi" w:cstheme="majorHAnsi"/>
              </w:rPr>
              <w:t xml:space="preserve">Auction facility operators </w:t>
            </w:r>
            <w:r w:rsidRPr="0064242F">
              <w:rPr>
                <w:rFonts w:asciiTheme="majorHAnsi" w:hAnsiTheme="majorHAnsi" w:cstheme="majorHAnsi"/>
              </w:rPr>
              <w:t xml:space="preserve">will be responsible for classifying a service as a </w:t>
            </w:r>
            <w:r w:rsidR="00B46E13">
              <w:rPr>
                <w:rFonts w:asciiTheme="majorHAnsi" w:hAnsiTheme="majorHAnsi" w:cstheme="majorHAnsi"/>
              </w:rPr>
              <w:t xml:space="preserve">transitional firm </w:t>
            </w:r>
            <w:r w:rsidRPr="0064242F">
              <w:rPr>
                <w:rFonts w:asciiTheme="majorHAnsi" w:hAnsiTheme="majorHAnsi" w:cstheme="majorHAnsi"/>
              </w:rPr>
              <w:t xml:space="preserve">service in accordance with criteria specified in the NGR and must notify the AER if they intend to do so no later than 30 business days before the classification takes effect. </w:t>
            </w:r>
            <w:r>
              <w:rPr>
                <w:rFonts w:asciiTheme="majorHAnsi" w:hAnsiTheme="majorHAnsi" w:cstheme="majorHAnsi"/>
              </w:rPr>
              <w:t xml:space="preserve">The AER can ask for more information to explain the classification. </w:t>
            </w:r>
            <w:r w:rsidRPr="0064242F">
              <w:rPr>
                <w:rFonts w:asciiTheme="majorHAnsi" w:hAnsiTheme="majorHAnsi" w:cstheme="majorHAnsi"/>
              </w:rPr>
              <w:t xml:space="preserve">If the AER is not satisfied a service meets the criteria, it may reject the classification </w:t>
            </w:r>
            <w:r>
              <w:rPr>
                <w:rFonts w:asciiTheme="majorHAnsi" w:hAnsiTheme="majorHAnsi" w:cstheme="majorHAnsi"/>
              </w:rPr>
              <w:t xml:space="preserve">and </w:t>
            </w:r>
            <w:r w:rsidRPr="0064242F">
              <w:rPr>
                <w:rFonts w:asciiTheme="majorHAnsi" w:hAnsiTheme="majorHAnsi" w:cstheme="majorHAnsi"/>
              </w:rPr>
              <w:t xml:space="preserve">it may also revoke the classification at a later point if it is not satisfied the criteria in the NGR are met. </w:t>
            </w:r>
          </w:p>
          <w:p w:rsidR="00723AC6" w:rsidRPr="0064242F" w:rsidRDefault="00723AC6" w:rsidP="001522F8">
            <w:pPr>
              <w:pStyle w:val="TableBodyText"/>
              <w:spacing w:before="80" w:after="80"/>
              <w:rPr>
                <w:rFonts w:asciiTheme="majorHAnsi" w:hAnsiTheme="majorHAnsi" w:cstheme="majorHAnsi"/>
              </w:rPr>
            </w:pPr>
            <w:r w:rsidRPr="0064242F">
              <w:rPr>
                <w:rFonts w:asciiTheme="majorHAnsi" w:hAnsiTheme="majorHAnsi" w:cstheme="majorHAnsi"/>
              </w:rPr>
              <w:t xml:space="preserve">The AER will </w:t>
            </w:r>
            <w:r w:rsidR="00B46E13">
              <w:rPr>
                <w:rFonts w:asciiTheme="majorHAnsi" w:hAnsiTheme="majorHAnsi" w:cstheme="majorHAnsi"/>
              </w:rPr>
              <w:t xml:space="preserve">be responsible for </w:t>
            </w:r>
            <w:r w:rsidRPr="0064242F">
              <w:rPr>
                <w:rFonts w:asciiTheme="majorHAnsi" w:hAnsiTheme="majorHAnsi" w:cstheme="majorHAnsi"/>
              </w:rPr>
              <w:t>monitor</w:t>
            </w:r>
            <w:r w:rsidR="00B46E13">
              <w:rPr>
                <w:rFonts w:asciiTheme="majorHAnsi" w:hAnsiTheme="majorHAnsi" w:cstheme="majorHAnsi"/>
              </w:rPr>
              <w:t>ing</w:t>
            </w:r>
            <w:r w:rsidRPr="0064242F">
              <w:rPr>
                <w:rFonts w:asciiTheme="majorHAnsi" w:hAnsiTheme="majorHAnsi" w:cstheme="majorHAnsi"/>
              </w:rPr>
              <w:t xml:space="preserve"> compliance with the conditions of use of these services (e.g. to ensure the services are </w:t>
            </w:r>
            <w:r w:rsidR="00DE4A10" w:rsidRPr="0064242F">
              <w:rPr>
                <w:rFonts w:asciiTheme="majorHAnsi" w:hAnsiTheme="majorHAnsi" w:cstheme="majorHAnsi"/>
              </w:rPr>
              <w:t>being</w:t>
            </w:r>
            <w:r w:rsidRPr="0064242F">
              <w:rPr>
                <w:rFonts w:asciiTheme="majorHAnsi" w:hAnsiTheme="majorHAnsi" w:cstheme="majorHAnsi"/>
              </w:rPr>
              <w:t xml:space="preserve"> used at a gas-fired generation site).</w:t>
            </w:r>
          </w:p>
        </w:tc>
      </w:tr>
      <w:tr w:rsidR="00723AC6" w:rsidRPr="00C37D44" w:rsidTr="00535A2E">
        <w:trPr>
          <w:cnfStyle w:val="000000010000" w:firstRow="0" w:lastRow="0" w:firstColumn="0" w:lastColumn="0" w:oddVBand="0" w:evenVBand="0" w:oddHBand="0" w:evenHBand="1" w:firstRowFirstColumn="0" w:firstRowLastColumn="0" w:lastRowFirstColumn="0" w:lastRowLastColumn="0"/>
          <w:trHeight w:val="70"/>
        </w:trPr>
        <w:tc>
          <w:tcPr>
            <w:tcW w:w="365" w:type="dxa"/>
            <w:vMerge/>
            <w:tcBorders>
              <w:left w:val="nil"/>
              <w:right w:val="single" w:sz="4" w:space="0" w:color="auto"/>
            </w:tcBorders>
            <w:vAlign w:val="center"/>
          </w:tcPr>
          <w:p w:rsidR="00723AC6" w:rsidRPr="00C37D44" w:rsidRDefault="00723AC6" w:rsidP="00B46E13">
            <w:pPr>
              <w:spacing w:before="40" w:after="20"/>
              <w:rPr>
                <w:rFonts w:asciiTheme="majorHAnsi" w:hAnsiTheme="majorHAnsi" w:cstheme="majorHAnsi"/>
                <w:b/>
                <w:szCs w:val="18"/>
              </w:rPr>
            </w:pPr>
          </w:p>
        </w:tc>
        <w:tc>
          <w:tcPr>
            <w:tcW w:w="1421" w:type="dxa"/>
            <w:tcBorders>
              <w:top w:val="single" w:sz="4" w:space="0" w:color="auto"/>
              <w:left w:val="single" w:sz="4" w:space="0" w:color="auto"/>
              <w:bottom w:val="single" w:sz="4" w:space="0" w:color="auto"/>
              <w:right w:val="single" w:sz="4" w:space="0" w:color="auto"/>
            </w:tcBorders>
            <w:shd w:val="clear" w:color="auto" w:fill="FFFFFF" w:themeFill="background1"/>
          </w:tcPr>
          <w:p w:rsidR="00723AC6" w:rsidRPr="00C37D44" w:rsidRDefault="00723AC6" w:rsidP="001522F8">
            <w:pPr>
              <w:pStyle w:val="BodyText"/>
              <w:spacing w:before="80" w:after="80"/>
              <w:rPr>
                <w:rFonts w:asciiTheme="majorHAnsi" w:hAnsiTheme="majorHAnsi" w:cstheme="majorHAnsi"/>
                <w:b/>
                <w:szCs w:val="18"/>
              </w:rPr>
            </w:pPr>
            <w:r w:rsidRPr="00C37D44">
              <w:rPr>
                <w:rFonts w:asciiTheme="majorHAnsi" w:hAnsiTheme="majorHAnsi" w:cstheme="majorHAnsi"/>
                <w:b/>
                <w:szCs w:val="18"/>
              </w:rPr>
              <w:t>Other features of the auction service</w:t>
            </w:r>
          </w:p>
        </w:tc>
        <w:tc>
          <w:tcPr>
            <w:tcW w:w="12390" w:type="dxa"/>
            <w:tcBorders>
              <w:top w:val="single" w:sz="4" w:space="0" w:color="auto"/>
              <w:left w:val="single" w:sz="4" w:space="0" w:color="auto"/>
              <w:bottom w:val="single" w:sz="4" w:space="0" w:color="auto"/>
              <w:right w:val="nil"/>
            </w:tcBorders>
            <w:shd w:val="clear" w:color="auto" w:fill="FFFFFF" w:themeFill="background1"/>
          </w:tcPr>
          <w:p w:rsidR="00723AC6" w:rsidRPr="00C37D44" w:rsidRDefault="00723AC6" w:rsidP="001522F8">
            <w:pPr>
              <w:pStyle w:val="TableBodyText"/>
              <w:spacing w:before="80" w:after="80"/>
              <w:rPr>
                <w:rFonts w:asciiTheme="majorHAnsi" w:hAnsiTheme="majorHAnsi" w:cstheme="majorHAnsi"/>
              </w:rPr>
            </w:pPr>
            <w:r w:rsidRPr="00D30678">
              <w:rPr>
                <w:rFonts w:asciiTheme="majorHAnsi" w:hAnsiTheme="majorHAnsi" w:cstheme="majorHAnsi"/>
                <w:szCs w:val="18"/>
              </w:rPr>
              <w:t xml:space="preserve">The terms and conditions on which </w:t>
            </w:r>
            <w:r w:rsidR="00B46E13">
              <w:rPr>
                <w:rFonts w:asciiTheme="majorHAnsi" w:hAnsiTheme="majorHAnsi" w:cstheme="majorHAnsi"/>
                <w:szCs w:val="18"/>
              </w:rPr>
              <w:t xml:space="preserve">a shipper </w:t>
            </w:r>
            <w:r w:rsidRPr="00D30678">
              <w:rPr>
                <w:rFonts w:asciiTheme="majorHAnsi" w:hAnsiTheme="majorHAnsi" w:cstheme="majorHAnsi"/>
                <w:szCs w:val="18"/>
              </w:rPr>
              <w:t xml:space="preserve">can use </w:t>
            </w:r>
            <w:r w:rsidRPr="00F04A8E">
              <w:rPr>
                <w:rFonts w:asciiTheme="majorHAnsi" w:hAnsiTheme="majorHAnsi" w:cstheme="majorHAnsi"/>
                <w:szCs w:val="18"/>
              </w:rPr>
              <w:t>auction products will be set out</w:t>
            </w:r>
            <w:r w:rsidRPr="00C37D44">
              <w:rPr>
                <w:rFonts w:asciiTheme="majorHAnsi" w:hAnsiTheme="majorHAnsi" w:cstheme="majorHAnsi"/>
                <w:szCs w:val="18"/>
              </w:rPr>
              <w:t xml:space="preserve"> in the </w:t>
            </w:r>
            <w:r w:rsidR="00B46E13">
              <w:rPr>
                <w:rFonts w:asciiTheme="majorHAnsi" w:hAnsiTheme="majorHAnsi" w:cstheme="majorHAnsi"/>
                <w:szCs w:val="18"/>
              </w:rPr>
              <w:t xml:space="preserve">auction facility operator’s </w:t>
            </w:r>
            <w:r w:rsidRPr="00C37D44">
              <w:rPr>
                <w:rFonts w:asciiTheme="majorHAnsi" w:hAnsiTheme="majorHAnsi" w:cstheme="majorHAnsi"/>
                <w:szCs w:val="18"/>
              </w:rPr>
              <w:t>standard OTSA</w:t>
            </w:r>
            <w:r>
              <w:rPr>
                <w:rFonts w:asciiTheme="majorHAnsi" w:hAnsiTheme="majorHAnsi" w:cstheme="majorHAnsi"/>
                <w:szCs w:val="18"/>
              </w:rPr>
              <w:t xml:space="preserve"> (or other agreement containing the terms for use of the service)</w:t>
            </w:r>
            <w:r w:rsidRPr="00C37D44">
              <w:rPr>
                <w:rFonts w:asciiTheme="majorHAnsi" w:hAnsiTheme="majorHAnsi" w:cstheme="majorHAnsi"/>
                <w:szCs w:val="18"/>
              </w:rPr>
              <w:t xml:space="preserve">, which, amongst other things, will specify the hourly flexibility the </w:t>
            </w:r>
            <w:r w:rsidR="00B46E13">
              <w:rPr>
                <w:rFonts w:asciiTheme="majorHAnsi" w:hAnsiTheme="majorHAnsi" w:cstheme="majorHAnsi"/>
                <w:szCs w:val="18"/>
              </w:rPr>
              <w:t xml:space="preserve">shipper </w:t>
            </w:r>
            <w:r w:rsidRPr="00C37D44">
              <w:rPr>
                <w:rFonts w:asciiTheme="majorHAnsi" w:hAnsiTheme="majorHAnsi" w:cstheme="majorHAnsi"/>
                <w:szCs w:val="18"/>
              </w:rPr>
              <w:t xml:space="preserve">will have and provide for a reasonable endeavours renomination right and a </w:t>
            </w:r>
            <w:r w:rsidR="00DE4A10" w:rsidRPr="00C37D44">
              <w:rPr>
                <w:rFonts w:asciiTheme="majorHAnsi" w:hAnsiTheme="majorHAnsi" w:cstheme="majorHAnsi"/>
                <w:szCs w:val="18"/>
              </w:rPr>
              <w:t>zero-imbalance</w:t>
            </w:r>
            <w:r w:rsidRPr="00C37D44">
              <w:rPr>
                <w:rFonts w:asciiTheme="majorHAnsi" w:hAnsiTheme="majorHAnsi" w:cstheme="majorHAnsi"/>
                <w:szCs w:val="18"/>
              </w:rPr>
              <w:t xml:space="preserve"> allowance.</w:t>
            </w:r>
            <w:r w:rsidRPr="00C37D44">
              <w:rPr>
                <w:rFonts w:asciiTheme="majorHAnsi" w:hAnsiTheme="majorHAnsi" w:cstheme="majorHAnsi"/>
              </w:rPr>
              <w:t xml:space="preserve"> If the </w:t>
            </w:r>
            <w:r w:rsidR="00B46E13">
              <w:rPr>
                <w:rFonts w:asciiTheme="majorHAnsi" w:hAnsiTheme="majorHAnsi" w:cstheme="majorHAnsi"/>
              </w:rPr>
              <w:t xml:space="preserve">shipper </w:t>
            </w:r>
            <w:r w:rsidRPr="00C37D44">
              <w:rPr>
                <w:rFonts w:asciiTheme="majorHAnsi" w:hAnsiTheme="majorHAnsi" w:cstheme="majorHAnsi"/>
              </w:rPr>
              <w:t xml:space="preserve">requires additional flexibility, it can procure it from service providers or </w:t>
            </w:r>
            <w:r>
              <w:rPr>
                <w:rFonts w:asciiTheme="majorHAnsi" w:hAnsiTheme="majorHAnsi" w:cstheme="majorHAnsi"/>
              </w:rPr>
              <w:t xml:space="preserve">shippers </w:t>
            </w:r>
            <w:r w:rsidRPr="00C37D44">
              <w:rPr>
                <w:rFonts w:asciiTheme="majorHAnsi" w:hAnsiTheme="majorHAnsi" w:cstheme="majorHAnsi"/>
              </w:rPr>
              <w:t>(where operationally and technically feasible).</w:t>
            </w:r>
          </w:p>
        </w:tc>
      </w:tr>
      <w:tr w:rsidR="00723AC6" w:rsidRPr="00C37D44" w:rsidTr="00535A2E">
        <w:trPr>
          <w:trHeight w:val="186"/>
        </w:trPr>
        <w:tc>
          <w:tcPr>
            <w:tcW w:w="365" w:type="dxa"/>
            <w:vMerge/>
            <w:tcBorders>
              <w:left w:val="nil"/>
              <w:right w:val="single" w:sz="4" w:space="0" w:color="auto"/>
            </w:tcBorders>
            <w:vAlign w:val="center"/>
            <w:hideMark/>
          </w:tcPr>
          <w:p w:rsidR="00723AC6" w:rsidRPr="00C37D44" w:rsidRDefault="00723AC6" w:rsidP="00B46E13">
            <w:pPr>
              <w:spacing w:before="40" w:after="20"/>
              <w:rPr>
                <w:rFonts w:asciiTheme="majorHAnsi" w:hAnsiTheme="majorHAnsi" w:cstheme="majorHAnsi"/>
                <w:b/>
                <w:szCs w:val="18"/>
              </w:rPr>
            </w:pPr>
          </w:p>
        </w:tc>
        <w:tc>
          <w:tcPr>
            <w:tcW w:w="1421" w:type="dxa"/>
            <w:vMerge w:val="restart"/>
            <w:tcBorders>
              <w:top w:val="single" w:sz="4" w:space="0" w:color="auto"/>
              <w:left w:val="single" w:sz="4" w:space="0" w:color="auto"/>
              <w:right w:val="single" w:sz="4" w:space="0" w:color="auto"/>
            </w:tcBorders>
            <w:shd w:val="clear" w:color="auto" w:fill="auto"/>
            <w:hideMark/>
          </w:tcPr>
          <w:p w:rsidR="00723AC6" w:rsidRPr="00C37D44" w:rsidRDefault="00723AC6" w:rsidP="001522F8">
            <w:pPr>
              <w:pStyle w:val="BodyText"/>
              <w:spacing w:before="80" w:after="80"/>
              <w:rPr>
                <w:rFonts w:asciiTheme="majorHAnsi" w:hAnsiTheme="majorHAnsi" w:cstheme="majorHAnsi"/>
                <w:b/>
                <w:szCs w:val="18"/>
              </w:rPr>
            </w:pPr>
            <w:r w:rsidRPr="00C37D44">
              <w:rPr>
                <w:rFonts w:asciiTheme="majorHAnsi" w:hAnsiTheme="majorHAnsi" w:cstheme="majorHAnsi"/>
                <w:b/>
                <w:szCs w:val="18"/>
              </w:rPr>
              <w:t>Contract path specification</w:t>
            </w:r>
          </w:p>
        </w:tc>
        <w:tc>
          <w:tcPr>
            <w:tcW w:w="12390" w:type="dxa"/>
            <w:tcBorders>
              <w:top w:val="single" w:sz="4" w:space="0" w:color="auto"/>
              <w:left w:val="single" w:sz="4" w:space="0" w:color="auto"/>
              <w:right w:val="nil"/>
            </w:tcBorders>
            <w:shd w:val="clear" w:color="auto" w:fill="auto"/>
            <w:hideMark/>
          </w:tcPr>
          <w:p w:rsidR="00723AC6" w:rsidRPr="00C37D44" w:rsidRDefault="00723AC6" w:rsidP="001522F8">
            <w:pPr>
              <w:pStyle w:val="TableBodyText"/>
              <w:spacing w:before="80" w:after="80"/>
              <w:rPr>
                <w:rFonts w:asciiTheme="majorHAnsi" w:hAnsiTheme="majorHAnsi" w:cstheme="majorHAnsi"/>
              </w:rPr>
            </w:pPr>
            <w:r w:rsidRPr="00C37D44">
              <w:rPr>
                <w:rFonts w:asciiTheme="majorHAnsi" w:hAnsiTheme="majorHAnsi" w:cstheme="majorHAnsi"/>
                <w:b/>
                <w:color w:val="000000"/>
                <w:szCs w:val="18"/>
              </w:rPr>
              <w:t>Forward haul and compression auction services</w:t>
            </w:r>
            <w:r w:rsidRPr="00C37D44">
              <w:rPr>
                <w:rFonts w:asciiTheme="majorHAnsi" w:hAnsiTheme="majorHAnsi" w:cstheme="majorHAnsi"/>
                <w:color w:val="000000"/>
                <w:szCs w:val="18"/>
              </w:rPr>
              <w:t xml:space="preserve"> will be sold using a </w:t>
            </w:r>
            <w:r w:rsidRPr="00B46E13">
              <w:rPr>
                <w:rFonts w:asciiTheme="majorHAnsi" w:hAnsiTheme="majorHAnsi" w:cstheme="majorHAnsi"/>
                <w:b/>
                <w:color w:val="000000"/>
                <w:szCs w:val="18"/>
              </w:rPr>
              <w:t>hybrid point-to-point and zonal model</w:t>
            </w:r>
            <w:r w:rsidRPr="00C37D44">
              <w:rPr>
                <w:rFonts w:asciiTheme="majorHAnsi" w:hAnsiTheme="majorHAnsi" w:cstheme="majorHAnsi"/>
                <w:color w:val="000000"/>
                <w:szCs w:val="18"/>
              </w:rPr>
              <w:t xml:space="preserve">. </w:t>
            </w:r>
            <w:r w:rsidRPr="00C37D44">
              <w:rPr>
                <w:rFonts w:asciiTheme="majorHAnsi" w:hAnsiTheme="majorHAnsi" w:cstheme="majorHAnsi"/>
                <w:color w:val="000000"/>
                <w:szCs w:val="18"/>
                <w:lang w:val="en-US"/>
              </w:rPr>
              <w:t xml:space="preserve">The hybrid model will allow auction participants to bid on a point-to-point basis for any unused capacity at individual receipt or delivery points, but their ability to secure capacity at those points will depend on whether there is sufficient: </w:t>
            </w:r>
            <w:r w:rsidRPr="00C37D44">
              <w:rPr>
                <w:rFonts w:asciiTheme="majorHAnsi" w:hAnsiTheme="majorHAnsi" w:cstheme="majorHAnsi"/>
                <w:lang w:val="en-US"/>
              </w:rPr>
              <w:t>CBU capacity available in the receipt point zone and delivery point zone they wish to use; and CBU capacity along the pipeline segments (or the compression facility) they need to use.</w:t>
            </w:r>
          </w:p>
        </w:tc>
      </w:tr>
      <w:tr w:rsidR="00723AC6" w:rsidRPr="00C37D44" w:rsidTr="00535A2E">
        <w:trPr>
          <w:cnfStyle w:val="000000010000" w:firstRow="0" w:lastRow="0" w:firstColumn="0" w:lastColumn="0" w:oddVBand="0" w:evenVBand="0" w:oddHBand="0" w:evenHBand="1" w:firstRowFirstColumn="0" w:firstRowLastColumn="0" w:lastRowFirstColumn="0" w:lastRowLastColumn="0"/>
          <w:trHeight w:val="690"/>
        </w:trPr>
        <w:tc>
          <w:tcPr>
            <w:tcW w:w="365" w:type="dxa"/>
            <w:vMerge/>
            <w:tcBorders>
              <w:left w:val="nil"/>
              <w:bottom w:val="single" w:sz="4" w:space="0" w:color="auto"/>
              <w:right w:val="single" w:sz="4" w:space="0" w:color="auto"/>
            </w:tcBorders>
            <w:vAlign w:val="center"/>
          </w:tcPr>
          <w:p w:rsidR="00723AC6" w:rsidRPr="00C37D44" w:rsidRDefault="00723AC6" w:rsidP="00B46E13">
            <w:pPr>
              <w:spacing w:before="40" w:after="20"/>
              <w:rPr>
                <w:rFonts w:asciiTheme="majorHAnsi" w:hAnsiTheme="majorHAnsi" w:cstheme="majorHAnsi"/>
                <w:b/>
                <w:szCs w:val="18"/>
              </w:rPr>
            </w:pPr>
          </w:p>
        </w:tc>
        <w:tc>
          <w:tcPr>
            <w:tcW w:w="1421" w:type="dxa"/>
            <w:vMerge/>
            <w:tcBorders>
              <w:left w:val="single" w:sz="4" w:space="0" w:color="auto"/>
              <w:bottom w:val="single" w:sz="4" w:space="0" w:color="auto"/>
              <w:right w:val="single" w:sz="4" w:space="0" w:color="auto"/>
            </w:tcBorders>
            <w:shd w:val="clear" w:color="auto" w:fill="auto"/>
          </w:tcPr>
          <w:p w:rsidR="00723AC6" w:rsidRPr="00C37D44" w:rsidRDefault="00723AC6" w:rsidP="001522F8">
            <w:pPr>
              <w:pStyle w:val="BodyText"/>
              <w:spacing w:before="80" w:after="80"/>
              <w:rPr>
                <w:rFonts w:asciiTheme="majorHAnsi" w:hAnsiTheme="majorHAnsi" w:cstheme="majorHAnsi"/>
                <w:b/>
                <w:szCs w:val="18"/>
              </w:rPr>
            </w:pPr>
          </w:p>
        </w:tc>
        <w:tc>
          <w:tcPr>
            <w:tcW w:w="12390" w:type="dxa"/>
            <w:tcBorders>
              <w:top w:val="single" w:sz="4" w:space="0" w:color="auto"/>
              <w:left w:val="single" w:sz="4" w:space="0" w:color="auto"/>
              <w:right w:val="nil"/>
            </w:tcBorders>
            <w:shd w:val="clear" w:color="auto" w:fill="auto"/>
          </w:tcPr>
          <w:p w:rsidR="00723AC6" w:rsidRPr="00C37D44" w:rsidRDefault="00723AC6" w:rsidP="001522F8">
            <w:pPr>
              <w:pStyle w:val="TableBodyText"/>
              <w:spacing w:before="80" w:after="80"/>
              <w:rPr>
                <w:rFonts w:asciiTheme="majorHAnsi" w:hAnsiTheme="majorHAnsi" w:cstheme="majorHAnsi"/>
                <w:b/>
                <w:color w:val="000000"/>
                <w:szCs w:val="18"/>
              </w:rPr>
            </w:pPr>
            <w:r w:rsidRPr="00C37D44">
              <w:rPr>
                <w:rFonts w:asciiTheme="majorHAnsi" w:hAnsiTheme="majorHAnsi" w:cstheme="majorHAnsi"/>
                <w:b/>
                <w:color w:val="000000"/>
                <w:szCs w:val="18"/>
              </w:rPr>
              <w:t>Backhaul services</w:t>
            </w:r>
            <w:r w:rsidRPr="00C37D44">
              <w:rPr>
                <w:rFonts w:asciiTheme="majorHAnsi" w:hAnsiTheme="majorHAnsi" w:cstheme="majorHAnsi"/>
                <w:color w:val="000000"/>
                <w:szCs w:val="18"/>
              </w:rPr>
              <w:t xml:space="preserve"> will be sold on a </w:t>
            </w:r>
            <w:r w:rsidRPr="00B46E13">
              <w:rPr>
                <w:rFonts w:asciiTheme="majorHAnsi" w:hAnsiTheme="majorHAnsi" w:cstheme="majorHAnsi"/>
                <w:b/>
                <w:color w:val="000000"/>
                <w:szCs w:val="18"/>
              </w:rPr>
              <w:t>point-to-point</w:t>
            </w:r>
            <w:r w:rsidRPr="00C37D44">
              <w:rPr>
                <w:rFonts w:asciiTheme="majorHAnsi" w:hAnsiTheme="majorHAnsi" w:cstheme="majorHAnsi"/>
                <w:color w:val="000000"/>
                <w:szCs w:val="18"/>
              </w:rPr>
              <w:t xml:space="preserve"> basis between points that AEMO determines should be included in the auction from time to time. In contrast to forward haul and compression services, the availability of backhaul services will not be constrained by CBU capacity. </w:t>
            </w:r>
            <w:r>
              <w:rPr>
                <w:rFonts w:asciiTheme="majorHAnsi" w:hAnsiTheme="majorHAnsi" w:cstheme="majorHAnsi"/>
                <w:color w:val="000000"/>
                <w:szCs w:val="18"/>
              </w:rPr>
              <w:t>The availability of backhaul services</w:t>
            </w:r>
            <w:r w:rsidRPr="00C37D44">
              <w:rPr>
                <w:rFonts w:asciiTheme="majorHAnsi" w:hAnsiTheme="majorHAnsi" w:cstheme="majorHAnsi"/>
                <w:color w:val="000000"/>
                <w:szCs w:val="18"/>
              </w:rPr>
              <w:t xml:space="preserve"> will depend on whether there are sufficient firm net forward haul flows between the points </w:t>
            </w:r>
            <w:r>
              <w:rPr>
                <w:rFonts w:asciiTheme="majorHAnsi" w:hAnsiTheme="majorHAnsi" w:cstheme="majorHAnsi"/>
                <w:color w:val="000000"/>
                <w:szCs w:val="18"/>
              </w:rPr>
              <w:t xml:space="preserve">used for </w:t>
            </w:r>
            <w:r w:rsidRPr="00C37D44">
              <w:rPr>
                <w:rFonts w:asciiTheme="majorHAnsi" w:hAnsiTheme="majorHAnsi" w:cstheme="majorHAnsi"/>
                <w:color w:val="000000"/>
                <w:szCs w:val="18"/>
              </w:rPr>
              <w:t>the backhaul service.</w:t>
            </w:r>
          </w:p>
        </w:tc>
      </w:tr>
      <w:tr w:rsidR="005A49EC" w:rsidRPr="00C37D44" w:rsidTr="00535A2E">
        <w:trPr>
          <w:trHeight w:val="1655"/>
        </w:trPr>
        <w:tc>
          <w:tcPr>
            <w:tcW w:w="365" w:type="dxa"/>
            <w:vMerge w:val="restart"/>
            <w:tcBorders>
              <w:top w:val="single" w:sz="4" w:space="0" w:color="auto"/>
              <w:left w:val="nil"/>
              <w:right w:val="single" w:sz="4" w:space="0" w:color="auto"/>
            </w:tcBorders>
            <w:shd w:val="clear" w:color="auto" w:fill="FFFFFF" w:themeFill="background1"/>
            <w:textDirection w:val="btLr"/>
            <w:hideMark/>
          </w:tcPr>
          <w:p w:rsidR="005A49EC" w:rsidRPr="00C37D44" w:rsidRDefault="005A49EC" w:rsidP="001522F8">
            <w:pPr>
              <w:pStyle w:val="BodyText"/>
              <w:keepNext/>
              <w:spacing w:before="40" w:after="80"/>
              <w:jc w:val="center"/>
              <w:rPr>
                <w:rFonts w:asciiTheme="majorHAnsi" w:hAnsiTheme="majorHAnsi" w:cstheme="majorHAnsi"/>
                <w:b/>
                <w:szCs w:val="18"/>
              </w:rPr>
            </w:pPr>
            <w:r w:rsidRPr="00C37D44">
              <w:rPr>
                <w:rFonts w:asciiTheme="majorHAnsi" w:hAnsiTheme="majorHAnsi" w:cstheme="majorHAnsi"/>
                <w:b/>
                <w:szCs w:val="18"/>
              </w:rPr>
              <w:lastRenderedPageBreak/>
              <w:t>Auction format</w:t>
            </w:r>
          </w:p>
        </w:tc>
        <w:tc>
          <w:tcPr>
            <w:tcW w:w="1421" w:type="dxa"/>
            <w:tcBorders>
              <w:top w:val="single" w:sz="4" w:space="0" w:color="auto"/>
              <w:left w:val="single" w:sz="4" w:space="0" w:color="auto"/>
              <w:bottom w:val="single" w:sz="4" w:space="0" w:color="auto"/>
              <w:right w:val="single" w:sz="4" w:space="0" w:color="auto"/>
            </w:tcBorders>
            <w:shd w:val="clear" w:color="auto" w:fill="auto"/>
            <w:hideMark/>
          </w:tcPr>
          <w:p w:rsidR="005A49EC" w:rsidRPr="00C37D44" w:rsidRDefault="005A49EC" w:rsidP="001522F8">
            <w:pPr>
              <w:pStyle w:val="BodyText"/>
              <w:spacing w:before="40" w:after="80"/>
              <w:rPr>
                <w:rFonts w:asciiTheme="majorHAnsi" w:hAnsiTheme="majorHAnsi" w:cstheme="majorHAnsi"/>
                <w:b/>
                <w:szCs w:val="18"/>
              </w:rPr>
            </w:pPr>
            <w:r w:rsidRPr="00C37D44">
              <w:rPr>
                <w:rFonts w:asciiTheme="majorHAnsi" w:hAnsiTheme="majorHAnsi" w:cstheme="majorHAnsi"/>
                <w:b/>
                <w:szCs w:val="18"/>
              </w:rPr>
              <w:t>Auction design principles</w:t>
            </w:r>
          </w:p>
        </w:tc>
        <w:tc>
          <w:tcPr>
            <w:tcW w:w="12390" w:type="dxa"/>
            <w:tcBorders>
              <w:top w:val="single" w:sz="4" w:space="0" w:color="auto"/>
              <w:left w:val="single" w:sz="4" w:space="0" w:color="auto"/>
              <w:bottom w:val="single" w:sz="4" w:space="0" w:color="auto"/>
              <w:right w:val="nil"/>
            </w:tcBorders>
            <w:shd w:val="clear" w:color="auto" w:fill="auto"/>
            <w:hideMark/>
          </w:tcPr>
          <w:p w:rsidR="005A49EC" w:rsidRPr="00C37D44" w:rsidRDefault="005A49EC" w:rsidP="001522F8">
            <w:pPr>
              <w:pStyle w:val="TableBodyText"/>
              <w:spacing w:before="40"/>
              <w:rPr>
                <w:rFonts w:asciiTheme="majorHAnsi" w:hAnsiTheme="majorHAnsi" w:cstheme="majorHAnsi"/>
                <w:szCs w:val="18"/>
              </w:rPr>
            </w:pPr>
            <w:r w:rsidRPr="00C37D44">
              <w:rPr>
                <w:rFonts w:asciiTheme="majorHAnsi" w:hAnsiTheme="majorHAnsi" w:cstheme="majorHAnsi"/>
                <w:szCs w:val="18"/>
              </w:rPr>
              <w:t>The day-ahead auction will take the form of a partial combinatorial auction (which will allow capacity to be procured across multiple pipelines and compressors, irrespective of location or asset ownership) with static backhaul (i.e. auction backhaul services are allocated in a static manner against net forward haul firm flows and do not take into account forward haul flows generated through the auction). The auction will also provide for:</w:t>
            </w:r>
          </w:p>
          <w:p w:rsidR="005A49EC" w:rsidRPr="00C37D44" w:rsidRDefault="005A49EC" w:rsidP="001522F8">
            <w:pPr>
              <w:pStyle w:val="TableBullet1"/>
              <w:numPr>
                <w:ilvl w:val="0"/>
                <w:numId w:val="41"/>
              </w:numPr>
              <w:spacing w:before="40"/>
              <w:rPr>
                <w:rFonts w:asciiTheme="majorHAnsi" w:hAnsiTheme="majorHAnsi" w:cstheme="majorHAnsi"/>
              </w:rPr>
            </w:pPr>
            <w:r w:rsidRPr="00C37D44">
              <w:rPr>
                <w:rFonts w:asciiTheme="majorHAnsi" w:hAnsiTheme="majorHAnsi" w:cstheme="majorHAnsi"/>
              </w:rPr>
              <w:t>a single round sealed bid process with a zero reserve price (</w:t>
            </w:r>
            <w:r>
              <w:rPr>
                <w:rFonts w:asciiTheme="majorHAnsi" w:hAnsiTheme="majorHAnsi" w:cstheme="majorHAnsi"/>
              </w:rPr>
              <w:t xml:space="preserve">with </w:t>
            </w:r>
            <w:r w:rsidRPr="00C37D44">
              <w:rPr>
                <w:rFonts w:asciiTheme="majorHAnsi" w:hAnsiTheme="majorHAnsi" w:cstheme="majorHAnsi"/>
              </w:rPr>
              <w:t xml:space="preserve">compressor fuel provided in-kind </w:t>
            </w:r>
            <w:r>
              <w:rPr>
                <w:rFonts w:asciiTheme="majorHAnsi" w:hAnsiTheme="majorHAnsi" w:cstheme="majorHAnsi"/>
              </w:rPr>
              <w:t>or procured from the facility operator</w:t>
            </w:r>
            <w:r w:rsidRPr="00C37D44">
              <w:rPr>
                <w:rFonts w:asciiTheme="majorHAnsi" w:hAnsiTheme="majorHAnsi" w:cstheme="majorHAnsi"/>
              </w:rPr>
              <w:t>);</w:t>
            </w:r>
          </w:p>
          <w:p w:rsidR="005A49EC" w:rsidRPr="00C37D44" w:rsidRDefault="005A49EC" w:rsidP="001522F8">
            <w:pPr>
              <w:pStyle w:val="TableBullet1"/>
              <w:numPr>
                <w:ilvl w:val="0"/>
                <w:numId w:val="41"/>
              </w:numPr>
              <w:spacing w:before="40"/>
              <w:rPr>
                <w:rFonts w:asciiTheme="majorHAnsi" w:hAnsiTheme="majorHAnsi" w:cstheme="majorHAnsi"/>
              </w:rPr>
            </w:pPr>
            <w:r w:rsidRPr="00C37D44">
              <w:rPr>
                <w:rFonts w:asciiTheme="majorHAnsi" w:hAnsiTheme="majorHAnsi" w:cstheme="majorHAnsi"/>
              </w:rPr>
              <w:t>a pay-as-cleared pricing rule, which will be determined by the lowest accepted bids in the auction; and</w:t>
            </w:r>
          </w:p>
          <w:p w:rsidR="005A49EC" w:rsidRPr="00C37D44" w:rsidRDefault="005A49EC" w:rsidP="001522F8">
            <w:pPr>
              <w:pStyle w:val="TableBullet1"/>
              <w:numPr>
                <w:ilvl w:val="0"/>
                <w:numId w:val="41"/>
              </w:numPr>
              <w:spacing w:before="40"/>
              <w:rPr>
                <w:rFonts w:asciiTheme="majorHAnsi" w:hAnsiTheme="majorHAnsi" w:cstheme="majorHAnsi"/>
                <w:szCs w:val="18"/>
              </w:rPr>
            </w:pPr>
            <w:r w:rsidRPr="00C37D44">
              <w:rPr>
                <w:rFonts w:asciiTheme="majorHAnsi" w:hAnsiTheme="majorHAnsi" w:cstheme="majorHAnsi"/>
              </w:rPr>
              <w:t>auction winners to be determined using the revenue-maximising combination of bids, with auction proceeds to be allocated to service providers on the basis of the revenues achieved by the products provided by each auction facility operator.</w:t>
            </w:r>
          </w:p>
        </w:tc>
      </w:tr>
      <w:tr w:rsidR="005A49EC" w:rsidRPr="00C37D44" w:rsidTr="00535A2E">
        <w:trPr>
          <w:cnfStyle w:val="000000010000" w:firstRow="0" w:lastRow="0" w:firstColumn="0" w:lastColumn="0" w:oddVBand="0" w:evenVBand="0" w:oddHBand="0" w:evenHBand="1" w:firstRowFirstColumn="0" w:firstRowLastColumn="0" w:lastRowFirstColumn="0" w:lastRowLastColumn="0"/>
          <w:trHeight w:val="252"/>
        </w:trPr>
        <w:tc>
          <w:tcPr>
            <w:tcW w:w="365" w:type="dxa"/>
            <w:vMerge/>
            <w:tcBorders>
              <w:left w:val="nil"/>
              <w:bottom w:val="single" w:sz="4" w:space="0" w:color="auto"/>
              <w:right w:val="single" w:sz="4" w:space="0" w:color="auto"/>
            </w:tcBorders>
            <w:shd w:val="clear" w:color="auto" w:fill="FFFFFF" w:themeFill="background1"/>
            <w:vAlign w:val="center"/>
            <w:hideMark/>
          </w:tcPr>
          <w:p w:rsidR="005A49EC" w:rsidRPr="00C37D44" w:rsidRDefault="005A49EC" w:rsidP="001522F8">
            <w:pPr>
              <w:spacing w:before="40" w:after="80"/>
              <w:rPr>
                <w:rFonts w:asciiTheme="majorHAnsi" w:hAnsiTheme="majorHAnsi" w:cstheme="majorHAnsi"/>
                <w:b/>
                <w:szCs w:val="18"/>
              </w:rPr>
            </w:pPr>
          </w:p>
        </w:tc>
        <w:tc>
          <w:tcPr>
            <w:tcW w:w="1421" w:type="dxa"/>
            <w:tcBorders>
              <w:top w:val="single" w:sz="4" w:space="0" w:color="auto"/>
              <w:left w:val="single" w:sz="4" w:space="0" w:color="auto"/>
              <w:bottom w:val="single" w:sz="4" w:space="0" w:color="auto"/>
              <w:right w:val="single" w:sz="4" w:space="0" w:color="auto"/>
            </w:tcBorders>
            <w:shd w:val="clear" w:color="auto" w:fill="auto"/>
            <w:hideMark/>
          </w:tcPr>
          <w:p w:rsidR="005A49EC" w:rsidRPr="00C37D44" w:rsidRDefault="005A49EC" w:rsidP="001522F8">
            <w:pPr>
              <w:pStyle w:val="BodyText"/>
              <w:spacing w:before="40" w:after="80"/>
              <w:rPr>
                <w:rFonts w:asciiTheme="majorHAnsi" w:hAnsiTheme="majorHAnsi" w:cstheme="majorHAnsi"/>
                <w:b/>
                <w:szCs w:val="18"/>
              </w:rPr>
            </w:pPr>
            <w:r w:rsidRPr="00C37D44">
              <w:rPr>
                <w:rFonts w:asciiTheme="majorHAnsi" w:hAnsiTheme="majorHAnsi" w:cstheme="majorHAnsi"/>
                <w:b/>
                <w:szCs w:val="18"/>
              </w:rPr>
              <w:t>Auction quantity limits</w:t>
            </w:r>
          </w:p>
        </w:tc>
        <w:tc>
          <w:tcPr>
            <w:tcW w:w="12390" w:type="dxa"/>
            <w:tcBorders>
              <w:top w:val="single" w:sz="4" w:space="0" w:color="auto"/>
              <w:left w:val="single" w:sz="4" w:space="0" w:color="auto"/>
              <w:bottom w:val="single" w:sz="4" w:space="0" w:color="auto"/>
              <w:right w:val="nil"/>
            </w:tcBorders>
            <w:shd w:val="clear" w:color="auto" w:fill="auto"/>
            <w:hideMark/>
          </w:tcPr>
          <w:p w:rsidR="005A49EC" w:rsidRPr="00C37D44" w:rsidRDefault="005A49EC" w:rsidP="001522F8">
            <w:pPr>
              <w:pStyle w:val="TableBullet1"/>
              <w:numPr>
                <w:ilvl w:val="0"/>
                <w:numId w:val="0"/>
              </w:numPr>
              <w:spacing w:before="40"/>
              <w:ind w:left="85"/>
              <w:rPr>
                <w:rFonts w:asciiTheme="majorHAnsi" w:hAnsiTheme="majorHAnsi" w:cstheme="majorHAnsi"/>
              </w:rPr>
            </w:pPr>
            <w:r w:rsidRPr="00C37D44">
              <w:rPr>
                <w:rFonts w:asciiTheme="majorHAnsi" w:hAnsiTheme="majorHAnsi" w:cstheme="majorHAnsi"/>
              </w:rPr>
              <w:t xml:space="preserve">AEMO will be responsible for determining the methodology to be used to calculate the auction quantity limits (having regard to the principles in the NGR), which will be set out in the Capacity Transfer and Auction Procedures. </w:t>
            </w:r>
          </w:p>
          <w:p w:rsidR="005A49EC" w:rsidRPr="00C37D44" w:rsidRDefault="00DE4A10" w:rsidP="001522F8">
            <w:pPr>
              <w:pStyle w:val="TableBullet1"/>
              <w:numPr>
                <w:ilvl w:val="0"/>
                <w:numId w:val="0"/>
              </w:numPr>
              <w:spacing w:before="40"/>
              <w:ind w:left="85"/>
              <w:rPr>
                <w:rFonts w:asciiTheme="majorHAnsi" w:hAnsiTheme="majorHAnsi" w:cstheme="majorHAnsi"/>
              </w:rPr>
            </w:pPr>
            <w:r>
              <w:rPr>
                <w:rFonts w:asciiTheme="majorHAnsi" w:hAnsiTheme="majorHAnsi" w:cstheme="majorHAnsi"/>
              </w:rPr>
              <w:t xml:space="preserve">Auction facility operators </w:t>
            </w:r>
            <w:r w:rsidR="005A49EC" w:rsidRPr="00C37D44">
              <w:rPr>
                <w:rFonts w:asciiTheme="majorHAnsi" w:hAnsiTheme="majorHAnsi" w:cstheme="majorHAnsi"/>
              </w:rPr>
              <w:t>will be responsible for determining their facility’s auction quantity limits, operational capacity and any capacity shortfall (in accordance with provisions in the NGR and the Capacity Transfer and Auction Procedures</w:t>
            </w:r>
            <w:r w:rsidR="005A49EC">
              <w:rPr>
                <w:rFonts w:asciiTheme="majorHAnsi" w:hAnsiTheme="majorHAnsi" w:cstheme="majorHAnsi"/>
              </w:rPr>
              <w:t>)</w:t>
            </w:r>
            <w:r w:rsidR="005A49EC" w:rsidRPr="00C37D44">
              <w:rPr>
                <w:rFonts w:asciiTheme="majorHAnsi" w:hAnsiTheme="majorHAnsi" w:cstheme="majorHAnsi"/>
              </w:rPr>
              <w:t>.</w:t>
            </w:r>
            <w:r w:rsidR="005A49EC">
              <w:rPr>
                <w:rFonts w:asciiTheme="majorHAnsi" w:hAnsiTheme="majorHAnsi" w:cstheme="majorHAnsi"/>
              </w:rPr>
              <w:t xml:space="preserve"> The operational capacity must be determined in accordance with accepted good industry practice.</w:t>
            </w:r>
          </w:p>
        </w:tc>
      </w:tr>
      <w:tr w:rsidR="005A49EC" w:rsidRPr="00C37D44" w:rsidTr="00535A2E">
        <w:trPr>
          <w:trHeight w:val="237"/>
        </w:trPr>
        <w:tc>
          <w:tcPr>
            <w:tcW w:w="1786" w:type="dxa"/>
            <w:gridSpan w:val="2"/>
            <w:tcBorders>
              <w:top w:val="single" w:sz="4" w:space="0" w:color="auto"/>
              <w:left w:val="nil"/>
              <w:bottom w:val="single" w:sz="4" w:space="0" w:color="auto"/>
              <w:right w:val="single" w:sz="4" w:space="0" w:color="auto"/>
            </w:tcBorders>
            <w:shd w:val="clear" w:color="auto" w:fill="FFFFFF" w:themeFill="background1"/>
            <w:hideMark/>
          </w:tcPr>
          <w:p w:rsidR="005A49EC" w:rsidRPr="00C37D44" w:rsidRDefault="005A49EC" w:rsidP="001522F8">
            <w:pPr>
              <w:pStyle w:val="BodyText"/>
              <w:spacing w:before="40" w:after="80"/>
              <w:rPr>
                <w:rFonts w:asciiTheme="majorHAnsi" w:hAnsiTheme="majorHAnsi" w:cstheme="majorHAnsi"/>
                <w:b/>
                <w:szCs w:val="18"/>
              </w:rPr>
            </w:pPr>
            <w:r w:rsidRPr="00C37D44">
              <w:rPr>
                <w:rFonts w:asciiTheme="majorHAnsi" w:hAnsiTheme="majorHAnsi" w:cstheme="majorHAnsi"/>
                <w:b/>
                <w:szCs w:val="18"/>
              </w:rPr>
              <w:t>Treatment of curtailment</w:t>
            </w:r>
          </w:p>
        </w:tc>
        <w:tc>
          <w:tcPr>
            <w:tcW w:w="12390" w:type="dxa"/>
            <w:tcBorders>
              <w:top w:val="single" w:sz="4" w:space="0" w:color="auto"/>
              <w:left w:val="single" w:sz="4" w:space="0" w:color="auto"/>
              <w:bottom w:val="single" w:sz="4" w:space="0" w:color="auto"/>
              <w:right w:val="nil"/>
            </w:tcBorders>
            <w:shd w:val="clear" w:color="auto" w:fill="FFFFFF" w:themeFill="background1"/>
            <w:hideMark/>
          </w:tcPr>
          <w:p w:rsidR="005A49EC" w:rsidRPr="00C37D44" w:rsidRDefault="005A49EC" w:rsidP="001522F8">
            <w:pPr>
              <w:pStyle w:val="TableBullet1"/>
              <w:keepNext/>
              <w:numPr>
                <w:ilvl w:val="0"/>
                <w:numId w:val="0"/>
              </w:numPr>
              <w:tabs>
                <w:tab w:val="left" w:pos="720"/>
              </w:tabs>
              <w:spacing w:before="40"/>
              <w:ind w:left="85"/>
              <w:rPr>
                <w:rFonts w:asciiTheme="majorHAnsi" w:hAnsiTheme="majorHAnsi" w:cstheme="majorHAnsi"/>
                <w:szCs w:val="18"/>
              </w:rPr>
            </w:pPr>
            <w:r w:rsidRPr="00C37D44">
              <w:rPr>
                <w:rFonts w:asciiTheme="majorHAnsi" w:hAnsiTheme="majorHAnsi" w:cstheme="majorHAnsi"/>
                <w:szCs w:val="18"/>
              </w:rPr>
              <w:t>Given the auction product will not be a firm product, the following additional measures will be available to deal with the risk of curtailment, which could occur as a result of renominations by firm capacity holders or more general technical or operational constraints:</w:t>
            </w:r>
          </w:p>
          <w:p w:rsidR="005A49EC" w:rsidRPr="00C37D44" w:rsidRDefault="005817B4" w:rsidP="001522F8">
            <w:pPr>
              <w:pStyle w:val="TableBullet1"/>
              <w:keepNext/>
              <w:numPr>
                <w:ilvl w:val="0"/>
                <w:numId w:val="41"/>
              </w:numPr>
              <w:spacing w:before="40"/>
              <w:rPr>
                <w:rFonts w:asciiTheme="majorHAnsi" w:hAnsiTheme="majorHAnsi" w:cstheme="majorHAnsi"/>
                <w:szCs w:val="18"/>
              </w:rPr>
            </w:pPr>
            <w:r>
              <w:rPr>
                <w:rFonts w:asciiTheme="majorHAnsi" w:hAnsiTheme="majorHAnsi" w:cstheme="majorHAnsi"/>
                <w:szCs w:val="18"/>
              </w:rPr>
              <w:t xml:space="preserve">All </w:t>
            </w:r>
            <w:r w:rsidR="005A49EC" w:rsidRPr="00C37D44">
              <w:rPr>
                <w:rFonts w:asciiTheme="majorHAnsi" w:hAnsiTheme="majorHAnsi" w:cstheme="majorHAnsi"/>
                <w:szCs w:val="18"/>
              </w:rPr>
              <w:t xml:space="preserve">auction participants will be able to choose whether they are only curtailed on that </w:t>
            </w:r>
            <w:r w:rsidR="00DE4A10" w:rsidRPr="00C37D44">
              <w:rPr>
                <w:rFonts w:asciiTheme="majorHAnsi" w:hAnsiTheme="majorHAnsi" w:cstheme="majorHAnsi"/>
                <w:szCs w:val="18"/>
              </w:rPr>
              <w:t>product</w:t>
            </w:r>
            <w:r w:rsidR="00DE4A10">
              <w:rPr>
                <w:rFonts w:asciiTheme="majorHAnsi" w:hAnsiTheme="majorHAnsi" w:cstheme="majorHAnsi"/>
                <w:szCs w:val="18"/>
              </w:rPr>
              <w:t xml:space="preserve"> or</w:t>
            </w:r>
            <w:r w:rsidR="005A49EC" w:rsidRPr="00C37D44">
              <w:rPr>
                <w:rFonts w:asciiTheme="majorHAnsi" w:hAnsiTheme="majorHAnsi" w:cstheme="majorHAnsi"/>
                <w:szCs w:val="18"/>
              </w:rPr>
              <w:t xml:space="preserve"> curtailed across all products included in the winning bid (to operationalise this option, shippers will renominate down on the other products).</w:t>
            </w:r>
          </w:p>
          <w:p w:rsidR="005A49EC" w:rsidRDefault="005A49EC" w:rsidP="001522F8">
            <w:pPr>
              <w:pStyle w:val="TableBullet1"/>
              <w:keepNext/>
              <w:numPr>
                <w:ilvl w:val="0"/>
                <w:numId w:val="41"/>
              </w:numPr>
              <w:spacing w:before="40"/>
              <w:rPr>
                <w:rFonts w:asciiTheme="majorHAnsi" w:hAnsiTheme="majorHAnsi" w:cstheme="majorHAnsi"/>
                <w:szCs w:val="18"/>
              </w:rPr>
            </w:pPr>
            <w:r w:rsidRPr="00C37D44">
              <w:rPr>
                <w:rFonts w:asciiTheme="majorHAnsi" w:hAnsiTheme="majorHAnsi" w:cstheme="majorHAnsi"/>
                <w:szCs w:val="18"/>
              </w:rPr>
              <w:t xml:space="preserve">If curtailment is required, it will occur on a pro-rata basis </w:t>
            </w:r>
            <w:r w:rsidR="005817B4">
              <w:rPr>
                <w:rFonts w:asciiTheme="majorHAnsi" w:hAnsiTheme="majorHAnsi" w:cstheme="majorHAnsi"/>
                <w:szCs w:val="18"/>
              </w:rPr>
              <w:t xml:space="preserve">across auction capacity users </w:t>
            </w:r>
            <w:r w:rsidRPr="00C37D44">
              <w:rPr>
                <w:rFonts w:asciiTheme="majorHAnsi" w:hAnsiTheme="majorHAnsi" w:cstheme="majorHAnsi"/>
                <w:szCs w:val="18"/>
              </w:rPr>
              <w:t xml:space="preserve">and auction participants will not be required to pay for the curtailed capacity or the capacity that has been renominated down on other products. </w:t>
            </w:r>
          </w:p>
          <w:p w:rsidR="005817B4" w:rsidRPr="00C37D44" w:rsidRDefault="005817B4" w:rsidP="001522F8">
            <w:pPr>
              <w:pStyle w:val="TableBullet1"/>
              <w:keepNext/>
              <w:numPr>
                <w:ilvl w:val="0"/>
                <w:numId w:val="0"/>
              </w:numPr>
              <w:spacing w:before="40"/>
              <w:ind w:left="85"/>
              <w:rPr>
                <w:rFonts w:asciiTheme="majorHAnsi" w:hAnsiTheme="majorHAnsi" w:cstheme="majorHAnsi"/>
                <w:szCs w:val="18"/>
              </w:rPr>
            </w:pPr>
            <w:r w:rsidRPr="00C37D44">
              <w:rPr>
                <w:rFonts w:asciiTheme="majorHAnsi" w:hAnsiTheme="majorHAnsi" w:cstheme="majorHAnsi"/>
                <w:szCs w:val="18"/>
              </w:rPr>
              <w:t xml:space="preserve">Auction participants will </w:t>
            </w:r>
            <w:r>
              <w:rPr>
                <w:rFonts w:asciiTheme="majorHAnsi" w:hAnsiTheme="majorHAnsi" w:cstheme="majorHAnsi"/>
                <w:szCs w:val="18"/>
              </w:rPr>
              <w:t xml:space="preserve">also </w:t>
            </w:r>
            <w:r w:rsidRPr="00C37D44">
              <w:rPr>
                <w:rFonts w:asciiTheme="majorHAnsi" w:hAnsiTheme="majorHAnsi" w:cstheme="majorHAnsi"/>
                <w:szCs w:val="18"/>
              </w:rPr>
              <w:t>be able to try and avoid curtailment by procuring uncontracted capacity from the service provider of the asset that is experiencing the curtailment if such capacity is available (this will be a matter for negotiation).</w:t>
            </w:r>
            <w:r>
              <w:rPr>
                <w:rFonts w:asciiTheme="majorHAnsi" w:hAnsiTheme="majorHAnsi" w:cstheme="majorHAnsi"/>
                <w:szCs w:val="18"/>
              </w:rPr>
              <w:t xml:space="preserve"> </w:t>
            </w:r>
          </w:p>
        </w:tc>
      </w:tr>
      <w:tr w:rsidR="00C37D44" w:rsidRPr="00C37D44" w:rsidTr="001522F8">
        <w:trPr>
          <w:cnfStyle w:val="000000010000" w:firstRow="0" w:lastRow="0" w:firstColumn="0" w:lastColumn="0" w:oddVBand="0" w:evenVBand="0" w:oddHBand="0" w:evenHBand="1" w:firstRowFirstColumn="0" w:firstRowLastColumn="0" w:lastRowFirstColumn="0" w:lastRowLastColumn="0"/>
          <w:trHeight w:val="286"/>
        </w:trPr>
        <w:tc>
          <w:tcPr>
            <w:tcW w:w="1786" w:type="dxa"/>
            <w:gridSpan w:val="2"/>
            <w:tcBorders>
              <w:top w:val="single" w:sz="4" w:space="0" w:color="auto"/>
              <w:left w:val="nil"/>
              <w:bottom w:val="single" w:sz="4" w:space="0" w:color="auto"/>
              <w:right w:val="single" w:sz="4" w:space="0" w:color="auto"/>
            </w:tcBorders>
            <w:shd w:val="clear" w:color="auto" w:fill="FFFFFF" w:themeFill="background1"/>
          </w:tcPr>
          <w:p w:rsidR="00D30678" w:rsidRPr="00C37D44" w:rsidRDefault="00D30678" w:rsidP="001522F8">
            <w:pPr>
              <w:pStyle w:val="BodyText"/>
              <w:spacing w:before="40" w:after="80" w:line="252" w:lineRule="auto"/>
              <w:rPr>
                <w:rFonts w:asciiTheme="majorHAnsi" w:hAnsiTheme="majorHAnsi" w:cstheme="majorHAnsi"/>
                <w:b/>
                <w:szCs w:val="18"/>
              </w:rPr>
            </w:pPr>
            <w:r w:rsidRPr="00C37D44">
              <w:rPr>
                <w:rFonts w:asciiTheme="majorHAnsi" w:hAnsiTheme="majorHAnsi" w:cstheme="majorHAnsi"/>
                <w:b/>
                <w:szCs w:val="18"/>
              </w:rPr>
              <w:t>Information to be</w:t>
            </w:r>
            <w:r w:rsidR="00C733BC">
              <w:rPr>
                <w:rFonts w:asciiTheme="majorHAnsi" w:hAnsiTheme="majorHAnsi" w:cstheme="majorHAnsi"/>
                <w:b/>
                <w:szCs w:val="18"/>
              </w:rPr>
              <w:t xml:space="preserve"> provided and</w:t>
            </w:r>
            <w:r w:rsidRPr="00C37D44">
              <w:rPr>
                <w:rFonts w:asciiTheme="majorHAnsi" w:hAnsiTheme="majorHAnsi" w:cstheme="majorHAnsi"/>
                <w:b/>
                <w:szCs w:val="18"/>
              </w:rPr>
              <w:t xml:space="preserve"> published </w:t>
            </w:r>
          </w:p>
        </w:tc>
        <w:tc>
          <w:tcPr>
            <w:tcW w:w="12390" w:type="dxa"/>
            <w:tcBorders>
              <w:top w:val="single" w:sz="4" w:space="0" w:color="auto"/>
              <w:left w:val="single" w:sz="4" w:space="0" w:color="auto"/>
              <w:right w:val="nil"/>
            </w:tcBorders>
            <w:shd w:val="clear" w:color="auto" w:fill="FFFFFF" w:themeFill="background1"/>
          </w:tcPr>
          <w:p w:rsidR="00D30678" w:rsidRPr="00C37D44" w:rsidRDefault="00D30678" w:rsidP="001522F8">
            <w:pPr>
              <w:pStyle w:val="TableBodyText"/>
              <w:spacing w:before="40" w:line="252" w:lineRule="auto"/>
              <w:rPr>
                <w:rFonts w:asciiTheme="majorHAnsi" w:hAnsiTheme="majorHAnsi" w:cstheme="majorHAnsi"/>
                <w:szCs w:val="18"/>
              </w:rPr>
            </w:pPr>
            <w:r w:rsidRPr="00C37D44">
              <w:rPr>
                <w:rFonts w:asciiTheme="majorHAnsi" w:hAnsiTheme="majorHAnsi" w:cstheme="majorHAnsi"/>
                <w:szCs w:val="18"/>
              </w:rPr>
              <w:t xml:space="preserve">AEMO will be responsible for publishing a range of information pre- and post-auction on the </w:t>
            </w:r>
            <w:r w:rsidR="00ED04AE">
              <w:rPr>
                <w:rFonts w:asciiTheme="majorHAnsi" w:hAnsiTheme="majorHAnsi" w:cstheme="majorHAnsi"/>
                <w:szCs w:val="18"/>
              </w:rPr>
              <w:t>BB</w:t>
            </w:r>
            <w:r w:rsidRPr="00C37D44">
              <w:rPr>
                <w:rFonts w:asciiTheme="majorHAnsi" w:hAnsiTheme="majorHAnsi" w:cstheme="majorHAnsi"/>
                <w:szCs w:val="18"/>
              </w:rPr>
              <w:t xml:space="preserve">, which will be set out in the Capacity Transfer and Auction Procedures. This is expected to include information on: </w:t>
            </w:r>
          </w:p>
          <w:p w:rsidR="00D30678" w:rsidRPr="00C37D44" w:rsidRDefault="00D30678" w:rsidP="001522F8">
            <w:pPr>
              <w:pStyle w:val="TableBullet1"/>
              <w:numPr>
                <w:ilvl w:val="0"/>
                <w:numId w:val="41"/>
              </w:numPr>
              <w:spacing w:before="40" w:line="252" w:lineRule="auto"/>
              <w:rPr>
                <w:rFonts w:asciiTheme="majorHAnsi" w:hAnsiTheme="majorHAnsi" w:cstheme="majorHAnsi"/>
                <w:szCs w:val="18"/>
              </w:rPr>
            </w:pPr>
            <w:r w:rsidRPr="00C37D44">
              <w:rPr>
                <w:rFonts w:asciiTheme="majorHAnsi" w:hAnsiTheme="majorHAnsi" w:cstheme="majorHAnsi"/>
                <w:szCs w:val="18"/>
              </w:rPr>
              <w:t>the products that will be available in the auction and the auction quantities prior to the auction being conducted (</w:t>
            </w:r>
            <w:bookmarkStart w:id="26" w:name="_Hlk518306353"/>
            <w:r w:rsidR="00DE4A10">
              <w:rPr>
                <w:rFonts w:asciiTheme="majorHAnsi" w:hAnsiTheme="majorHAnsi" w:cstheme="majorHAnsi"/>
                <w:szCs w:val="18"/>
              </w:rPr>
              <w:t xml:space="preserve">the NGR will allow </w:t>
            </w:r>
            <w:r w:rsidRPr="00C37D44">
              <w:rPr>
                <w:rFonts w:asciiTheme="majorHAnsi" w:hAnsiTheme="majorHAnsi" w:cstheme="majorHAnsi"/>
                <w:szCs w:val="18"/>
              </w:rPr>
              <w:t xml:space="preserve">AEMO to implement measures to ensure the publication of information does not directly or indirectly disclose a nomination made by a </w:t>
            </w:r>
            <w:r w:rsidR="00DE4A10">
              <w:rPr>
                <w:rFonts w:asciiTheme="majorHAnsi" w:hAnsiTheme="majorHAnsi" w:cstheme="majorHAnsi"/>
                <w:szCs w:val="18"/>
              </w:rPr>
              <w:t>market generating unit</w:t>
            </w:r>
            <w:r w:rsidRPr="00C37D44">
              <w:rPr>
                <w:rFonts w:asciiTheme="majorHAnsi" w:hAnsiTheme="majorHAnsi" w:cstheme="majorHAnsi"/>
                <w:szCs w:val="18"/>
              </w:rPr>
              <w:t>)</w:t>
            </w:r>
            <w:bookmarkEnd w:id="26"/>
            <w:r w:rsidRPr="00C37D44">
              <w:rPr>
                <w:rFonts w:asciiTheme="majorHAnsi" w:hAnsiTheme="majorHAnsi" w:cstheme="majorHAnsi"/>
                <w:szCs w:val="18"/>
              </w:rPr>
              <w:t xml:space="preserve">; </w:t>
            </w:r>
          </w:p>
          <w:p w:rsidR="00D30678" w:rsidRPr="00C37D44" w:rsidRDefault="00D30678" w:rsidP="001522F8">
            <w:pPr>
              <w:pStyle w:val="TableBullet1"/>
              <w:numPr>
                <w:ilvl w:val="0"/>
                <w:numId w:val="41"/>
              </w:numPr>
              <w:spacing w:before="40" w:line="252" w:lineRule="auto"/>
              <w:rPr>
                <w:rFonts w:asciiTheme="majorHAnsi" w:hAnsiTheme="majorHAnsi" w:cstheme="majorHAnsi"/>
                <w:szCs w:val="18"/>
              </w:rPr>
            </w:pPr>
            <w:r w:rsidRPr="00C37D44">
              <w:rPr>
                <w:rFonts w:asciiTheme="majorHAnsi" w:hAnsiTheme="majorHAnsi" w:cstheme="majorHAnsi"/>
                <w:szCs w:val="18"/>
              </w:rPr>
              <w:t xml:space="preserve">the results of the auction (e.g. clearing prices, </w:t>
            </w:r>
            <w:r w:rsidR="007F6490">
              <w:rPr>
                <w:rFonts w:asciiTheme="majorHAnsi" w:hAnsiTheme="majorHAnsi" w:cstheme="majorHAnsi"/>
                <w:szCs w:val="18"/>
              </w:rPr>
              <w:t xml:space="preserve">price sensitivities, </w:t>
            </w:r>
            <w:r w:rsidRPr="00C37D44">
              <w:rPr>
                <w:rFonts w:asciiTheme="majorHAnsi" w:hAnsiTheme="majorHAnsi" w:cstheme="majorHAnsi"/>
                <w:szCs w:val="18"/>
              </w:rPr>
              <w:t>quantities of auction capacity allocated and, where relevant, the amount of auctioned capacity that has been curtailed), which, until sufficient liquidity develops in this market, will not include the bid stack; and</w:t>
            </w:r>
          </w:p>
          <w:p w:rsidR="00D30678" w:rsidRPr="00C37D44" w:rsidRDefault="00DE4A10" w:rsidP="001522F8">
            <w:pPr>
              <w:pStyle w:val="TableBullet1"/>
              <w:numPr>
                <w:ilvl w:val="0"/>
                <w:numId w:val="41"/>
              </w:numPr>
              <w:spacing w:before="40" w:line="252" w:lineRule="auto"/>
              <w:rPr>
                <w:rFonts w:asciiTheme="majorHAnsi" w:hAnsiTheme="majorHAnsi" w:cstheme="majorHAnsi"/>
                <w:szCs w:val="18"/>
              </w:rPr>
            </w:pPr>
            <w:r>
              <w:rPr>
                <w:rFonts w:asciiTheme="majorHAnsi" w:hAnsiTheme="majorHAnsi" w:cstheme="majorHAnsi"/>
                <w:szCs w:val="18"/>
              </w:rPr>
              <w:t xml:space="preserve">whether a facility has classified any transitional firm services and </w:t>
            </w:r>
            <w:r w:rsidR="00D30678" w:rsidRPr="00C37D44">
              <w:rPr>
                <w:rFonts w:asciiTheme="majorHAnsi" w:hAnsiTheme="majorHAnsi" w:cstheme="majorHAnsi"/>
                <w:szCs w:val="18"/>
              </w:rPr>
              <w:t xml:space="preserve">the amount of </w:t>
            </w:r>
            <w:r>
              <w:rPr>
                <w:rFonts w:asciiTheme="majorHAnsi" w:hAnsiTheme="majorHAnsi" w:cstheme="majorHAnsi"/>
                <w:szCs w:val="18"/>
              </w:rPr>
              <w:t>transitional firm</w:t>
            </w:r>
            <w:r w:rsidR="00D30678" w:rsidRPr="00C37D44">
              <w:rPr>
                <w:rFonts w:asciiTheme="majorHAnsi" w:hAnsiTheme="majorHAnsi" w:cstheme="majorHAnsi"/>
                <w:szCs w:val="18"/>
              </w:rPr>
              <w:t xml:space="preserve"> </w:t>
            </w:r>
            <w:r>
              <w:rPr>
                <w:rFonts w:asciiTheme="majorHAnsi" w:hAnsiTheme="majorHAnsi" w:cstheme="majorHAnsi"/>
                <w:szCs w:val="18"/>
              </w:rPr>
              <w:t xml:space="preserve">services </w:t>
            </w:r>
            <w:r w:rsidR="00D30678" w:rsidRPr="00C37D44">
              <w:rPr>
                <w:rFonts w:asciiTheme="majorHAnsi" w:hAnsiTheme="majorHAnsi" w:cstheme="majorHAnsi"/>
                <w:szCs w:val="18"/>
              </w:rPr>
              <w:t xml:space="preserve">taken into account in the calculation of the auction quantity limits, which will be published after the gas day. </w:t>
            </w:r>
          </w:p>
          <w:p w:rsidR="00D30678" w:rsidRDefault="00D30678" w:rsidP="001522F8">
            <w:pPr>
              <w:pStyle w:val="TableBullet1"/>
              <w:numPr>
                <w:ilvl w:val="0"/>
                <w:numId w:val="0"/>
              </w:numPr>
              <w:spacing w:before="40" w:line="252" w:lineRule="auto"/>
              <w:ind w:left="85"/>
              <w:rPr>
                <w:rFonts w:asciiTheme="majorHAnsi" w:hAnsiTheme="majorHAnsi" w:cstheme="majorHAnsi"/>
                <w:szCs w:val="18"/>
              </w:rPr>
            </w:pPr>
            <w:r w:rsidRPr="00C37D44">
              <w:rPr>
                <w:rFonts w:asciiTheme="majorHAnsi" w:hAnsiTheme="majorHAnsi" w:cstheme="majorHAnsi"/>
                <w:szCs w:val="18"/>
              </w:rPr>
              <w:t xml:space="preserve">Service providers will also be required to report when an intra-day curtailment of auctioned capacity occurs </w:t>
            </w:r>
            <w:r w:rsidR="005817B4">
              <w:rPr>
                <w:rFonts w:asciiTheme="majorHAnsi" w:hAnsiTheme="majorHAnsi" w:cstheme="majorHAnsi"/>
                <w:szCs w:val="18"/>
              </w:rPr>
              <w:t xml:space="preserve">and why it has occurred (e.g. due to a renomination or a general curtailment event) </w:t>
            </w:r>
            <w:r w:rsidRPr="00C37D44">
              <w:rPr>
                <w:rFonts w:asciiTheme="majorHAnsi" w:hAnsiTheme="majorHAnsi" w:cstheme="majorHAnsi"/>
                <w:szCs w:val="18"/>
              </w:rPr>
              <w:t xml:space="preserve">and indicate </w:t>
            </w:r>
            <w:r w:rsidR="00DE4A10" w:rsidRPr="00C37D44">
              <w:rPr>
                <w:rFonts w:asciiTheme="majorHAnsi" w:hAnsiTheme="majorHAnsi" w:cstheme="majorHAnsi"/>
                <w:szCs w:val="18"/>
              </w:rPr>
              <w:t>whether</w:t>
            </w:r>
            <w:r w:rsidRPr="00C37D44">
              <w:rPr>
                <w:rFonts w:asciiTheme="majorHAnsi" w:hAnsiTheme="majorHAnsi" w:cstheme="majorHAnsi"/>
                <w:szCs w:val="18"/>
              </w:rPr>
              <w:t xml:space="preserve"> it is a material curtailment (i.e. more than 10% of the auctioned capacity has been curtailed). If the </w:t>
            </w:r>
            <w:r w:rsidR="005817B4">
              <w:rPr>
                <w:rFonts w:asciiTheme="majorHAnsi" w:hAnsiTheme="majorHAnsi" w:cstheme="majorHAnsi"/>
                <w:szCs w:val="18"/>
              </w:rPr>
              <w:t xml:space="preserve">reason for the curtailment or </w:t>
            </w:r>
            <w:r w:rsidRPr="00C37D44">
              <w:rPr>
                <w:rFonts w:asciiTheme="majorHAnsi" w:hAnsiTheme="majorHAnsi" w:cstheme="majorHAnsi"/>
                <w:szCs w:val="18"/>
              </w:rPr>
              <w:t xml:space="preserve">extent of the curtailment changes through the day, </w:t>
            </w:r>
            <w:r w:rsidR="00816C04">
              <w:rPr>
                <w:rFonts w:asciiTheme="majorHAnsi" w:hAnsiTheme="majorHAnsi" w:cstheme="majorHAnsi"/>
                <w:szCs w:val="18"/>
              </w:rPr>
              <w:t>this information will need to be updated</w:t>
            </w:r>
            <w:r w:rsidRPr="00C37D44">
              <w:rPr>
                <w:rFonts w:asciiTheme="majorHAnsi" w:hAnsiTheme="majorHAnsi" w:cstheme="majorHAnsi"/>
                <w:szCs w:val="18"/>
              </w:rPr>
              <w:t xml:space="preserve">. </w:t>
            </w:r>
          </w:p>
          <w:p w:rsidR="00C733BC" w:rsidRPr="00C37D44" w:rsidRDefault="00C733BC" w:rsidP="001522F8">
            <w:pPr>
              <w:pStyle w:val="TableBullet1"/>
              <w:numPr>
                <w:ilvl w:val="0"/>
                <w:numId w:val="0"/>
              </w:numPr>
              <w:spacing w:before="40" w:line="252" w:lineRule="auto"/>
              <w:ind w:left="85"/>
              <w:rPr>
                <w:rFonts w:asciiTheme="majorHAnsi" w:hAnsiTheme="majorHAnsi" w:cstheme="majorHAnsi"/>
                <w:szCs w:val="18"/>
              </w:rPr>
            </w:pPr>
            <w:r>
              <w:rPr>
                <w:rFonts w:asciiTheme="majorHAnsi" w:hAnsiTheme="majorHAnsi" w:cstheme="majorHAnsi"/>
                <w:szCs w:val="18"/>
              </w:rPr>
              <w:t xml:space="preserve">Service providers will also be required to provide other information that AEMO requires for the purposes of the auction in accordance with the Capacity Transfer and Auction Procedures, including revisions if settlement information contains an error or discrepancy. </w:t>
            </w:r>
          </w:p>
        </w:tc>
      </w:tr>
      <w:tr w:rsidR="00C37D44" w:rsidRPr="00C37D44" w:rsidTr="00535A2E">
        <w:trPr>
          <w:trHeight w:val="56"/>
        </w:trPr>
        <w:tc>
          <w:tcPr>
            <w:tcW w:w="1786" w:type="dxa"/>
            <w:gridSpan w:val="2"/>
            <w:tcBorders>
              <w:top w:val="single" w:sz="4" w:space="0" w:color="auto"/>
              <w:left w:val="nil"/>
              <w:bottom w:val="single" w:sz="4" w:space="0" w:color="auto"/>
              <w:right w:val="single" w:sz="4" w:space="0" w:color="auto"/>
            </w:tcBorders>
            <w:shd w:val="clear" w:color="auto" w:fill="FFFFFF" w:themeFill="background1"/>
            <w:hideMark/>
          </w:tcPr>
          <w:p w:rsidR="00D30678" w:rsidRPr="00DE4A10" w:rsidRDefault="00D30678" w:rsidP="001522F8">
            <w:pPr>
              <w:pStyle w:val="BodyText"/>
              <w:spacing w:before="80" w:after="80"/>
              <w:rPr>
                <w:rFonts w:asciiTheme="majorHAnsi" w:hAnsiTheme="majorHAnsi" w:cstheme="majorHAnsi"/>
                <w:b/>
                <w:szCs w:val="18"/>
              </w:rPr>
            </w:pPr>
            <w:r w:rsidRPr="00DE4A10">
              <w:rPr>
                <w:rFonts w:asciiTheme="majorHAnsi" w:hAnsiTheme="majorHAnsi" w:cstheme="majorHAnsi"/>
                <w:b/>
                <w:szCs w:val="18"/>
              </w:rPr>
              <w:lastRenderedPageBreak/>
              <w:t>Market conduct related rules</w:t>
            </w:r>
          </w:p>
        </w:tc>
        <w:tc>
          <w:tcPr>
            <w:tcW w:w="12390" w:type="dxa"/>
            <w:tcBorders>
              <w:top w:val="single" w:sz="4" w:space="0" w:color="auto"/>
              <w:left w:val="single" w:sz="4" w:space="0" w:color="auto"/>
              <w:bottom w:val="single" w:sz="4" w:space="0" w:color="auto"/>
              <w:right w:val="nil"/>
            </w:tcBorders>
            <w:shd w:val="clear" w:color="auto" w:fill="FFFFFF" w:themeFill="background1"/>
          </w:tcPr>
          <w:p w:rsidR="00D30678" w:rsidRPr="00DE4A10" w:rsidRDefault="00D30678" w:rsidP="001522F8">
            <w:pPr>
              <w:pStyle w:val="TableBullet1"/>
              <w:spacing w:before="80" w:after="80"/>
              <w:rPr>
                <w:rFonts w:asciiTheme="majorHAnsi" w:hAnsiTheme="majorHAnsi" w:cstheme="majorHAnsi"/>
                <w:szCs w:val="18"/>
              </w:rPr>
            </w:pPr>
            <w:r w:rsidRPr="00DE4A10">
              <w:rPr>
                <w:rFonts w:asciiTheme="majorHAnsi" w:hAnsiTheme="majorHAnsi" w:cstheme="majorHAnsi"/>
                <w:lang w:eastAsia="fr-CA"/>
              </w:rPr>
              <w:t xml:space="preserve">Auction participants will be required to comply with similar general </w:t>
            </w:r>
            <w:r w:rsidR="004D7661" w:rsidRPr="00DE4A10">
              <w:rPr>
                <w:rFonts w:asciiTheme="majorHAnsi" w:hAnsiTheme="majorHAnsi" w:cstheme="majorHAnsi"/>
                <w:lang w:eastAsia="fr-CA"/>
              </w:rPr>
              <w:t xml:space="preserve">conduct </w:t>
            </w:r>
            <w:r w:rsidRPr="00DE4A10">
              <w:rPr>
                <w:rFonts w:asciiTheme="majorHAnsi" w:hAnsiTheme="majorHAnsi" w:cstheme="majorHAnsi"/>
                <w:lang w:eastAsia="fr-CA"/>
              </w:rPr>
              <w:t xml:space="preserve">requirements (e.g. not to act fraudulently, dishonestly or in bad faith) and market conduct rules (e.g. an auction participant must not manipulate or attempt to manipulate the auction) to those </w:t>
            </w:r>
            <w:r w:rsidR="00005355">
              <w:rPr>
                <w:rFonts w:asciiTheme="majorHAnsi" w:hAnsiTheme="majorHAnsi" w:cstheme="majorHAnsi"/>
                <w:lang w:eastAsia="fr-CA"/>
              </w:rPr>
              <w:t xml:space="preserve">that </w:t>
            </w:r>
            <w:r w:rsidRPr="00DE4A10">
              <w:rPr>
                <w:rFonts w:asciiTheme="majorHAnsi" w:hAnsiTheme="majorHAnsi" w:cstheme="majorHAnsi"/>
                <w:lang w:eastAsia="fr-CA"/>
              </w:rPr>
              <w:t xml:space="preserve">apply in the GSH. </w:t>
            </w:r>
          </w:p>
          <w:p w:rsidR="00D30678" w:rsidRPr="00DE4A10" w:rsidRDefault="00D30678" w:rsidP="001522F8">
            <w:pPr>
              <w:pStyle w:val="TableBullet1"/>
              <w:spacing w:before="80" w:after="80"/>
              <w:rPr>
                <w:rFonts w:asciiTheme="majorHAnsi" w:hAnsiTheme="majorHAnsi" w:cstheme="majorHAnsi"/>
                <w:szCs w:val="18"/>
              </w:rPr>
            </w:pPr>
            <w:r w:rsidRPr="00DE4A10">
              <w:rPr>
                <w:rFonts w:asciiTheme="majorHAnsi" w:hAnsiTheme="majorHAnsi" w:cstheme="majorHAnsi"/>
                <w:szCs w:val="18"/>
              </w:rPr>
              <w:t xml:space="preserve">To ameliorate the gaming risks associated with nominations and renomination rights, shippers will be prohibited from </w:t>
            </w:r>
            <w:r w:rsidRPr="00DE4A10">
              <w:rPr>
                <w:rFonts w:asciiTheme="majorHAnsi" w:hAnsiTheme="majorHAnsi" w:cstheme="majorHAnsi"/>
                <w:lang w:eastAsia="fr-CA"/>
              </w:rPr>
              <w:t xml:space="preserve">making a nomination or renomination that is false, misleading or likely to mislead. </w:t>
            </w:r>
          </w:p>
          <w:p w:rsidR="00D30678" w:rsidRPr="00DE4A10" w:rsidRDefault="00816C04" w:rsidP="001522F8">
            <w:pPr>
              <w:pStyle w:val="TableBullet1"/>
              <w:spacing w:before="80" w:after="80"/>
              <w:rPr>
                <w:rFonts w:asciiTheme="majorHAnsi" w:hAnsiTheme="majorHAnsi" w:cstheme="majorHAnsi"/>
                <w:szCs w:val="18"/>
              </w:rPr>
            </w:pPr>
            <w:r w:rsidRPr="00DE4A10">
              <w:rPr>
                <w:rFonts w:asciiTheme="majorHAnsi" w:hAnsiTheme="majorHAnsi" w:cstheme="majorHAnsi"/>
                <w:szCs w:val="18"/>
              </w:rPr>
              <w:t xml:space="preserve">Service providers </w:t>
            </w:r>
            <w:r w:rsidR="00D30678" w:rsidRPr="00DE4A10">
              <w:rPr>
                <w:rFonts w:asciiTheme="majorHAnsi" w:hAnsiTheme="majorHAnsi" w:cstheme="majorHAnsi"/>
                <w:szCs w:val="18"/>
              </w:rPr>
              <w:t xml:space="preserve">will be prohibited from bidding (directly or indirectly) in the auction for capacity on their own </w:t>
            </w:r>
            <w:r w:rsidR="00DE4A10" w:rsidRPr="00DE4A10">
              <w:rPr>
                <w:rFonts w:asciiTheme="majorHAnsi" w:hAnsiTheme="majorHAnsi" w:cstheme="majorHAnsi"/>
                <w:szCs w:val="18"/>
              </w:rPr>
              <w:t>facility or</w:t>
            </w:r>
            <w:r w:rsidR="00D30678" w:rsidRPr="00DE4A10">
              <w:rPr>
                <w:rFonts w:asciiTheme="majorHAnsi" w:hAnsiTheme="majorHAnsi" w:cstheme="majorHAnsi"/>
                <w:szCs w:val="18"/>
              </w:rPr>
              <w:t xml:space="preserve"> engaging in conduct with the intent of distorting or manipulating prices.</w:t>
            </w:r>
          </w:p>
        </w:tc>
      </w:tr>
      <w:tr w:rsidR="0056070C" w:rsidRPr="00C37D44" w:rsidTr="00535A2E">
        <w:trPr>
          <w:cnfStyle w:val="000000010000" w:firstRow="0" w:lastRow="0" w:firstColumn="0" w:lastColumn="0" w:oddVBand="0" w:evenVBand="0" w:oddHBand="0" w:evenHBand="1" w:firstRowFirstColumn="0" w:firstRowLastColumn="0" w:lastRowFirstColumn="0" w:lastRowLastColumn="0"/>
          <w:trHeight w:val="56"/>
        </w:trPr>
        <w:tc>
          <w:tcPr>
            <w:tcW w:w="1786" w:type="dxa"/>
            <w:gridSpan w:val="2"/>
            <w:tcBorders>
              <w:top w:val="single" w:sz="4" w:space="0" w:color="auto"/>
              <w:left w:val="nil"/>
              <w:right w:val="single" w:sz="4" w:space="0" w:color="auto"/>
            </w:tcBorders>
            <w:shd w:val="clear" w:color="auto" w:fill="FFFFFF" w:themeFill="background1"/>
          </w:tcPr>
          <w:p w:rsidR="0056070C" w:rsidRPr="00C37D44" w:rsidRDefault="0056070C" w:rsidP="001522F8">
            <w:pPr>
              <w:pStyle w:val="BodyText"/>
              <w:spacing w:before="80" w:after="80"/>
              <w:rPr>
                <w:rFonts w:asciiTheme="majorHAnsi" w:hAnsiTheme="majorHAnsi" w:cstheme="majorHAnsi"/>
                <w:b/>
                <w:szCs w:val="18"/>
              </w:rPr>
            </w:pPr>
            <w:r>
              <w:rPr>
                <w:rFonts w:asciiTheme="majorHAnsi" w:hAnsiTheme="majorHAnsi" w:cstheme="majorHAnsi"/>
                <w:b/>
                <w:szCs w:val="18"/>
              </w:rPr>
              <w:t>Auction payments</w:t>
            </w:r>
          </w:p>
        </w:tc>
        <w:tc>
          <w:tcPr>
            <w:tcW w:w="12390" w:type="dxa"/>
            <w:tcBorders>
              <w:top w:val="single" w:sz="4" w:space="0" w:color="auto"/>
              <w:left w:val="single" w:sz="4" w:space="0" w:color="auto"/>
              <w:right w:val="nil"/>
            </w:tcBorders>
            <w:shd w:val="clear" w:color="auto" w:fill="FFFFFF" w:themeFill="background1"/>
          </w:tcPr>
          <w:p w:rsidR="0056070C" w:rsidRDefault="0056070C" w:rsidP="001522F8">
            <w:pPr>
              <w:pStyle w:val="TableBullet1"/>
              <w:numPr>
                <w:ilvl w:val="0"/>
                <w:numId w:val="0"/>
              </w:numPr>
              <w:spacing w:before="80" w:after="80"/>
              <w:ind w:left="85"/>
              <w:rPr>
                <w:rFonts w:asciiTheme="majorHAnsi" w:hAnsiTheme="majorHAnsi" w:cstheme="majorHAnsi"/>
                <w:lang w:eastAsia="fr-CA"/>
              </w:rPr>
            </w:pPr>
            <w:r>
              <w:rPr>
                <w:rFonts w:asciiTheme="majorHAnsi" w:hAnsiTheme="majorHAnsi" w:cstheme="majorHAnsi"/>
                <w:lang w:eastAsia="fr-CA"/>
              </w:rPr>
              <w:t xml:space="preserve">The Capacity Transfer and Auction Procedures </w:t>
            </w:r>
            <w:r w:rsidR="00B96986">
              <w:rPr>
                <w:rFonts w:asciiTheme="majorHAnsi" w:hAnsiTheme="majorHAnsi" w:cstheme="majorHAnsi"/>
                <w:lang w:eastAsia="fr-CA"/>
              </w:rPr>
              <w:t>will</w:t>
            </w:r>
            <w:r>
              <w:rPr>
                <w:rFonts w:asciiTheme="majorHAnsi" w:hAnsiTheme="majorHAnsi" w:cstheme="majorHAnsi"/>
                <w:lang w:eastAsia="fr-CA"/>
              </w:rPr>
              <w:t xml:space="preserve"> specify the method to be used to determine the maximum total payment to facility operators. The</w:t>
            </w:r>
            <w:r w:rsidR="00464273">
              <w:rPr>
                <w:rFonts w:asciiTheme="majorHAnsi" w:hAnsiTheme="majorHAnsi" w:cstheme="majorHAnsi"/>
                <w:lang w:eastAsia="fr-CA"/>
              </w:rPr>
              <w:t>se</w:t>
            </w:r>
            <w:r>
              <w:rPr>
                <w:rFonts w:asciiTheme="majorHAnsi" w:hAnsiTheme="majorHAnsi" w:cstheme="majorHAnsi"/>
                <w:lang w:eastAsia="fr-CA"/>
              </w:rPr>
              <w:t xml:space="preserve"> </w:t>
            </w:r>
            <w:r w:rsidR="00464273">
              <w:rPr>
                <w:rFonts w:asciiTheme="majorHAnsi" w:hAnsiTheme="majorHAnsi" w:cstheme="majorHAnsi"/>
                <w:lang w:eastAsia="fr-CA"/>
              </w:rPr>
              <w:t>p</w:t>
            </w:r>
            <w:r>
              <w:rPr>
                <w:rFonts w:asciiTheme="majorHAnsi" w:hAnsiTheme="majorHAnsi" w:cstheme="majorHAnsi"/>
                <w:lang w:eastAsia="fr-CA"/>
              </w:rPr>
              <w:t xml:space="preserve">rocedures will also set out what is to occur if: </w:t>
            </w:r>
          </w:p>
          <w:p w:rsidR="0056070C" w:rsidRDefault="0056070C" w:rsidP="001522F8">
            <w:pPr>
              <w:pStyle w:val="TableBullet1"/>
              <w:spacing w:before="80" w:after="80"/>
              <w:rPr>
                <w:rFonts w:asciiTheme="majorHAnsi" w:hAnsiTheme="majorHAnsi" w:cstheme="majorHAnsi"/>
                <w:lang w:eastAsia="fr-CA"/>
              </w:rPr>
            </w:pPr>
            <w:r>
              <w:rPr>
                <w:rFonts w:asciiTheme="majorHAnsi" w:hAnsiTheme="majorHAnsi" w:cstheme="majorHAnsi"/>
                <w:lang w:eastAsia="fr-CA"/>
              </w:rPr>
              <w:t xml:space="preserve">there is a shortfall in the amount AEMO has been paid, or which AEMO is able to recover through credit support; and </w:t>
            </w:r>
          </w:p>
          <w:p w:rsidR="0056070C" w:rsidRPr="00C37D44" w:rsidRDefault="0056070C" w:rsidP="001522F8">
            <w:pPr>
              <w:pStyle w:val="TableBullet1"/>
              <w:spacing w:before="80" w:after="80"/>
              <w:rPr>
                <w:rFonts w:asciiTheme="majorHAnsi" w:hAnsiTheme="majorHAnsi" w:cstheme="majorHAnsi"/>
                <w:lang w:eastAsia="fr-CA"/>
              </w:rPr>
            </w:pPr>
            <w:r>
              <w:rPr>
                <w:rFonts w:asciiTheme="majorHAnsi" w:hAnsiTheme="majorHAnsi" w:cstheme="majorHAnsi"/>
                <w:lang w:eastAsia="fr-CA"/>
              </w:rPr>
              <w:t xml:space="preserve">AEMO subsequently receives payment of a shortfall amount. </w:t>
            </w:r>
          </w:p>
        </w:tc>
      </w:tr>
    </w:tbl>
    <w:p w:rsidR="00D30678" w:rsidRPr="00C37D44" w:rsidRDefault="00D30678" w:rsidP="00D30678">
      <w:pPr>
        <w:pStyle w:val="BodyText"/>
        <w:rPr>
          <w:rFonts w:asciiTheme="majorHAnsi" w:hAnsiTheme="majorHAnsi" w:cstheme="majorHAnsi"/>
        </w:rPr>
        <w:sectPr w:rsidR="00D30678" w:rsidRPr="00C37D44" w:rsidSect="001E0C23">
          <w:headerReference w:type="default" r:id="rId23"/>
          <w:footerReference w:type="default" r:id="rId24"/>
          <w:pgSz w:w="16839" w:h="11907" w:orient="landscape"/>
          <w:pgMar w:top="1701" w:right="1418" w:bottom="568" w:left="1701" w:header="567" w:footer="397" w:gutter="0"/>
          <w:cols w:space="720"/>
          <w:docGrid w:linePitch="299"/>
        </w:sectPr>
      </w:pPr>
    </w:p>
    <w:p w:rsidR="00D30678" w:rsidRPr="00C37D44" w:rsidRDefault="00D30678" w:rsidP="00D30678">
      <w:pPr>
        <w:pStyle w:val="Caption"/>
        <w:spacing w:before="0" w:after="0"/>
        <w:rPr>
          <w:rFonts w:asciiTheme="majorHAnsi" w:hAnsiTheme="majorHAnsi" w:cstheme="majorHAnsi"/>
        </w:rPr>
      </w:pPr>
      <w:bookmarkStart w:id="27" w:name="_Ref508864311"/>
      <w:r w:rsidRPr="00C37D44">
        <w:rPr>
          <w:rFonts w:asciiTheme="majorHAnsi" w:hAnsiTheme="majorHAnsi" w:cstheme="majorHAnsi"/>
        </w:rPr>
        <w:lastRenderedPageBreak/>
        <w:t>Table A.4</w:t>
      </w:r>
      <w:bookmarkEnd w:id="27"/>
      <w:r w:rsidRPr="00C37D44">
        <w:rPr>
          <w:rFonts w:asciiTheme="majorHAnsi" w:hAnsiTheme="majorHAnsi" w:cstheme="majorHAnsi"/>
        </w:rPr>
        <w:t xml:space="preserve">: Final design of the reporting framework for secondary capacity trades and other transparency measures </w:t>
      </w:r>
    </w:p>
    <w:tbl>
      <w:tblPr>
        <w:tblW w:w="5118" w:type="pct"/>
        <w:tblCellMar>
          <w:left w:w="0" w:type="dxa"/>
          <w:right w:w="0" w:type="dxa"/>
        </w:tblCellMar>
        <w:tblLook w:val="0420" w:firstRow="1" w:lastRow="0" w:firstColumn="0" w:lastColumn="0" w:noHBand="0" w:noVBand="1"/>
      </w:tblPr>
      <w:tblGrid>
        <w:gridCol w:w="1691"/>
        <w:gridCol w:w="12332"/>
      </w:tblGrid>
      <w:tr w:rsidR="008A6083" w:rsidRPr="00C37D44" w:rsidTr="00DF13EF">
        <w:trPr>
          <w:trHeight w:val="19"/>
          <w:tblHeader/>
        </w:trPr>
        <w:tc>
          <w:tcPr>
            <w:tcW w:w="603" w:type="pct"/>
            <w:tcBorders>
              <w:top w:val="single" w:sz="4" w:space="0" w:color="auto"/>
              <w:left w:val="single" w:sz="8" w:space="0" w:color="FFFFFF"/>
              <w:bottom w:val="single" w:sz="4" w:space="0" w:color="auto"/>
              <w:right w:val="single" w:sz="4" w:space="0" w:color="auto"/>
            </w:tcBorders>
            <w:shd w:val="clear" w:color="auto" w:fill="0099CC"/>
            <w:tcMar>
              <w:top w:w="72" w:type="dxa"/>
              <w:left w:w="144" w:type="dxa"/>
              <w:bottom w:w="72" w:type="dxa"/>
              <w:right w:w="144" w:type="dxa"/>
            </w:tcMar>
            <w:hideMark/>
          </w:tcPr>
          <w:p w:rsidR="00D30678" w:rsidRPr="00D30678" w:rsidRDefault="00D30678" w:rsidP="008A6083">
            <w:pPr>
              <w:pStyle w:val="BodyText"/>
              <w:keepNext/>
              <w:spacing w:before="0" w:after="20" w:line="240" w:lineRule="auto"/>
              <w:rPr>
                <w:rFonts w:asciiTheme="majorHAnsi" w:hAnsiTheme="majorHAnsi" w:cstheme="majorHAnsi"/>
                <w:color w:val="FFFFFF" w:themeColor="background1"/>
                <w:sz w:val="18"/>
                <w:szCs w:val="18"/>
              </w:rPr>
            </w:pPr>
            <w:r w:rsidRPr="00D30678">
              <w:rPr>
                <w:rFonts w:asciiTheme="majorHAnsi" w:hAnsiTheme="majorHAnsi" w:cstheme="majorHAnsi"/>
                <w:b/>
                <w:bCs/>
                <w:color w:val="FFFFFF" w:themeColor="background1"/>
                <w:sz w:val="18"/>
                <w:szCs w:val="18"/>
              </w:rPr>
              <w:t>Design Element</w:t>
            </w:r>
          </w:p>
        </w:tc>
        <w:tc>
          <w:tcPr>
            <w:tcW w:w="4397" w:type="pct"/>
            <w:tcBorders>
              <w:top w:val="single" w:sz="4" w:space="0" w:color="auto"/>
              <w:left w:val="single" w:sz="4" w:space="0" w:color="auto"/>
              <w:bottom w:val="single" w:sz="4" w:space="0" w:color="auto"/>
              <w:right w:val="single" w:sz="8" w:space="0" w:color="FFFFFF"/>
            </w:tcBorders>
            <w:shd w:val="clear" w:color="auto" w:fill="0099CC"/>
            <w:tcMar>
              <w:top w:w="72" w:type="dxa"/>
              <w:left w:w="144" w:type="dxa"/>
              <w:bottom w:w="72" w:type="dxa"/>
              <w:right w:w="144" w:type="dxa"/>
            </w:tcMar>
            <w:hideMark/>
          </w:tcPr>
          <w:p w:rsidR="00D30678" w:rsidRPr="00F04A8E" w:rsidRDefault="00D30678" w:rsidP="008A6083">
            <w:pPr>
              <w:pStyle w:val="BodyText"/>
              <w:keepNext/>
              <w:spacing w:before="0" w:after="20" w:line="240" w:lineRule="auto"/>
              <w:rPr>
                <w:rFonts w:asciiTheme="majorHAnsi" w:hAnsiTheme="majorHAnsi" w:cstheme="majorHAnsi"/>
                <w:color w:val="FFFFFF" w:themeColor="background1"/>
                <w:sz w:val="18"/>
                <w:szCs w:val="18"/>
              </w:rPr>
            </w:pPr>
            <w:r w:rsidRPr="00F04A8E">
              <w:rPr>
                <w:rFonts w:asciiTheme="majorHAnsi" w:hAnsiTheme="majorHAnsi" w:cstheme="majorHAnsi"/>
                <w:b/>
                <w:bCs/>
                <w:color w:val="FFFFFF" w:themeColor="background1"/>
                <w:sz w:val="18"/>
                <w:szCs w:val="18"/>
              </w:rPr>
              <w:t>Detail</w:t>
            </w:r>
          </w:p>
        </w:tc>
      </w:tr>
      <w:tr w:rsidR="008A6083" w:rsidRPr="00C37D44" w:rsidTr="00DF13EF">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rsidR="00D30678" w:rsidRPr="00D30678" w:rsidRDefault="00D30678" w:rsidP="008A6083">
            <w:pPr>
              <w:pStyle w:val="BodyText"/>
              <w:keepNext/>
              <w:spacing w:before="0" w:after="20" w:line="240" w:lineRule="auto"/>
              <w:jc w:val="center"/>
              <w:rPr>
                <w:rFonts w:asciiTheme="majorHAnsi" w:hAnsiTheme="majorHAnsi" w:cstheme="majorHAnsi"/>
                <w:b/>
                <w:sz w:val="18"/>
                <w:szCs w:val="18"/>
              </w:rPr>
            </w:pPr>
            <w:r w:rsidRPr="00D30678">
              <w:rPr>
                <w:rFonts w:asciiTheme="majorHAnsi" w:hAnsiTheme="majorHAnsi" w:cstheme="majorHAnsi"/>
                <w:b/>
                <w:color w:val="FFFFFF" w:themeColor="background1"/>
                <w:sz w:val="18"/>
                <w:szCs w:val="18"/>
              </w:rPr>
              <w:t>Reporting framework for secondary capacity trades</w:t>
            </w:r>
          </w:p>
        </w:tc>
      </w:tr>
      <w:tr w:rsidR="008A6083" w:rsidRPr="00C37D44" w:rsidTr="00DF13EF">
        <w:trPr>
          <w:trHeight w:val="1718"/>
        </w:trPr>
        <w:tc>
          <w:tcPr>
            <w:tcW w:w="603"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hideMark/>
          </w:tcPr>
          <w:p w:rsidR="00D30678" w:rsidRPr="00F04A8E" w:rsidRDefault="00D30678" w:rsidP="00E51942">
            <w:pPr>
              <w:pStyle w:val="BodyText"/>
              <w:spacing w:before="40" w:after="40" w:line="252" w:lineRule="auto"/>
              <w:rPr>
                <w:rFonts w:asciiTheme="majorHAnsi" w:hAnsiTheme="majorHAnsi" w:cstheme="majorHAnsi"/>
                <w:sz w:val="18"/>
                <w:szCs w:val="18"/>
              </w:rPr>
            </w:pPr>
            <w:r w:rsidRPr="00D30678">
              <w:rPr>
                <w:rFonts w:asciiTheme="majorHAnsi" w:hAnsiTheme="majorHAnsi" w:cstheme="majorHAnsi"/>
                <w:sz w:val="18"/>
                <w:szCs w:val="18"/>
              </w:rPr>
              <w:t>Trades to be reported</w:t>
            </w:r>
          </w:p>
        </w:tc>
        <w:tc>
          <w:tcPr>
            <w:tcW w:w="4397"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hideMark/>
          </w:tcPr>
          <w:p w:rsidR="00D30678" w:rsidRPr="00C37D44" w:rsidRDefault="00D30678" w:rsidP="00E51942">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 xml:space="preserve">Information on the following secondary capacity transactions </w:t>
            </w:r>
            <w:r w:rsidR="00464273">
              <w:rPr>
                <w:rFonts w:asciiTheme="majorHAnsi" w:hAnsiTheme="majorHAnsi" w:cstheme="majorHAnsi"/>
                <w:sz w:val="18"/>
                <w:szCs w:val="18"/>
              </w:rPr>
              <w:t>must</w:t>
            </w:r>
            <w:r w:rsidRPr="00C37D44">
              <w:rPr>
                <w:rFonts w:asciiTheme="majorHAnsi" w:hAnsiTheme="majorHAnsi" w:cstheme="majorHAnsi"/>
                <w:sz w:val="18"/>
                <w:szCs w:val="18"/>
              </w:rPr>
              <w:t xml:space="preserve"> be reported</w:t>
            </w:r>
            <w:r w:rsidR="00464273">
              <w:rPr>
                <w:rFonts w:asciiTheme="majorHAnsi" w:hAnsiTheme="majorHAnsi" w:cstheme="majorHAnsi"/>
                <w:sz w:val="18"/>
                <w:szCs w:val="18"/>
              </w:rPr>
              <w:t xml:space="preserve"> to AEMO for publication on the BB</w:t>
            </w:r>
            <w:r w:rsidRPr="00C37D44">
              <w:rPr>
                <w:rFonts w:asciiTheme="majorHAnsi" w:hAnsiTheme="majorHAnsi" w:cstheme="majorHAnsi"/>
                <w:sz w:val="18"/>
                <w:szCs w:val="18"/>
              </w:rPr>
              <w:t>:</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all screen and pre-matched trades carried out through the capacity trading platform; and </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bilateral trades of capacity </w:t>
            </w:r>
            <w:r w:rsidR="00816C04">
              <w:rPr>
                <w:rFonts w:asciiTheme="majorHAnsi" w:hAnsiTheme="majorHAnsi" w:cstheme="majorHAnsi"/>
                <w:szCs w:val="18"/>
              </w:rPr>
              <w:t xml:space="preserve">(bare transfers and operational transfers) </w:t>
            </w:r>
            <w:r w:rsidRPr="00C37D44">
              <w:rPr>
                <w:rFonts w:asciiTheme="majorHAnsi" w:hAnsiTheme="majorHAnsi" w:cstheme="majorHAnsi"/>
                <w:szCs w:val="18"/>
              </w:rPr>
              <w:t>involving forward haul, backhaul, park, loan or compression services (excluding services on distribution pipelines).</w:t>
            </w:r>
          </w:p>
          <w:p w:rsidR="00D30678" w:rsidRPr="00C37D44" w:rsidRDefault="00D30678" w:rsidP="00E51942">
            <w:pPr>
              <w:pStyle w:val="TableBullet1"/>
              <w:numPr>
                <w:ilvl w:val="0"/>
                <w:numId w:val="0"/>
              </w:numPr>
              <w:spacing w:before="40" w:after="40" w:line="252" w:lineRule="auto"/>
              <w:ind w:left="312" w:hanging="227"/>
              <w:rPr>
                <w:rFonts w:asciiTheme="majorHAnsi" w:hAnsiTheme="majorHAnsi" w:cstheme="majorHAnsi"/>
                <w:szCs w:val="18"/>
              </w:rPr>
            </w:pPr>
            <w:r w:rsidRPr="00C37D44">
              <w:rPr>
                <w:rFonts w:asciiTheme="majorHAnsi" w:hAnsiTheme="majorHAnsi" w:cstheme="majorHAnsi"/>
                <w:szCs w:val="18"/>
              </w:rPr>
              <w:t>The following transactions will not be required to be reported:</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use of capacity to satisfy an obligation </w:t>
            </w:r>
            <w:r w:rsidR="00DE4A10">
              <w:rPr>
                <w:rFonts w:asciiTheme="majorHAnsi" w:hAnsiTheme="majorHAnsi" w:cstheme="majorHAnsi"/>
                <w:szCs w:val="18"/>
              </w:rPr>
              <w:t xml:space="preserve">under </w:t>
            </w:r>
            <w:r w:rsidR="00340E07">
              <w:rPr>
                <w:rFonts w:asciiTheme="majorHAnsi" w:hAnsiTheme="majorHAnsi" w:cstheme="majorHAnsi"/>
                <w:szCs w:val="18"/>
              </w:rPr>
              <w:t>an agreement for the supply of natural gas</w:t>
            </w:r>
            <w:r w:rsidRPr="00C37D44">
              <w:rPr>
                <w:rFonts w:asciiTheme="majorHAnsi" w:hAnsiTheme="majorHAnsi" w:cstheme="majorHAnsi"/>
                <w:szCs w:val="18"/>
              </w:rPr>
              <w:t>;</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an agreement to swap a quantity of gas at a location for a quantity of natural gas at another location;</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a novation of an agreement with a service provider; or </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transactions between closely related entities.</w:t>
            </w:r>
          </w:p>
          <w:p w:rsidR="00D30678" w:rsidRPr="00C37D44" w:rsidRDefault="00D30678" w:rsidP="00E51942">
            <w:pPr>
              <w:pStyle w:val="TableBullet1"/>
              <w:numPr>
                <w:ilvl w:val="0"/>
                <w:numId w:val="0"/>
              </w:numPr>
              <w:spacing w:before="40" w:after="40" w:line="252" w:lineRule="auto"/>
              <w:ind w:left="85"/>
              <w:rPr>
                <w:rFonts w:asciiTheme="majorHAnsi" w:hAnsiTheme="majorHAnsi" w:cstheme="majorHAnsi"/>
                <w:szCs w:val="18"/>
              </w:rPr>
            </w:pPr>
            <w:r w:rsidRPr="00C37D44">
              <w:rPr>
                <w:rFonts w:asciiTheme="majorHAnsi" w:hAnsiTheme="majorHAnsi" w:cstheme="majorHAnsi"/>
                <w:szCs w:val="18"/>
              </w:rPr>
              <w:t>Note that apart from these exclusions there are no facility based exemptions from secondary capacity reporting framework. Parties enter</w:t>
            </w:r>
            <w:r w:rsidR="001A0F9C">
              <w:rPr>
                <w:rFonts w:asciiTheme="majorHAnsi" w:hAnsiTheme="majorHAnsi" w:cstheme="majorHAnsi"/>
                <w:szCs w:val="18"/>
              </w:rPr>
              <w:t>ing</w:t>
            </w:r>
            <w:r w:rsidRPr="00C37D44">
              <w:rPr>
                <w:rFonts w:asciiTheme="majorHAnsi" w:hAnsiTheme="majorHAnsi" w:cstheme="majorHAnsi"/>
                <w:szCs w:val="18"/>
              </w:rPr>
              <w:t xml:space="preserve"> into trades on facilities </w:t>
            </w:r>
            <w:r w:rsidR="00860EAD">
              <w:rPr>
                <w:rFonts w:asciiTheme="majorHAnsi" w:hAnsiTheme="majorHAnsi" w:cstheme="majorHAnsi"/>
                <w:szCs w:val="18"/>
              </w:rPr>
              <w:t xml:space="preserve">with </w:t>
            </w:r>
            <w:r w:rsidR="00E85B24">
              <w:rPr>
                <w:rFonts w:asciiTheme="majorHAnsi" w:hAnsiTheme="majorHAnsi" w:cstheme="majorHAnsi"/>
                <w:szCs w:val="18"/>
              </w:rPr>
              <w:t xml:space="preserve">an exemption (see Table A.1) </w:t>
            </w:r>
            <w:r w:rsidRPr="00C37D44">
              <w:rPr>
                <w:rFonts w:asciiTheme="majorHAnsi" w:hAnsiTheme="majorHAnsi" w:cstheme="majorHAnsi"/>
                <w:szCs w:val="18"/>
              </w:rPr>
              <w:t xml:space="preserve">will therefore be required to report </w:t>
            </w:r>
            <w:r w:rsidR="00860EAD">
              <w:rPr>
                <w:rFonts w:asciiTheme="majorHAnsi" w:hAnsiTheme="majorHAnsi" w:cstheme="majorHAnsi"/>
                <w:szCs w:val="18"/>
              </w:rPr>
              <w:t xml:space="preserve">the </w:t>
            </w:r>
            <w:r w:rsidRPr="00C37D44">
              <w:rPr>
                <w:rFonts w:asciiTheme="majorHAnsi" w:hAnsiTheme="majorHAnsi" w:cstheme="majorHAnsi"/>
                <w:szCs w:val="18"/>
              </w:rPr>
              <w:t>trades unless</w:t>
            </w:r>
            <w:r w:rsidR="00F029CD">
              <w:rPr>
                <w:rFonts w:asciiTheme="majorHAnsi" w:hAnsiTheme="majorHAnsi" w:cstheme="majorHAnsi"/>
                <w:szCs w:val="18"/>
              </w:rPr>
              <w:t xml:space="preserve"> the trade</w:t>
            </w:r>
            <w:r w:rsidR="00860EAD">
              <w:rPr>
                <w:rFonts w:asciiTheme="majorHAnsi" w:hAnsiTheme="majorHAnsi" w:cstheme="majorHAnsi"/>
                <w:szCs w:val="18"/>
              </w:rPr>
              <w:t xml:space="preserve"> </w:t>
            </w:r>
            <w:r w:rsidRPr="00C37D44">
              <w:rPr>
                <w:rFonts w:asciiTheme="majorHAnsi" w:hAnsiTheme="majorHAnsi" w:cstheme="majorHAnsi"/>
                <w:szCs w:val="18"/>
              </w:rPr>
              <w:t>fall</w:t>
            </w:r>
            <w:r w:rsidR="001A0F9C">
              <w:rPr>
                <w:rFonts w:asciiTheme="majorHAnsi" w:hAnsiTheme="majorHAnsi" w:cstheme="majorHAnsi"/>
                <w:szCs w:val="18"/>
              </w:rPr>
              <w:t>s</w:t>
            </w:r>
            <w:r w:rsidRPr="00C37D44">
              <w:rPr>
                <w:rFonts w:asciiTheme="majorHAnsi" w:hAnsiTheme="majorHAnsi" w:cstheme="majorHAnsi"/>
                <w:szCs w:val="18"/>
              </w:rPr>
              <w:t xml:space="preserve"> into </w:t>
            </w:r>
            <w:r w:rsidR="001A0F9C">
              <w:rPr>
                <w:rFonts w:asciiTheme="majorHAnsi" w:hAnsiTheme="majorHAnsi" w:cstheme="majorHAnsi"/>
                <w:szCs w:val="18"/>
              </w:rPr>
              <w:t xml:space="preserve">a </w:t>
            </w:r>
            <w:r w:rsidRPr="00C37D44">
              <w:rPr>
                <w:rFonts w:asciiTheme="majorHAnsi" w:hAnsiTheme="majorHAnsi" w:cstheme="majorHAnsi"/>
                <w:szCs w:val="18"/>
              </w:rPr>
              <w:t>categor</w:t>
            </w:r>
            <w:r w:rsidR="001A0F9C">
              <w:rPr>
                <w:rFonts w:asciiTheme="majorHAnsi" w:hAnsiTheme="majorHAnsi" w:cstheme="majorHAnsi"/>
                <w:szCs w:val="18"/>
              </w:rPr>
              <w:t xml:space="preserve">y </w:t>
            </w:r>
            <w:r w:rsidR="00B96986">
              <w:rPr>
                <w:rFonts w:asciiTheme="majorHAnsi" w:hAnsiTheme="majorHAnsi" w:cstheme="majorHAnsi"/>
                <w:szCs w:val="18"/>
              </w:rPr>
              <w:t xml:space="preserve">listed </w:t>
            </w:r>
            <w:r w:rsidRPr="00C37D44">
              <w:rPr>
                <w:rFonts w:asciiTheme="majorHAnsi" w:hAnsiTheme="majorHAnsi" w:cstheme="majorHAnsi"/>
                <w:szCs w:val="18"/>
              </w:rPr>
              <w:t>above.</w:t>
            </w:r>
          </w:p>
        </w:tc>
      </w:tr>
      <w:tr w:rsidR="008A6083" w:rsidRPr="00C37D44" w:rsidTr="00DF13EF">
        <w:trPr>
          <w:trHeight w:val="2574"/>
        </w:trPr>
        <w:tc>
          <w:tcPr>
            <w:tcW w:w="603"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D30678" w:rsidRPr="00F04A8E" w:rsidRDefault="00D30678" w:rsidP="00E51942">
            <w:pPr>
              <w:pStyle w:val="BodyText"/>
              <w:spacing w:before="40" w:after="40" w:line="252" w:lineRule="auto"/>
              <w:rPr>
                <w:rFonts w:asciiTheme="majorHAnsi" w:hAnsiTheme="majorHAnsi" w:cstheme="majorHAnsi"/>
                <w:sz w:val="18"/>
                <w:szCs w:val="18"/>
              </w:rPr>
            </w:pPr>
            <w:r w:rsidRPr="00D30678">
              <w:rPr>
                <w:rFonts w:asciiTheme="majorHAnsi" w:hAnsiTheme="majorHAnsi" w:cstheme="majorHAnsi"/>
                <w:sz w:val="18"/>
                <w:szCs w:val="18"/>
              </w:rPr>
              <w:t>Information to be reported</w:t>
            </w:r>
          </w:p>
        </w:tc>
        <w:tc>
          <w:tcPr>
            <w:tcW w:w="4397"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D30678" w:rsidRPr="00C37D44" w:rsidRDefault="00D30678" w:rsidP="00E51942">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The following information on secondary capacity trades will need to be reported:</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w:t>
            </w:r>
            <w:r w:rsidR="00DE4A10">
              <w:rPr>
                <w:rFonts w:asciiTheme="majorHAnsi" w:hAnsiTheme="majorHAnsi" w:cstheme="majorHAnsi"/>
                <w:szCs w:val="18"/>
              </w:rPr>
              <w:t xml:space="preserve">identity of the </w:t>
            </w:r>
            <w:r w:rsidRPr="00C37D44">
              <w:rPr>
                <w:rFonts w:asciiTheme="majorHAnsi" w:hAnsiTheme="majorHAnsi" w:cstheme="majorHAnsi"/>
                <w:szCs w:val="18"/>
              </w:rPr>
              <w:t xml:space="preserve">trading parties and </w:t>
            </w:r>
            <w:r w:rsidR="00DE4A10">
              <w:rPr>
                <w:rFonts w:asciiTheme="majorHAnsi" w:hAnsiTheme="majorHAnsi" w:cstheme="majorHAnsi"/>
                <w:szCs w:val="18"/>
              </w:rPr>
              <w:t>who the seller is</w:t>
            </w:r>
            <w:r w:rsidRPr="00C37D44">
              <w:rPr>
                <w:rFonts w:asciiTheme="majorHAnsi" w:hAnsiTheme="majorHAnsi" w:cstheme="majorHAnsi"/>
                <w:szCs w:val="18"/>
              </w:rPr>
              <w:t>;</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the trade date and service term;</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the transportation facility that the trade relates to;</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the type of service purchased and the priority of the service (e.g. firm, as available, interruptible);</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type of trade and for bilateral trades, whether the trade is on the same or substantially the same terms as </w:t>
            </w:r>
            <w:r w:rsidR="00DF13EF">
              <w:rPr>
                <w:rFonts w:asciiTheme="majorHAnsi" w:hAnsiTheme="majorHAnsi" w:cstheme="majorHAnsi"/>
                <w:szCs w:val="18"/>
              </w:rPr>
              <w:t xml:space="preserve">those </w:t>
            </w:r>
            <w:r w:rsidR="00F029CD">
              <w:rPr>
                <w:rFonts w:asciiTheme="majorHAnsi" w:hAnsiTheme="majorHAnsi" w:cstheme="majorHAnsi"/>
                <w:szCs w:val="18"/>
              </w:rPr>
              <w:t xml:space="preserve">in </w:t>
            </w:r>
            <w:r w:rsidRPr="00C37D44">
              <w:rPr>
                <w:rFonts w:asciiTheme="majorHAnsi" w:hAnsiTheme="majorHAnsi" w:cstheme="majorHAnsi"/>
                <w:szCs w:val="18"/>
              </w:rPr>
              <w:t xml:space="preserve">the </w:t>
            </w:r>
            <w:r w:rsidR="00DF13EF">
              <w:rPr>
                <w:rFonts w:asciiTheme="majorHAnsi" w:hAnsiTheme="majorHAnsi" w:cstheme="majorHAnsi"/>
                <w:szCs w:val="18"/>
              </w:rPr>
              <w:t xml:space="preserve">facility’s </w:t>
            </w:r>
            <w:r w:rsidRPr="00C37D44">
              <w:rPr>
                <w:rFonts w:asciiTheme="majorHAnsi" w:hAnsiTheme="majorHAnsi" w:cstheme="majorHAnsi"/>
                <w:szCs w:val="18"/>
              </w:rPr>
              <w:t>standard OTSA;</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where relevant, the direction of the service and the points between which gas is transported;</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the amount of capacity procured (maximum daily quantity (MDQ)) and for bilateral trades the maximum hourly quantity (MHQ); and</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the price paid (including, where relevant, the price structure and price escalation mechanism). </w:t>
            </w:r>
          </w:p>
          <w:p w:rsidR="00DE4A10" w:rsidRDefault="001E0C23" w:rsidP="00E51942">
            <w:pPr>
              <w:pStyle w:val="TableBullet1"/>
              <w:numPr>
                <w:ilvl w:val="0"/>
                <w:numId w:val="0"/>
              </w:numPr>
              <w:spacing w:before="40" w:after="40" w:line="252" w:lineRule="auto"/>
              <w:ind w:left="85"/>
              <w:rPr>
                <w:rFonts w:asciiTheme="majorHAnsi" w:hAnsiTheme="majorHAnsi" w:cstheme="majorHAnsi"/>
                <w:szCs w:val="18"/>
              </w:rPr>
            </w:pPr>
            <w:r>
              <w:rPr>
                <w:rFonts w:asciiTheme="majorHAnsi" w:hAnsiTheme="majorHAnsi" w:cstheme="majorHAnsi"/>
                <w:szCs w:val="18"/>
              </w:rPr>
              <w:t xml:space="preserve">If </w:t>
            </w:r>
            <w:r w:rsidR="00005355">
              <w:rPr>
                <w:rFonts w:asciiTheme="majorHAnsi" w:hAnsiTheme="majorHAnsi" w:cstheme="majorHAnsi"/>
                <w:szCs w:val="18"/>
              </w:rPr>
              <w:t xml:space="preserve">it is </w:t>
            </w:r>
            <w:r>
              <w:rPr>
                <w:rFonts w:asciiTheme="majorHAnsi" w:hAnsiTheme="majorHAnsi" w:cstheme="majorHAnsi"/>
                <w:szCs w:val="18"/>
              </w:rPr>
              <w:t xml:space="preserve">not practicable to report some of this information (i.e. due to the nature or terms of the transaction), then a reasonable estimate or approximation will need to be reported. </w:t>
            </w:r>
          </w:p>
          <w:p w:rsidR="00D30678" w:rsidRPr="00C37D44" w:rsidRDefault="001E0C23" w:rsidP="00E51942">
            <w:pPr>
              <w:pStyle w:val="TableBullet1"/>
              <w:numPr>
                <w:ilvl w:val="0"/>
                <w:numId w:val="0"/>
              </w:numPr>
              <w:spacing w:before="40" w:after="40" w:line="252" w:lineRule="auto"/>
              <w:ind w:left="85"/>
              <w:rPr>
                <w:rFonts w:asciiTheme="majorHAnsi" w:hAnsiTheme="majorHAnsi" w:cstheme="majorHAnsi"/>
                <w:szCs w:val="18"/>
              </w:rPr>
            </w:pPr>
            <w:r w:rsidRPr="00C23976">
              <w:rPr>
                <w:rFonts w:asciiTheme="majorHAnsi" w:hAnsiTheme="majorHAnsi" w:cstheme="majorHAnsi"/>
                <w:szCs w:val="18"/>
              </w:rPr>
              <w:t xml:space="preserve">Note that while information on the </w:t>
            </w:r>
            <w:r w:rsidR="00DE4A10">
              <w:rPr>
                <w:rFonts w:asciiTheme="majorHAnsi" w:hAnsiTheme="majorHAnsi" w:cstheme="majorHAnsi"/>
                <w:szCs w:val="18"/>
              </w:rPr>
              <w:t xml:space="preserve">trading parties and </w:t>
            </w:r>
            <w:r w:rsidRPr="00C23976">
              <w:rPr>
                <w:rFonts w:asciiTheme="majorHAnsi" w:hAnsiTheme="majorHAnsi" w:cstheme="majorHAnsi"/>
                <w:szCs w:val="18"/>
              </w:rPr>
              <w:t xml:space="preserve">receipt and delivery points is </w:t>
            </w:r>
            <w:r w:rsidR="00B96986">
              <w:rPr>
                <w:rFonts w:asciiTheme="majorHAnsi" w:hAnsiTheme="majorHAnsi" w:cstheme="majorHAnsi"/>
                <w:szCs w:val="18"/>
              </w:rPr>
              <w:t xml:space="preserve">required </w:t>
            </w:r>
            <w:r w:rsidRPr="00C23976">
              <w:rPr>
                <w:rFonts w:asciiTheme="majorHAnsi" w:hAnsiTheme="majorHAnsi" w:cstheme="majorHAnsi"/>
                <w:szCs w:val="18"/>
              </w:rPr>
              <w:t xml:space="preserve">to be reported, AEMO will </w:t>
            </w:r>
            <w:r w:rsidR="00DE4A10">
              <w:rPr>
                <w:rFonts w:asciiTheme="majorHAnsi" w:hAnsiTheme="majorHAnsi" w:cstheme="majorHAnsi"/>
                <w:szCs w:val="18"/>
              </w:rPr>
              <w:t xml:space="preserve">be </w:t>
            </w:r>
            <w:r w:rsidRPr="00C23976">
              <w:rPr>
                <w:rFonts w:asciiTheme="majorHAnsi" w:hAnsiTheme="majorHAnsi" w:cstheme="majorHAnsi"/>
                <w:szCs w:val="18"/>
              </w:rPr>
              <w:t>prevented from publishing the names of the trading parties</w:t>
            </w:r>
            <w:r w:rsidR="00DE4A10">
              <w:rPr>
                <w:rFonts w:asciiTheme="majorHAnsi" w:hAnsiTheme="majorHAnsi" w:cstheme="majorHAnsi"/>
                <w:szCs w:val="18"/>
              </w:rPr>
              <w:t xml:space="preserve"> and will be required </w:t>
            </w:r>
            <w:r w:rsidR="00DE4A10" w:rsidRPr="00C23976">
              <w:rPr>
                <w:rFonts w:asciiTheme="majorHAnsi" w:hAnsiTheme="majorHAnsi" w:cstheme="majorHAnsi"/>
                <w:szCs w:val="18"/>
              </w:rPr>
              <w:t xml:space="preserve">publish the </w:t>
            </w:r>
            <w:r w:rsidR="00DE4A10">
              <w:rPr>
                <w:rFonts w:asciiTheme="majorHAnsi" w:hAnsiTheme="majorHAnsi" w:cstheme="majorHAnsi"/>
                <w:szCs w:val="18"/>
              </w:rPr>
              <w:t xml:space="preserve">trades </w:t>
            </w:r>
            <w:r w:rsidR="00DE4A10" w:rsidRPr="00C23976">
              <w:rPr>
                <w:rFonts w:asciiTheme="majorHAnsi" w:hAnsiTheme="majorHAnsi" w:cstheme="majorHAnsi"/>
                <w:szCs w:val="18"/>
              </w:rPr>
              <w:t>on a zonal basis</w:t>
            </w:r>
            <w:r w:rsidR="00DE4A10">
              <w:rPr>
                <w:rFonts w:asciiTheme="majorHAnsi" w:hAnsiTheme="majorHAnsi" w:cstheme="majorHAnsi"/>
                <w:szCs w:val="18"/>
              </w:rPr>
              <w:t xml:space="preserve"> (or a facility basis if the transportation facility is not subject to the capacity trading reforms)</w:t>
            </w:r>
            <w:r>
              <w:rPr>
                <w:rFonts w:asciiTheme="majorHAnsi" w:hAnsiTheme="majorHAnsi" w:cstheme="majorHAnsi"/>
                <w:szCs w:val="18"/>
              </w:rPr>
              <w:t>.</w:t>
            </w:r>
          </w:p>
        </w:tc>
      </w:tr>
      <w:tr w:rsidR="008A6083" w:rsidRPr="00C37D44" w:rsidTr="00DF13EF">
        <w:trPr>
          <w:trHeight w:val="1160"/>
        </w:trPr>
        <w:tc>
          <w:tcPr>
            <w:tcW w:w="603"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D30678" w:rsidRPr="00C37D44" w:rsidRDefault="00D30678" w:rsidP="00E51942">
            <w:pPr>
              <w:pStyle w:val="BodyText"/>
              <w:spacing w:before="40" w:after="40" w:line="252" w:lineRule="auto"/>
              <w:rPr>
                <w:rFonts w:asciiTheme="majorHAnsi" w:hAnsiTheme="majorHAnsi" w:cstheme="majorHAnsi"/>
                <w:sz w:val="18"/>
                <w:szCs w:val="18"/>
              </w:rPr>
            </w:pPr>
            <w:r w:rsidRPr="00D30678">
              <w:rPr>
                <w:rFonts w:asciiTheme="majorHAnsi" w:hAnsiTheme="majorHAnsi" w:cstheme="majorHAnsi"/>
                <w:sz w:val="18"/>
                <w:szCs w:val="18"/>
              </w:rPr>
              <w:lastRenderedPageBreak/>
              <w:t xml:space="preserve">When and where </w:t>
            </w:r>
            <w:r w:rsidRPr="00F04A8E">
              <w:rPr>
                <w:rFonts w:asciiTheme="majorHAnsi" w:hAnsiTheme="majorHAnsi" w:cstheme="majorHAnsi"/>
                <w:sz w:val="18"/>
                <w:szCs w:val="18"/>
              </w:rPr>
              <w:t>information is to be reported</w:t>
            </w:r>
          </w:p>
        </w:tc>
        <w:tc>
          <w:tcPr>
            <w:tcW w:w="4397"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D30678" w:rsidRPr="00C37D44" w:rsidRDefault="00D30678" w:rsidP="00E51942">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 xml:space="preserve">Trades carried out: </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 xml:space="preserve">through the exchange must be reported on the GSH as soon as practicable after the trade occurs and published </w:t>
            </w:r>
            <w:r w:rsidR="00DE4A10">
              <w:rPr>
                <w:rFonts w:asciiTheme="majorHAnsi" w:hAnsiTheme="majorHAnsi" w:cstheme="majorHAnsi"/>
                <w:szCs w:val="18"/>
              </w:rPr>
              <w:t xml:space="preserve">by AEMO </w:t>
            </w:r>
            <w:r w:rsidRPr="00C37D44">
              <w:rPr>
                <w:rFonts w:asciiTheme="majorHAnsi" w:hAnsiTheme="majorHAnsi" w:cstheme="majorHAnsi"/>
                <w:szCs w:val="18"/>
              </w:rPr>
              <w:t xml:space="preserve">on the </w:t>
            </w:r>
            <w:r w:rsidR="00ED04AE">
              <w:rPr>
                <w:rFonts w:asciiTheme="majorHAnsi" w:hAnsiTheme="majorHAnsi" w:cstheme="majorHAnsi"/>
                <w:szCs w:val="18"/>
              </w:rPr>
              <w:t xml:space="preserve">BB </w:t>
            </w:r>
            <w:r w:rsidRPr="00C37D44">
              <w:rPr>
                <w:rFonts w:asciiTheme="majorHAnsi" w:hAnsiTheme="majorHAnsi" w:cstheme="majorHAnsi"/>
                <w:szCs w:val="18"/>
              </w:rPr>
              <w:t>by the end of the gas day; and</w:t>
            </w:r>
          </w:p>
          <w:p w:rsidR="00D30678" w:rsidRPr="001E0C23" w:rsidRDefault="00D30678" w:rsidP="00E51942">
            <w:pPr>
              <w:pStyle w:val="TableBullet1"/>
              <w:numPr>
                <w:ilvl w:val="0"/>
                <w:numId w:val="41"/>
              </w:numPr>
              <w:spacing w:before="40" w:after="40" w:line="252" w:lineRule="auto"/>
              <w:rPr>
                <w:rFonts w:asciiTheme="majorHAnsi" w:hAnsiTheme="majorHAnsi" w:cstheme="majorHAnsi"/>
                <w:szCs w:val="18"/>
              </w:rPr>
            </w:pPr>
            <w:r w:rsidRPr="001E0C23">
              <w:rPr>
                <w:rFonts w:asciiTheme="majorHAnsi" w:hAnsiTheme="majorHAnsi" w:cstheme="majorHAnsi"/>
                <w:szCs w:val="18"/>
              </w:rPr>
              <w:t xml:space="preserve">bilaterally must be reported </w:t>
            </w:r>
            <w:r w:rsidR="00DE4A10">
              <w:rPr>
                <w:rFonts w:asciiTheme="majorHAnsi" w:hAnsiTheme="majorHAnsi" w:cstheme="majorHAnsi"/>
                <w:szCs w:val="18"/>
              </w:rPr>
              <w:t xml:space="preserve">by sellers (or a capacity transaction reporting agent if appointed by the seller) </w:t>
            </w:r>
            <w:r w:rsidRPr="001E0C23">
              <w:rPr>
                <w:rFonts w:asciiTheme="majorHAnsi" w:hAnsiTheme="majorHAnsi" w:cstheme="majorHAnsi"/>
                <w:szCs w:val="18"/>
              </w:rPr>
              <w:t xml:space="preserve">on the </w:t>
            </w:r>
            <w:r w:rsidR="00ED04AE">
              <w:rPr>
                <w:rFonts w:asciiTheme="majorHAnsi" w:hAnsiTheme="majorHAnsi" w:cstheme="majorHAnsi"/>
                <w:szCs w:val="18"/>
              </w:rPr>
              <w:t>BB</w:t>
            </w:r>
            <w:r w:rsidRPr="001E0C23">
              <w:rPr>
                <w:rFonts w:asciiTheme="majorHAnsi" w:hAnsiTheme="majorHAnsi" w:cstheme="majorHAnsi"/>
                <w:szCs w:val="18"/>
              </w:rPr>
              <w:t xml:space="preserve">: </w:t>
            </w:r>
          </w:p>
          <w:p w:rsidR="00D30678" w:rsidRPr="001E0C23" w:rsidRDefault="00816C04" w:rsidP="00E51942">
            <w:pPr>
              <w:pStyle w:val="TableBullet2"/>
              <w:spacing w:before="40" w:after="40" w:line="252" w:lineRule="auto"/>
              <w:rPr>
                <w:rFonts w:asciiTheme="majorHAnsi" w:hAnsiTheme="majorHAnsi" w:cstheme="majorHAnsi"/>
              </w:rPr>
            </w:pPr>
            <w:r>
              <w:rPr>
                <w:rFonts w:asciiTheme="majorHAnsi" w:hAnsiTheme="majorHAnsi" w:cstheme="majorHAnsi"/>
              </w:rPr>
              <w:t xml:space="preserve">by </w:t>
            </w:r>
            <w:r w:rsidR="00D30678" w:rsidRPr="001E0C23">
              <w:rPr>
                <w:rFonts w:asciiTheme="majorHAnsi" w:hAnsiTheme="majorHAnsi" w:cstheme="majorHAnsi"/>
              </w:rPr>
              <w:t xml:space="preserve">the earlier of one </w:t>
            </w:r>
            <w:r w:rsidR="00340E07">
              <w:rPr>
                <w:rFonts w:asciiTheme="majorHAnsi" w:hAnsiTheme="majorHAnsi" w:cstheme="majorHAnsi"/>
              </w:rPr>
              <w:t xml:space="preserve">business </w:t>
            </w:r>
            <w:r w:rsidR="00D30678" w:rsidRPr="001E0C23">
              <w:rPr>
                <w:rFonts w:asciiTheme="majorHAnsi" w:hAnsiTheme="majorHAnsi" w:cstheme="majorHAnsi"/>
              </w:rPr>
              <w:t>day after the trade is executed, and the day prior to the trade commencing (D-1) for trades where the service term starts after the trade date; or</w:t>
            </w:r>
          </w:p>
          <w:p w:rsidR="00D30678" w:rsidRPr="00C37D44" w:rsidRDefault="00D30678" w:rsidP="00E51942">
            <w:pPr>
              <w:pStyle w:val="TableBullet2"/>
              <w:spacing w:before="40" w:after="40" w:line="252" w:lineRule="auto"/>
              <w:rPr>
                <w:rFonts w:asciiTheme="majorHAnsi" w:hAnsiTheme="majorHAnsi" w:cstheme="majorHAnsi"/>
              </w:rPr>
            </w:pPr>
            <w:r w:rsidRPr="001E0C23">
              <w:rPr>
                <w:rFonts w:asciiTheme="majorHAnsi" w:hAnsiTheme="majorHAnsi" w:cstheme="majorHAnsi"/>
              </w:rPr>
              <w:t>as soon as reasonably practicable on the trade date for trades where the service term starts on the trade</w:t>
            </w:r>
            <w:r w:rsidRPr="00C37D44">
              <w:rPr>
                <w:rFonts w:asciiTheme="majorHAnsi" w:hAnsiTheme="majorHAnsi" w:cstheme="majorHAnsi"/>
              </w:rPr>
              <w:t xml:space="preserve"> date.</w:t>
            </w:r>
          </w:p>
        </w:tc>
      </w:tr>
      <w:tr w:rsidR="008A6083" w:rsidRPr="00C37D44" w:rsidTr="00DF13EF">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rsidR="00D30678" w:rsidRPr="00D30678" w:rsidRDefault="00D30678" w:rsidP="00E51942">
            <w:pPr>
              <w:pStyle w:val="TableBullet1"/>
              <w:numPr>
                <w:ilvl w:val="0"/>
                <w:numId w:val="0"/>
              </w:numPr>
              <w:tabs>
                <w:tab w:val="left" w:pos="720"/>
              </w:tabs>
              <w:spacing w:before="40" w:after="40" w:line="252" w:lineRule="auto"/>
              <w:ind w:right="0"/>
              <w:jc w:val="center"/>
              <w:rPr>
                <w:rFonts w:asciiTheme="majorHAnsi" w:hAnsiTheme="majorHAnsi" w:cstheme="majorHAnsi"/>
                <w:b/>
                <w:szCs w:val="18"/>
              </w:rPr>
            </w:pPr>
            <w:r w:rsidRPr="00D30678">
              <w:rPr>
                <w:rFonts w:asciiTheme="majorHAnsi" w:hAnsiTheme="majorHAnsi" w:cstheme="majorHAnsi"/>
                <w:b/>
                <w:color w:val="FFFFFF" w:themeColor="background1"/>
                <w:szCs w:val="18"/>
              </w:rPr>
              <w:t>Allocation arrangements</w:t>
            </w:r>
          </w:p>
        </w:tc>
      </w:tr>
      <w:tr w:rsidR="008A6083" w:rsidRPr="00C37D44" w:rsidTr="00DF13EF">
        <w:trPr>
          <w:trHeight w:val="345"/>
        </w:trPr>
        <w:tc>
          <w:tcPr>
            <w:tcW w:w="603"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hideMark/>
          </w:tcPr>
          <w:p w:rsidR="00D30678" w:rsidRPr="00F04A8E" w:rsidRDefault="00D30678" w:rsidP="0064242F">
            <w:pPr>
              <w:pStyle w:val="BodyText"/>
              <w:spacing w:before="40" w:after="40" w:line="240" w:lineRule="auto"/>
              <w:rPr>
                <w:rFonts w:asciiTheme="majorHAnsi" w:hAnsiTheme="majorHAnsi" w:cstheme="majorHAnsi"/>
                <w:sz w:val="18"/>
                <w:szCs w:val="18"/>
              </w:rPr>
            </w:pPr>
            <w:r w:rsidRPr="00D30678">
              <w:rPr>
                <w:rFonts w:asciiTheme="majorHAnsi" w:hAnsiTheme="majorHAnsi" w:cstheme="majorHAnsi"/>
                <w:sz w:val="18"/>
                <w:szCs w:val="18"/>
              </w:rPr>
              <w:t>Information to be reported</w:t>
            </w:r>
          </w:p>
        </w:tc>
        <w:tc>
          <w:tcPr>
            <w:tcW w:w="4397"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hideMark/>
          </w:tcPr>
          <w:p w:rsidR="00D30678" w:rsidRPr="00C37D44" w:rsidRDefault="00D30678" w:rsidP="00E51942">
            <w:pPr>
              <w:pStyle w:val="BodyText"/>
              <w:spacing w:before="40" w:after="40" w:line="252" w:lineRule="auto"/>
              <w:rPr>
                <w:rFonts w:asciiTheme="majorHAnsi" w:hAnsiTheme="majorHAnsi" w:cstheme="majorHAnsi"/>
                <w:sz w:val="18"/>
                <w:szCs w:val="18"/>
              </w:rPr>
            </w:pPr>
            <w:r w:rsidRPr="00C37D44">
              <w:rPr>
                <w:rFonts w:asciiTheme="majorHAnsi" w:hAnsiTheme="majorHAnsi" w:cstheme="majorHAnsi"/>
                <w:sz w:val="18"/>
                <w:szCs w:val="18"/>
              </w:rPr>
              <w:t xml:space="preserve">Allocation agents will be required to provide AEMO with the following information for publication on the </w:t>
            </w:r>
            <w:r w:rsidR="00ED04AE">
              <w:rPr>
                <w:rFonts w:asciiTheme="majorHAnsi" w:hAnsiTheme="majorHAnsi" w:cstheme="majorHAnsi"/>
                <w:sz w:val="18"/>
                <w:szCs w:val="18"/>
              </w:rPr>
              <w:t>BB</w:t>
            </w:r>
            <w:r w:rsidRPr="00C37D44">
              <w:rPr>
                <w:rFonts w:asciiTheme="majorHAnsi" w:hAnsiTheme="majorHAnsi" w:cstheme="majorHAnsi"/>
                <w:sz w:val="18"/>
                <w:szCs w:val="18"/>
              </w:rPr>
              <w:t>:</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a description of the allocation methodology used at the allocation point;</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a description of the process for joining and leaving the agreement and any charges payable to become a party to the agreement; and</w:t>
            </w:r>
          </w:p>
          <w:p w:rsidR="00D30678" w:rsidRPr="00C37D44" w:rsidRDefault="00D30678" w:rsidP="00E51942">
            <w:pPr>
              <w:pStyle w:val="TableBullet1"/>
              <w:numPr>
                <w:ilvl w:val="0"/>
                <w:numId w:val="41"/>
              </w:numPr>
              <w:spacing w:before="40" w:after="40" w:line="252" w:lineRule="auto"/>
              <w:rPr>
                <w:rFonts w:asciiTheme="majorHAnsi" w:hAnsiTheme="majorHAnsi" w:cstheme="majorHAnsi"/>
                <w:szCs w:val="18"/>
              </w:rPr>
            </w:pPr>
            <w:r w:rsidRPr="00C37D44">
              <w:rPr>
                <w:rFonts w:asciiTheme="majorHAnsi" w:hAnsiTheme="majorHAnsi" w:cstheme="majorHAnsi"/>
                <w:szCs w:val="18"/>
              </w:rPr>
              <w:t>the allocation agent’s contact details.</w:t>
            </w:r>
          </w:p>
          <w:p w:rsidR="00D30678" w:rsidRPr="00D30678" w:rsidRDefault="00D30678" w:rsidP="00E51942">
            <w:pPr>
              <w:pStyle w:val="TableBullet1"/>
              <w:numPr>
                <w:ilvl w:val="0"/>
                <w:numId w:val="0"/>
              </w:numPr>
              <w:spacing w:before="40" w:after="40" w:line="252" w:lineRule="auto"/>
              <w:ind w:left="-2"/>
              <w:rPr>
                <w:rFonts w:asciiTheme="majorHAnsi" w:hAnsiTheme="majorHAnsi" w:cstheme="majorHAnsi"/>
                <w:szCs w:val="18"/>
              </w:rPr>
            </w:pPr>
            <w:r w:rsidRPr="00C37D44">
              <w:rPr>
                <w:rFonts w:asciiTheme="majorHAnsi" w:hAnsiTheme="majorHAnsi" w:cstheme="majorHAnsi"/>
                <w:szCs w:val="18"/>
              </w:rPr>
              <w:t>This obligation will be limited to allocation agents that operate at points through which gas is injected into or withdrawn from a transportation facility that is subject to the capacity trading reforms and system injection and system withdrawal points in the DTS for which an allocation agent is appointed under Part 19 of the NGR, excluding, in each case, a point at which the allocation of deliveries and receipts of natural gas is determined under the Retail Market Procedures.</w:t>
            </w:r>
          </w:p>
        </w:tc>
      </w:tr>
      <w:tr w:rsidR="008A6083" w:rsidRPr="00C37D44" w:rsidTr="00DF13EF">
        <w:trPr>
          <w:trHeight w:val="20"/>
        </w:trPr>
        <w:tc>
          <w:tcPr>
            <w:tcW w:w="5000" w:type="pct"/>
            <w:gridSpan w:val="2"/>
            <w:tcBorders>
              <w:top w:val="single" w:sz="4" w:space="0" w:color="auto"/>
              <w:left w:val="single" w:sz="8" w:space="0" w:color="FFFFFF"/>
              <w:bottom w:val="single" w:sz="4" w:space="0" w:color="auto"/>
              <w:right w:val="single" w:sz="8" w:space="0" w:color="FFFFFF"/>
            </w:tcBorders>
            <w:shd w:val="clear" w:color="auto" w:fill="65697F" w:themeFill="background2" w:themeFillShade="80"/>
            <w:tcMar>
              <w:top w:w="72" w:type="dxa"/>
              <w:left w:w="144" w:type="dxa"/>
              <w:bottom w:w="72" w:type="dxa"/>
              <w:right w:w="144" w:type="dxa"/>
            </w:tcMar>
            <w:hideMark/>
          </w:tcPr>
          <w:p w:rsidR="00D30678" w:rsidRPr="00D30678" w:rsidRDefault="00D30678" w:rsidP="00E51942">
            <w:pPr>
              <w:pStyle w:val="BodyText"/>
              <w:spacing w:before="40" w:after="40" w:line="252" w:lineRule="auto"/>
              <w:jc w:val="center"/>
              <w:rPr>
                <w:rFonts w:asciiTheme="majorHAnsi" w:hAnsiTheme="majorHAnsi" w:cstheme="majorHAnsi"/>
                <w:b/>
                <w:sz w:val="18"/>
                <w:szCs w:val="18"/>
              </w:rPr>
            </w:pPr>
            <w:r w:rsidRPr="00D30678">
              <w:rPr>
                <w:rFonts w:asciiTheme="majorHAnsi" w:hAnsiTheme="majorHAnsi" w:cstheme="majorHAnsi"/>
                <w:b/>
                <w:color w:val="FFFFFF" w:themeColor="background1"/>
                <w:sz w:val="18"/>
                <w:szCs w:val="18"/>
              </w:rPr>
              <w:t>Extension of Bulletin Board reporting obligations</w:t>
            </w:r>
          </w:p>
        </w:tc>
      </w:tr>
      <w:tr w:rsidR="008A6083" w:rsidRPr="00C37D44" w:rsidTr="00DF13EF">
        <w:trPr>
          <w:trHeight w:val="584"/>
        </w:trPr>
        <w:tc>
          <w:tcPr>
            <w:tcW w:w="603"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tcPr>
          <w:p w:rsidR="00D30678" w:rsidRPr="00D30678" w:rsidRDefault="00D30678" w:rsidP="0064242F">
            <w:pPr>
              <w:pStyle w:val="BodyText"/>
              <w:spacing w:before="40" w:after="40" w:line="240" w:lineRule="auto"/>
              <w:rPr>
                <w:rFonts w:asciiTheme="majorHAnsi" w:hAnsiTheme="majorHAnsi" w:cstheme="majorHAnsi"/>
                <w:sz w:val="18"/>
                <w:szCs w:val="18"/>
              </w:rPr>
            </w:pPr>
            <w:r w:rsidRPr="00D30678">
              <w:rPr>
                <w:rFonts w:asciiTheme="majorHAnsi" w:hAnsiTheme="majorHAnsi" w:cstheme="majorHAnsi"/>
                <w:sz w:val="18"/>
                <w:szCs w:val="18"/>
              </w:rPr>
              <w:t>Obligations</w:t>
            </w:r>
          </w:p>
        </w:tc>
        <w:tc>
          <w:tcPr>
            <w:tcW w:w="4397"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tcPr>
          <w:p w:rsidR="00D30678" w:rsidRPr="00C37D44" w:rsidRDefault="00D30678" w:rsidP="00E51942">
            <w:pPr>
              <w:pStyle w:val="TableBullet1"/>
              <w:numPr>
                <w:ilvl w:val="0"/>
                <w:numId w:val="0"/>
              </w:numPr>
              <w:spacing w:before="40" w:after="40" w:line="252" w:lineRule="auto"/>
              <w:ind w:left="-2"/>
              <w:rPr>
                <w:rFonts w:asciiTheme="majorHAnsi" w:hAnsiTheme="majorHAnsi" w:cstheme="majorHAnsi"/>
                <w:szCs w:val="18"/>
              </w:rPr>
            </w:pPr>
            <w:r w:rsidRPr="00F04A8E">
              <w:rPr>
                <w:rFonts w:asciiTheme="majorHAnsi" w:hAnsiTheme="majorHAnsi" w:cstheme="majorHAnsi"/>
                <w:szCs w:val="18"/>
              </w:rPr>
              <w:t xml:space="preserve">Service providers that are subject to </w:t>
            </w:r>
            <w:r w:rsidR="00ED04AE">
              <w:rPr>
                <w:rFonts w:asciiTheme="majorHAnsi" w:hAnsiTheme="majorHAnsi" w:cstheme="majorHAnsi"/>
                <w:szCs w:val="18"/>
              </w:rPr>
              <w:t xml:space="preserve">BB </w:t>
            </w:r>
            <w:r w:rsidRPr="00F04A8E">
              <w:rPr>
                <w:rFonts w:asciiTheme="majorHAnsi" w:hAnsiTheme="majorHAnsi" w:cstheme="majorHAnsi"/>
                <w:szCs w:val="18"/>
              </w:rPr>
              <w:t>reporting obligations will be required to provide AEMO with information on the nameplate rating for each receipt and delivery point.</w:t>
            </w:r>
            <w:r w:rsidRPr="00C37D44">
              <w:rPr>
                <w:rFonts w:asciiTheme="majorHAnsi" w:hAnsiTheme="majorHAnsi" w:cstheme="majorHAnsi"/>
                <w:szCs w:val="18"/>
                <w:vertAlign w:val="superscript"/>
              </w:rPr>
              <w:t xml:space="preserve"> </w:t>
            </w:r>
          </w:p>
          <w:p w:rsidR="00D30678" w:rsidRPr="00C37D44" w:rsidRDefault="00D30678" w:rsidP="00E51942">
            <w:pPr>
              <w:pStyle w:val="TableBullet1"/>
              <w:numPr>
                <w:ilvl w:val="0"/>
                <w:numId w:val="0"/>
              </w:numPr>
              <w:spacing w:before="40" w:after="40" w:line="252" w:lineRule="auto"/>
              <w:ind w:left="-2"/>
              <w:rPr>
                <w:rFonts w:asciiTheme="majorHAnsi" w:hAnsiTheme="majorHAnsi" w:cstheme="majorHAnsi"/>
                <w:szCs w:val="18"/>
              </w:rPr>
            </w:pPr>
            <w:r w:rsidRPr="00C37D44">
              <w:rPr>
                <w:rFonts w:asciiTheme="majorHAnsi" w:hAnsiTheme="majorHAnsi" w:cstheme="majorHAnsi"/>
                <w:szCs w:val="18"/>
              </w:rPr>
              <w:t xml:space="preserve">Service providers for remote transportation facilities that would otherwise be excluded from the </w:t>
            </w:r>
            <w:r w:rsidR="00ED04AE">
              <w:rPr>
                <w:rFonts w:asciiTheme="majorHAnsi" w:hAnsiTheme="majorHAnsi" w:cstheme="majorHAnsi"/>
                <w:szCs w:val="18"/>
              </w:rPr>
              <w:t xml:space="preserve">BB </w:t>
            </w:r>
            <w:r w:rsidRPr="00C37D44">
              <w:rPr>
                <w:rFonts w:asciiTheme="majorHAnsi" w:hAnsiTheme="majorHAnsi" w:cstheme="majorHAnsi"/>
                <w:szCs w:val="18"/>
              </w:rPr>
              <w:t>reporting obligations but are ineligible for, or unable to obtain, one of the exemptions outlined in Table A.1, will be subject to the reporting obligations.</w:t>
            </w:r>
            <w:r w:rsidRPr="00C37D44">
              <w:rPr>
                <w:rFonts w:asciiTheme="majorHAnsi" w:hAnsiTheme="majorHAnsi" w:cstheme="majorHAnsi"/>
                <w:szCs w:val="18"/>
                <w:vertAlign w:val="superscript"/>
              </w:rPr>
              <w:t xml:space="preserve"> </w:t>
            </w:r>
          </w:p>
        </w:tc>
      </w:tr>
      <w:tr w:rsidR="008A6083" w:rsidRPr="00C37D44" w:rsidTr="00DF13EF">
        <w:trPr>
          <w:trHeight w:val="20"/>
        </w:trPr>
        <w:tc>
          <w:tcPr>
            <w:tcW w:w="603"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tcPr>
          <w:p w:rsidR="00D30678" w:rsidRPr="00F04A8E" w:rsidRDefault="00D30678" w:rsidP="0064242F">
            <w:pPr>
              <w:pStyle w:val="BodyText"/>
              <w:spacing w:before="40" w:after="40" w:line="240" w:lineRule="auto"/>
              <w:rPr>
                <w:rFonts w:asciiTheme="majorHAnsi" w:hAnsiTheme="majorHAnsi" w:cstheme="majorHAnsi"/>
                <w:sz w:val="18"/>
                <w:szCs w:val="18"/>
              </w:rPr>
            </w:pPr>
            <w:r w:rsidRPr="00D30678">
              <w:rPr>
                <w:rFonts w:asciiTheme="majorHAnsi" w:hAnsiTheme="majorHAnsi" w:cstheme="majorHAnsi"/>
                <w:sz w:val="18"/>
                <w:szCs w:val="18"/>
              </w:rPr>
              <w:t>Information about compression facilities</w:t>
            </w:r>
          </w:p>
        </w:tc>
        <w:tc>
          <w:tcPr>
            <w:tcW w:w="4397"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tcPr>
          <w:p w:rsidR="00D30678" w:rsidRPr="00C37D44" w:rsidRDefault="00860EAD" w:rsidP="00E51942">
            <w:pPr>
              <w:pStyle w:val="BodyText"/>
              <w:spacing w:before="40" w:after="40" w:line="252" w:lineRule="auto"/>
              <w:rPr>
                <w:rFonts w:asciiTheme="majorHAnsi" w:hAnsiTheme="majorHAnsi" w:cstheme="majorHAnsi"/>
                <w:sz w:val="18"/>
                <w:szCs w:val="18"/>
              </w:rPr>
            </w:pPr>
            <w:r>
              <w:rPr>
                <w:rFonts w:asciiTheme="majorHAnsi" w:hAnsiTheme="majorHAnsi" w:cstheme="majorHAnsi"/>
                <w:sz w:val="18"/>
                <w:szCs w:val="18"/>
              </w:rPr>
              <w:t>Non-exempt c</w:t>
            </w:r>
            <w:r w:rsidR="00D30678" w:rsidRPr="00C37D44">
              <w:rPr>
                <w:rFonts w:asciiTheme="majorHAnsi" w:hAnsiTheme="majorHAnsi" w:cstheme="majorHAnsi"/>
                <w:sz w:val="18"/>
                <w:szCs w:val="18"/>
              </w:rPr>
              <w:t>ompression facilities subject to the capacity trading reform</w:t>
            </w:r>
            <w:r w:rsidR="005A49EC">
              <w:rPr>
                <w:rFonts w:asciiTheme="majorHAnsi" w:hAnsiTheme="majorHAnsi" w:cstheme="majorHAnsi"/>
                <w:sz w:val="18"/>
                <w:szCs w:val="18"/>
              </w:rPr>
              <w:t>s</w:t>
            </w:r>
            <w:r w:rsidR="00D30678" w:rsidRPr="00C37D44">
              <w:rPr>
                <w:rFonts w:asciiTheme="majorHAnsi" w:hAnsiTheme="majorHAnsi" w:cstheme="majorHAnsi"/>
                <w:sz w:val="18"/>
                <w:szCs w:val="18"/>
              </w:rPr>
              <w:t xml:space="preserve"> will be required to publish the following information from 1 February 2019:</w:t>
            </w:r>
          </w:p>
          <w:p w:rsidR="00C60330"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the nameplate rating</w:t>
            </w:r>
            <w:r w:rsidR="00C60330">
              <w:rPr>
                <w:rFonts w:asciiTheme="majorHAnsi" w:hAnsiTheme="majorHAnsi" w:cstheme="majorHAnsi"/>
                <w:szCs w:val="18"/>
              </w:rPr>
              <w:t>;</w:t>
            </w:r>
            <w:r w:rsidRPr="00C37D44">
              <w:rPr>
                <w:rFonts w:asciiTheme="majorHAnsi" w:hAnsiTheme="majorHAnsi" w:cstheme="majorHAnsi"/>
                <w:szCs w:val="18"/>
              </w:rPr>
              <w:t xml:space="preserve"> </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detailed facility information</w:t>
            </w:r>
            <w:r w:rsidR="00C60330">
              <w:rPr>
                <w:rFonts w:asciiTheme="majorHAnsi" w:hAnsiTheme="majorHAnsi" w:cstheme="majorHAnsi"/>
                <w:szCs w:val="18"/>
              </w:rPr>
              <w:t>;</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a 12</w:t>
            </w:r>
            <w:r w:rsidR="00E51942">
              <w:rPr>
                <w:rFonts w:asciiTheme="majorHAnsi" w:hAnsiTheme="majorHAnsi" w:cstheme="majorHAnsi"/>
                <w:szCs w:val="18"/>
              </w:rPr>
              <w:t>-</w:t>
            </w:r>
            <w:r w:rsidRPr="00C37D44">
              <w:rPr>
                <w:rFonts w:asciiTheme="majorHAnsi" w:hAnsiTheme="majorHAnsi" w:cstheme="majorHAnsi"/>
                <w:szCs w:val="18"/>
              </w:rPr>
              <w:t>month outlook of uncontracted primary compression capacity;</w:t>
            </w:r>
          </w:p>
          <w:p w:rsidR="00C60330"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a short-term capacity outlook</w:t>
            </w:r>
            <w:r w:rsidR="00C60330">
              <w:rPr>
                <w:rFonts w:asciiTheme="majorHAnsi" w:hAnsiTheme="majorHAnsi" w:cstheme="majorHAnsi"/>
                <w:szCs w:val="18"/>
              </w:rPr>
              <w:t>;</w:t>
            </w:r>
            <w:r w:rsidRPr="00C37D44">
              <w:rPr>
                <w:rFonts w:asciiTheme="majorHAnsi" w:hAnsiTheme="majorHAnsi" w:cstheme="majorHAnsi"/>
                <w:szCs w:val="18"/>
              </w:rPr>
              <w:t xml:space="preserve"> </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a linepack/capacity adequacy indicator;</w:t>
            </w:r>
          </w:p>
          <w:p w:rsidR="00C60330"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nominated and forecast use of the facility</w:t>
            </w:r>
            <w:r w:rsidR="00C60330">
              <w:rPr>
                <w:rFonts w:asciiTheme="majorHAnsi" w:hAnsiTheme="majorHAnsi" w:cstheme="majorHAnsi"/>
                <w:szCs w:val="18"/>
              </w:rPr>
              <w:t>;</w:t>
            </w:r>
            <w:r w:rsidRPr="00C37D44">
              <w:rPr>
                <w:rFonts w:asciiTheme="majorHAnsi" w:hAnsiTheme="majorHAnsi" w:cstheme="majorHAnsi"/>
                <w:szCs w:val="18"/>
              </w:rPr>
              <w:t xml:space="preserve"> and </w:t>
            </w:r>
          </w:p>
          <w:p w:rsidR="00D30678" w:rsidRPr="00C37D44" w:rsidRDefault="00D30678" w:rsidP="00E51942">
            <w:pPr>
              <w:pStyle w:val="TableBullet1"/>
              <w:spacing w:before="40" w:after="40" w:line="252" w:lineRule="auto"/>
              <w:rPr>
                <w:rFonts w:asciiTheme="majorHAnsi" w:hAnsiTheme="majorHAnsi" w:cstheme="majorHAnsi"/>
                <w:szCs w:val="18"/>
              </w:rPr>
            </w:pPr>
            <w:r w:rsidRPr="00C37D44">
              <w:rPr>
                <w:rFonts w:asciiTheme="majorHAnsi" w:hAnsiTheme="majorHAnsi" w:cstheme="majorHAnsi"/>
                <w:szCs w:val="18"/>
              </w:rPr>
              <w:t>daily production data.</w:t>
            </w:r>
          </w:p>
        </w:tc>
      </w:tr>
    </w:tbl>
    <w:p w:rsidR="00D30678" w:rsidRPr="00C37D44" w:rsidRDefault="00D30678" w:rsidP="00D30678">
      <w:pPr>
        <w:pStyle w:val="BodyText"/>
        <w:spacing w:before="0" w:after="0"/>
        <w:rPr>
          <w:rFonts w:asciiTheme="majorHAnsi" w:hAnsiTheme="majorHAnsi" w:cstheme="majorHAnsi"/>
          <w:sz w:val="2"/>
          <w:szCs w:val="2"/>
        </w:rPr>
      </w:pPr>
    </w:p>
    <w:p w:rsidR="00D30678" w:rsidRPr="00C37D44" w:rsidRDefault="00D30678" w:rsidP="00D30678">
      <w:pPr>
        <w:pStyle w:val="BodyText"/>
        <w:spacing w:before="0" w:after="0"/>
        <w:rPr>
          <w:rFonts w:asciiTheme="majorHAnsi" w:hAnsiTheme="majorHAnsi" w:cstheme="majorHAnsi"/>
          <w:sz w:val="2"/>
          <w:szCs w:val="2"/>
        </w:rPr>
      </w:pPr>
    </w:p>
    <w:p w:rsidR="00D30678" w:rsidRPr="00C37D44" w:rsidRDefault="00D30678" w:rsidP="00D30678">
      <w:pPr>
        <w:pStyle w:val="BodyText"/>
        <w:spacing w:before="0" w:after="0"/>
        <w:rPr>
          <w:rFonts w:asciiTheme="majorHAnsi" w:hAnsiTheme="majorHAnsi" w:cstheme="majorHAnsi"/>
          <w:sz w:val="2"/>
          <w:szCs w:val="2"/>
        </w:rPr>
      </w:pPr>
    </w:p>
    <w:p w:rsidR="00DE4A10" w:rsidRPr="00E51942" w:rsidRDefault="00DE4A10" w:rsidP="00DE4A10">
      <w:pPr>
        <w:pStyle w:val="BodyText"/>
        <w:rPr>
          <w:sz w:val="2"/>
          <w:szCs w:val="2"/>
        </w:rPr>
      </w:pPr>
      <w:r w:rsidRPr="00E51942">
        <w:rPr>
          <w:sz w:val="2"/>
          <w:szCs w:val="2"/>
        </w:rPr>
        <w:br w:type="page"/>
      </w:r>
    </w:p>
    <w:p w:rsidR="00D30678" w:rsidRPr="00C37D44" w:rsidRDefault="00D30678" w:rsidP="00D30678">
      <w:pPr>
        <w:pStyle w:val="Caption"/>
        <w:spacing w:before="0" w:after="0"/>
        <w:rPr>
          <w:rFonts w:asciiTheme="majorHAnsi" w:hAnsiTheme="majorHAnsi" w:cstheme="majorHAnsi"/>
        </w:rPr>
      </w:pPr>
      <w:r w:rsidRPr="00C37D44">
        <w:rPr>
          <w:rFonts w:asciiTheme="majorHAnsi" w:hAnsiTheme="majorHAnsi" w:cstheme="majorHAnsi"/>
        </w:rPr>
        <w:lastRenderedPageBreak/>
        <w:t>Table A.</w:t>
      </w:r>
      <w:r w:rsidR="006B5D0D">
        <w:rPr>
          <w:rFonts w:asciiTheme="majorHAnsi" w:hAnsiTheme="majorHAnsi" w:cstheme="majorHAnsi"/>
        </w:rPr>
        <w:t>5</w:t>
      </w:r>
      <w:r w:rsidRPr="00C37D44">
        <w:rPr>
          <w:rFonts w:asciiTheme="majorHAnsi" w:hAnsiTheme="majorHAnsi" w:cstheme="majorHAnsi"/>
        </w:rPr>
        <w:t xml:space="preserve">: Final design of the harmonisation of gas day start times and nomination cut-off times </w:t>
      </w:r>
    </w:p>
    <w:tbl>
      <w:tblPr>
        <w:tblW w:w="5015" w:type="pct"/>
        <w:tblCellMar>
          <w:left w:w="0" w:type="dxa"/>
          <w:right w:w="0" w:type="dxa"/>
        </w:tblCellMar>
        <w:tblLook w:val="0420" w:firstRow="1" w:lastRow="0" w:firstColumn="0" w:lastColumn="0" w:noHBand="0" w:noVBand="1"/>
      </w:tblPr>
      <w:tblGrid>
        <w:gridCol w:w="1693"/>
        <w:gridCol w:w="12048"/>
      </w:tblGrid>
      <w:tr w:rsidR="00D30678" w:rsidRPr="00C37D44" w:rsidTr="00F25C7A">
        <w:trPr>
          <w:trHeight w:val="20"/>
          <w:tblHeader/>
        </w:trPr>
        <w:tc>
          <w:tcPr>
            <w:tcW w:w="616" w:type="pct"/>
            <w:tcBorders>
              <w:top w:val="single" w:sz="4" w:space="0" w:color="auto"/>
              <w:left w:val="single" w:sz="8" w:space="0" w:color="FFFFFF"/>
              <w:bottom w:val="single" w:sz="4" w:space="0" w:color="auto"/>
              <w:right w:val="single" w:sz="4" w:space="0" w:color="auto"/>
            </w:tcBorders>
            <w:shd w:val="clear" w:color="auto" w:fill="0099CC"/>
            <w:tcMar>
              <w:top w:w="72" w:type="dxa"/>
              <w:left w:w="144" w:type="dxa"/>
              <w:bottom w:w="72" w:type="dxa"/>
              <w:right w:w="144" w:type="dxa"/>
            </w:tcMar>
            <w:hideMark/>
          </w:tcPr>
          <w:p w:rsidR="00D30678" w:rsidRPr="00D30678" w:rsidRDefault="00D30678" w:rsidP="00F25C7A">
            <w:pPr>
              <w:pStyle w:val="BodyText"/>
              <w:keepNext/>
              <w:spacing w:before="0" w:after="40" w:line="252" w:lineRule="auto"/>
              <w:rPr>
                <w:rFonts w:asciiTheme="majorHAnsi" w:hAnsiTheme="majorHAnsi" w:cstheme="majorHAnsi"/>
                <w:color w:val="FFFFFF" w:themeColor="background1"/>
                <w:sz w:val="18"/>
                <w:szCs w:val="18"/>
              </w:rPr>
            </w:pPr>
            <w:r w:rsidRPr="00D30678">
              <w:rPr>
                <w:rFonts w:asciiTheme="majorHAnsi" w:hAnsiTheme="majorHAnsi" w:cstheme="majorHAnsi"/>
                <w:b/>
                <w:bCs/>
                <w:color w:val="FFFFFF" w:themeColor="background1"/>
                <w:sz w:val="18"/>
                <w:szCs w:val="18"/>
              </w:rPr>
              <w:t>Design Element</w:t>
            </w:r>
          </w:p>
        </w:tc>
        <w:tc>
          <w:tcPr>
            <w:tcW w:w="4384" w:type="pct"/>
            <w:tcBorders>
              <w:top w:val="single" w:sz="4" w:space="0" w:color="auto"/>
              <w:left w:val="single" w:sz="4" w:space="0" w:color="auto"/>
              <w:bottom w:val="single" w:sz="4" w:space="0" w:color="auto"/>
              <w:right w:val="single" w:sz="8" w:space="0" w:color="FFFFFF"/>
            </w:tcBorders>
            <w:shd w:val="clear" w:color="auto" w:fill="0099CC"/>
            <w:tcMar>
              <w:top w:w="72" w:type="dxa"/>
              <w:left w:w="144" w:type="dxa"/>
              <w:bottom w:w="72" w:type="dxa"/>
              <w:right w:w="144" w:type="dxa"/>
            </w:tcMar>
            <w:hideMark/>
          </w:tcPr>
          <w:p w:rsidR="00D30678" w:rsidRPr="00F04A8E" w:rsidRDefault="00D30678" w:rsidP="00F25C7A">
            <w:pPr>
              <w:pStyle w:val="BodyText"/>
              <w:keepNext/>
              <w:spacing w:before="0" w:after="40" w:line="252" w:lineRule="auto"/>
              <w:rPr>
                <w:rFonts w:asciiTheme="majorHAnsi" w:hAnsiTheme="majorHAnsi" w:cstheme="majorHAnsi"/>
                <w:color w:val="FFFFFF" w:themeColor="background1"/>
                <w:sz w:val="18"/>
                <w:szCs w:val="18"/>
              </w:rPr>
            </w:pPr>
            <w:r w:rsidRPr="00F04A8E">
              <w:rPr>
                <w:rFonts w:asciiTheme="majorHAnsi" w:hAnsiTheme="majorHAnsi" w:cstheme="majorHAnsi"/>
                <w:b/>
                <w:bCs/>
                <w:color w:val="FFFFFF" w:themeColor="background1"/>
                <w:sz w:val="18"/>
                <w:szCs w:val="18"/>
              </w:rPr>
              <w:t>Detail</w:t>
            </w:r>
          </w:p>
        </w:tc>
      </w:tr>
      <w:tr w:rsidR="00D30678" w:rsidRPr="00C37D44" w:rsidTr="008A6083">
        <w:trPr>
          <w:trHeight w:val="934"/>
        </w:trPr>
        <w:tc>
          <w:tcPr>
            <w:tcW w:w="616" w:type="pct"/>
            <w:tcBorders>
              <w:top w:val="single" w:sz="4" w:space="0" w:color="auto"/>
              <w:left w:val="single" w:sz="8" w:space="0" w:color="FFFFFF"/>
              <w:bottom w:val="single" w:sz="4" w:space="0" w:color="auto"/>
              <w:right w:val="single" w:sz="4" w:space="0" w:color="auto"/>
            </w:tcBorders>
            <w:tcMar>
              <w:top w:w="72" w:type="dxa"/>
              <w:left w:w="144" w:type="dxa"/>
              <w:bottom w:w="72" w:type="dxa"/>
              <w:right w:w="144" w:type="dxa"/>
            </w:tcMar>
            <w:hideMark/>
          </w:tcPr>
          <w:p w:rsidR="00D30678" w:rsidRPr="00F04A8E" w:rsidRDefault="00D30678" w:rsidP="0064242F">
            <w:pPr>
              <w:pStyle w:val="BodyText"/>
              <w:spacing w:before="60" w:after="60" w:line="252" w:lineRule="auto"/>
              <w:rPr>
                <w:rFonts w:asciiTheme="majorHAnsi" w:hAnsiTheme="majorHAnsi" w:cstheme="majorHAnsi"/>
                <w:sz w:val="18"/>
                <w:szCs w:val="18"/>
              </w:rPr>
            </w:pPr>
            <w:r w:rsidRPr="00D30678">
              <w:rPr>
                <w:rFonts w:asciiTheme="majorHAnsi" w:hAnsiTheme="majorHAnsi" w:cstheme="majorHAnsi"/>
                <w:sz w:val="18"/>
                <w:szCs w:val="18"/>
              </w:rPr>
              <w:t>Harmonised times</w:t>
            </w:r>
          </w:p>
        </w:tc>
        <w:tc>
          <w:tcPr>
            <w:tcW w:w="4384" w:type="pct"/>
            <w:tcBorders>
              <w:top w:val="single" w:sz="4" w:space="0" w:color="auto"/>
              <w:left w:val="single" w:sz="4" w:space="0" w:color="auto"/>
              <w:bottom w:val="single" w:sz="4" w:space="0" w:color="auto"/>
              <w:right w:val="single" w:sz="8" w:space="0" w:color="FFFFFF"/>
            </w:tcBorders>
            <w:tcMar>
              <w:top w:w="72" w:type="dxa"/>
              <w:left w:w="144" w:type="dxa"/>
              <w:bottom w:w="72" w:type="dxa"/>
              <w:right w:w="144" w:type="dxa"/>
            </w:tcMar>
            <w:hideMark/>
          </w:tcPr>
          <w:p w:rsidR="00D30678" w:rsidRPr="00C37D44" w:rsidRDefault="00D30678" w:rsidP="0064242F">
            <w:pPr>
              <w:pStyle w:val="BodyText"/>
              <w:spacing w:before="60" w:after="60" w:line="252" w:lineRule="auto"/>
              <w:rPr>
                <w:rFonts w:asciiTheme="majorHAnsi" w:hAnsiTheme="majorHAnsi" w:cstheme="majorHAnsi"/>
                <w:sz w:val="18"/>
                <w:szCs w:val="18"/>
              </w:rPr>
            </w:pPr>
            <w:r w:rsidRPr="00C37D44">
              <w:rPr>
                <w:rFonts w:asciiTheme="majorHAnsi" w:hAnsiTheme="majorHAnsi" w:cstheme="majorHAnsi"/>
                <w:sz w:val="18"/>
                <w:szCs w:val="18"/>
              </w:rPr>
              <w:t xml:space="preserve">The harmonisation reforms will be implemented through a standard market timetable that will commence on </w:t>
            </w:r>
            <w:r w:rsidRPr="00C37D44">
              <w:rPr>
                <w:rFonts w:asciiTheme="majorHAnsi" w:hAnsiTheme="majorHAnsi" w:cstheme="majorHAnsi"/>
                <w:b/>
                <w:sz w:val="18"/>
                <w:szCs w:val="18"/>
              </w:rPr>
              <w:t>1 October 2019</w:t>
            </w:r>
            <w:r w:rsidRPr="00C37D44">
              <w:rPr>
                <w:rFonts w:asciiTheme="majorHAnsi" w:hAnsiTheme="majorHAnsi" w:cstheme="majorHAnsi"/>
                <w:sz w:val="18"/>
                <w:szCs w:val="18"/>
              </w:rPr>
              <w:t xml:space="preserve"> and provide for:</w:t>
            </w:r>
          </w:p>
          <w:p w:rsidR="00D30678" w:rsidRPr="00C37D44" w:rsidRDefault="00D30678" w:rsidP="0064242F">
            <w:pPr>
              <w:pStyle w:val="TableBullet1"/>
              <w:rPr>
                <w:rFonts w:asciiTheme="majorHAnsi" w:hAnsiTheme="majorHAnsi" w:cstheme="majorHAnsi"/>
              </w:rPr>
            </w:pPr>
            <w:r w:rsidRPr="00C37D44">
              <w:rPr>
                <w:rFonts w:asciiTheme="majorHAnsi" w:hAnsiTheme="majorHAnsi" w:cstheme="majorHAnsi"/>
              </w:rPr>
              <w:t xml:space="preserve">a common gas day start time of 6 am (AEST) across the east coast (and the </w:t>
            </w:r>
            <w:r w:rsidR="00464273">
              <w:rPr>
                <w:rFonts w:asciiTheme="majorHAnsi" w:hAnsiTheme="majorHAnsi" w:cstheme="majorHAnsi"/>
              </w:rPr>
              <w:t xml:space="preserve">NT </w:t>
            </w:r>
            <w:r w:rsidRPr="00C37D44">
              <w:rPr>
                <w:rFonts w:asciiTheme="majorHAnsi" w:hAnsiTheme="majorHAnsi" w:cstheme="majorHAnsi"/>
              </w:rPr>
              <w:t xml:space="preserve">once it becomes connected to the east coast) that will apply to the operators of all production, pipeline, compression and storage facilities and in the facilitated markets (e.g. the GSH, STTM and retail markets); </w:t>
            </w:r>
          </w:p>
          <w:p w:rsidR="00D30678" w:rsidRPr="00C37D44" w:rsidRDefault="00D30678" w:rsidP="0064242F">
            <w:pPr>
              <w:pStyle w:val="TableBullet1"/>
              <w:rPr>
                <w:rFonts w:asciiTheme="majorHAnsi" w:hAnsiTheme="majorHAnsi" w:cstheme="majorHAnsi"/>
              </w:rPr>
            </w:pPr>
            <w:r w:rsidRPr="00C37D44">
              <w:rPr>
                <w:rFonts w:asciiTheme="majorHAnsi" w:hAnsiTheme="majorHAnsi" w:cstheme="majorHAnsi"/>
              </w:rPr>
              <w:t xml:space="preserve">a common nomination cut-off time of 3 pm (AEST) for transportation facilities that will be subject to the capacity trading reforms; and </w:t>
            </w:r>
          </w:p>
          <w:p w:rsidR="00D30678" w:rsidRPr="00C37D44" w:rsidRDefault="00D30678" w:rsidP="0064242F">
            <w:pPr>
              <w:pStyle w:val="TableBullet1"/>
              <w:rPr>
                <w:rFonts w:asciiTheme="majorHAnsi" w:hAnsiTheme="majorHAnsi" w:cstheme="majorHAnsi"/>
              </w:rPr>
            </w:pPr>
            <w:r w:rsidRPr="00C37D44">
              <w:rPr>
                <w:rFonts w:asciiTheme="majorHAnsi" w:hAnsiTheme="majorHAnsi" w:cstheme="majorHAnsi"/>
              </w:rPr>
              <w:t>an auction service nomination cut-off time of 6:45 pm (AEST) for transportation facilities that will be subject to the day-ahead auction.</w:t>
            </w:r>
          </w:p>
        </w:tc>
      </w:tr>
      <w:tr w:rsidR="00D30678" w:rsidRPr="00C37D44" w:rsidTr="00F25C7A">
        <w:trPr>
          <w:trHeight w:val="584"/>
        </w:trPr>
        <w:tc>
          <w:tcPr>
            <w:tcW w:w="616" w:type="pct"/>
            <w:tcBorders>
              <w:top w:val="single" w:sz="4" w:space="0" w:color="auto"/>
              <w:left w:val="single" w:sz="8" w:space="0" w:color="FFFFFF"/>
              <w:bottom w:val="single" w:sz="4" w:space="0" w:color="auto"/>
              <w:right w:val="single" w:sz="4" w:space="0" w:color="auto"/>
            </w:tcBorders>
            <w:shd w:val="clear" w:color="auto" w:fill="FFFFFF" w:themeFill="background1"/>
            <w:tcMar>
              <w:top w:w="72" w:type="dxa"/>
              <w:left w:w="144" w:type="dxa"/>
              <w:bottom w:w="72" w:type="dxa"/>
              <w:right w:w="144" w:type="dxa"/>
            </w:tcMar>
          </w:tcPr>
          <w:p w:rsidR="00D30678" w:rsidRPr="00DF13EF" w:rsidRDefault="00D30678" w:rsidP="0064242F">
            <w:pPr>
              <w:pStyle w:val="BodyText"/>
              <w:spacing w:before="60" w:after="60" w:line="252" w:lineRule="auto"/>
              <w:rPr>
                <w:rFonts w:asciiTheme="majorHAnsi" w:hAnsiTheme="majorHAnsi" w:cstheme="majorHAnsi"/>
                <w:sz w:val="18"/>
                <w:szCs w:val="18"/>
              </w:rPr>
            </w:pPr>
            <w:r w:rsidRPr="00DF13EF">
              <w:rPr>
                <w:rFonts w:asciiTheme="majorHAnsi" w:hAnsiTheme="majorHAnsi" w:cstheme="majorHAnsi"/>
                <w:sz w:val="18"/>
                <w:szCs w:val="18"/>
              </w:rPr>
              <w:t>Transition to the harmonised times</w:t>
            </w:r>
          </w:p>
        </w:tc>
        <w:tc>
          <w:tcPr>
            <w:tcW w:w="4384" w:type="pct"/>
            <w:tcBorders>
              <w:top w:val="single" w:sz="4" w:space="0" w:color="auto"/>
              <w:left w:val="single" w:sz="4" w:space="0" w:color="auto"/>
              <w:bottom w:val="single" w:sz="4" w:space="0" w:color="auto"/>
              <w:right w:val="single" w:sz="8" w:space="0" w:color="FFFFFF"/>
            </w:tcBorders>
            <w:shd w:val="clear" w:color="auto" w:fill="FFFFFF" w:themeFill="background1"/>
            <w:tcMar>
              <w:top w:w="72" w:type="dxa"/>
              <w:left w:w="144" w:type="dxa"/>
              <w:bottom w:w="72" w:type="dxa"/>
              <w:right w:w="144" w:type="dxa"/>
            </w:tcMar>
          </w:tcPr>
          <w:p w:rsidR="00D30678" w:rsidRPr="00DF13EF" w:rsidRDefault="00D30678" w:rsidP="0064242F">
            <w:pPr>
              <w:pStyle w:val="TableBullet1"/>
              <w:numPr>
                <w:ilvl w:val="0"/>
                <w:numId w:val="0"/>
              </w:numPr>
              <w:spacing w:line="252" w:lineRule="auto"/>
              <w:ind w:left="85"/>
              <w:rPr>
                <w:rFonts w:asciiTheme="majorHAnsi" w:hAnsiTheme="majorHAnsi" w:cstheme="majorHAnsi"/>
                <w:szCs w:val="18"/>
              </w:rPr>
            </w:pPr>
            <w:r w:rsidRPr="00DF13EF">
              <w:rPr>
                <w:rFonts w:asciiTheme="majorHAnsi" w:hAnsiTheme="majorHAnsi" w:cstheme="majorHAnsi"/>
                <w:szCs w:val="18"/>
              </w:rPr>
              <w:t>To help market participants transition to the standard market timetable:</w:t>
            </w:r>
          </w:p>
          <w:p w:rsidR="00D30678" w:rsidRPr="00DF13EF" w:rsidRDefault="00D30678" w:rsidP="0064242F">
            <w:pPr>
              <w:pStyle w:val="TableBullet1"/>
              <w:rPr>
                <w:rFonts w:asciiTheme="majorHAnsi" w:hAnsiTheme="majorHAnsi" w:cstheme="majorHAnsi"/>
              </w:rPr>
            </w:pPr>
            <w:r w:rsidRPr="00DF13EF">
              <w:rPr>
                <w:rFonts w:asciiTheme="majorHAnsi" w:hAnsiTheme="majorHAnsi" w:cstheme="majorHAnsi"/>
              </w:rPr>
              <w:t>AEMO will be required to publish information on the arrangements it will implement to transition to the standard gas day in each of the facilitated markets by 1 April 2019; and</w:t>
            </w:r>
          </w:p>
          <w:p w:rsidR="00D30678" w:rsidRPr="00DF13EF" w:rsidRDefault="00D30678" w:rsidP="0064242F">
            <w:pPr>
              <w:pStyle w:val="TableBullet1"/>
              <w:rPr>
                <w:rFonts w:asciiTheme="majorHAnsi" w:hAnsiTheme="majorHAnsi" w:cstheme="majorHAnsi"/>
              </w:rPr>
            </w:pPr>
            <w:r w:rsidRPr="00DF13EF">
              <w:rPr>
                <w:rFonts w:asciiTheme="majorHAnsi" w:hAnsiTheme="majorHAnsi" w:cstheme="majorHAnsi"/>
              </w:rPr>
              <w:t xml:space="preserve">facility operators that provide services to third parties will be required to publish information about the operational arrangements they will put in place to transition to the standard gas day and standard nomination cut-off time (if applicable) by </w:t>
            </w:r>
            <w:r w:rsidR="00340E07">
              <w:rPr>
                <w:rFonts w:asciiTheme="majorHAnsi" w:hAnsiTheme="majorHAnsi" w:cstheme="majorHAnsi"/>
              </w:rPr>
              <w:t xml:space="preserve">the earlier of </w:t>
            </w:r>
            <w:r w:rsidRPr="00DF13EF">
              <w:rPr>
                <w:rFonts w:asciiTheme="majorHAnsi" w:hAnsiTheme="majorHAnsi" w:cstheme="majorHAnsi"/>
              </w:rPr>
              <w:t>30 June 2019</w:t>
            </w:r>
            <w:r w:rsidR="00816C04">
              <w:rPr>
                <w:rFonts w:asciiTheme="majorHAnsi" w:hAnsiTheme="majorHAnsi" w:cstheme="majorHAnsi"/>
              </w:rPr>
              <w:t xml:space="preserve"> </w:t>
            </w:r>
            <w:r w:rsidR="00340E07">
              <w:rPr>
                <w:rFonts w:asciiTheme="majorHAnsi" w:hAnsiTheme="majorHAnsi" w:cstheme="majorHAnsi"/>
              </w:rPr>
              <w:t xml:space="preserve">and 20 business days before they implement the </w:t>
            </w:r>
            <w:r w:rsidR="00816C04">
              <w:rPr>
                <w:rFonts w:asciiTheme="majorHAnsi" w:hAnsiTheme="majorHAnsi" w:cstheme="majorHAnsi"/>
              </w:rPr>
              <w:t>new gas day</w:t>
            </w:r>
            <w:r w:rsidRPr="00DF13EF">
              <w:rPr>
                <w:rFonts w:asciiTheme="majorHAnsi" w:hAnsiTheme="majorHAnsi" w:cstheme="majorHAnsi"/>
              </w:rPr>
              <w:t>.</w:t>
            </w:r>
          </w:p>
          <w:p w:rsidR="00D30678" w:rsidRPr="00DF13EF" w:rsidRDefault="00D30678" w:rsidP="0064242F">
            <w:pPr>
              <w:pStyle w:val="TableBullet1"/>
              <w:numPr>
                <w:ilvl w:val="0"/>
                <w:numId w:val="0"/>
              </w:numPr>
              <w:spacing w:line="259" w:lineRule="auto"/>
              <w:ind w:left="85"/>
              <w:rPr>
                <w:rFonts w:asciiTheme="majorHAnsi" w:hAnsiTheme="majorHAnsi" w:cstheme="majorHAnsi"/>
              </w:rPr>
            </w:pPr>
            <w:r w:rsidRPr="00DF13EF">
              <w:rPr>
                <w:rFonts w:asciiTheme="majorHAnsi" w:hAnsiTheme="majorHAnsi" w:cstheme="majorHAnsi"/>
                <w:szCs w:val="18"/>
              </w:rPr>
              <w:t xml:space="preserve">If any amendments to contracts are </w:t>
            </w:r>
            <w:r w:rsidR="00816C04">
              <w:rPr>
                <w:rFonts w:asciiTheme="majorHAnsi" w:hAnsiTheme="majorHAnsi" w:cstheme="majorHAnsi"/>
                <w:szCs w:val="18"/>
              </w:rPr>
              <w:t>re</w:t>
            </w:r>
            <w:r w:rsidRPr="00DF13EF">
              <w:rPr>
                <w:rFonts w:asciiTheme="majorHAnsi" w:hAnsiTheme="majorHAnsi" w:cstheme="majorHAnsi"/>
                <w:szCs w:val="18"/>
              </w:rPr>
              <w:t xml:space="preserve">quired to implement the standard market timetable, then </w:t>
            </w:r>
            <w:r w:rsidRPr="00DF13EF">
              <w:rPr>
                <w:rFonts w:asciiTheme="majorHAnsi" w:hAnsiTheme="majorHAnsi" w:cstheme="majorHAnsi"/>
                <w:lang w:val="en-US"/>
              </w:rPr>
              <w:t xml:space="preserve">parties will be required to negotiate in good faith </w:t>
            </w:r>
            <w:r w:rsidR="00DD17EA" w:rsidRPr="00DF13EF">
              <w:rPr>
                <w:rFonts w:asciiTheme="majorHAnsi" w:hAnsiTheme="majorHAnsi" w:cstheme="majorHAnsi"/>
                <w:lang w:val="en-US"/>
              </w:rPr>
              <w:t xml:space="preserve">to amend their contracts accordingly </w:t>
            </w:r>
            <w:r w:rsidRPr="00DF13EF">
              <w:rPr>
                <w:rFonts w:asciiTheme="majorHAnsi" w:hAnsiTheme="majorHAnsi" w:cstheme="majorHAnsi"/>
                <w:lang w:val="en-US"/>
              </w:rPr>
              <w:t xml:space="preserve">and will be able to have recourse to a dispute resolution mechanism if agreement cannot be reached. </w:t>
            </w:r>
            <w:r w:rsidR="008A4CED" w:rsidRPr="00DF13EF">
              <w:rPr>
                <w:rFonts w:asciiTheme="majorHAnsi" w:hAnsiTheme="majorHAnsi" w:cstheme="majorHAnsi"/>
                <w:lang w:val="en-US"/>
              </w:rPr>
              <w:t>Those required to implement the standard market timetable</w:t>
            </w:r>
            <w:r w:rsidRPr="00DF13EF">
              <w:rPr>
                <w:rFonts w:asciiTheme="majorHAnsi" w:hAnsiTheme="majorHAnsi" w:cstheme="majorHAnsi"/>
                <w:lang w:val="en-US"/>
              </w:rPr>
              <w:t xml:space="preserve"> will also have a transitional immunity from civil monetary liability </w:t>
            </w:r>
            <w:r w:rsidR="00DD17EA" w:rsidRPr="00DF13EF">
              <w:rPr>
                <w:rFonts w:asciiTheme="majorHAnsi" w:hAnsiTheme="majorHAnsi" w:cstheme="majorHAnsi"/>
                <w:lang w:val="en-US"/>
              </w:rPr>
              <w:t xml:space="preserve">they may incur </w:t>
            </w:r>
            <w:r w:rsidRPr="00DF13EF">
              <w:rPr>
                <w:rFonts w:asciiTheme="majorHAnsi" w:hAnsiTheme="majorHAnsi" w:cstheme="majorHAnsi"/>
                <w:lang w:val="en-US"/>
              </w:rPr>
              <w:t>from the</w:t>
            </w:r>
            <w:r w:rsidR="00DD17EA" w:rsidRPr="00DF13EF">
              <w:rPr>
                <w:rFonts w:asciiTheme="majorHAnsi" w:hAnsiTheme="majorHAnsi" w:cstheme="majorHAnsi"/>
                <w:lang w:val="en-US"/>
              </w:rPr>
              <w:t>ir</w:t>
            </w:r>
            <w:r w:rsidRPr="00DF13EF">
              <w:rPr>
                <w:rFonts w:asciiTheme="majorHAnsi" w:hAnsiTheme="majorHAnsi" w:cstheme="majorHAnsi"/>
                <w:lang w:val="en-US"/>
              </w:rPr>
              <w:t xml:space="preserve"> use of the standard market timetable.</w:t>
            </w:r>
          </w:p>
        </w:tc>
      </w:tr>
      <w:bookmarkEnd w:id="16"/>
      <w:bookmarkEnd w:id="17"/>
    </w:tbl>
    <w:p w:rsidR="00D30678" w:rsidRPr="00C37D44" w:rsidRDefault="00D30678" w:rsidP="00C37D44">
      <w:pPr>
        <w:pStyle w:val="ListBullet"/>
        <w:numPr>
          <w:ilvl w:val="0"/>
          <w:numId w:val="0"/>
        </w:numPr>
        <w:rPr>
          <w:rFonts w:asciiTheme="majorHAnsi" w:hAnsiTheme="majorHAnsi" w:cstheme="majorHAnsi"/>
        </w:rPr>
      </w:pPr>
    </w:p>
    <w:sectPr w:rsidR="00D30678" w:rsidRPr="00C37D44" w:rsidSect="008A6083">
      <w:headerReference w:type="default" r:id="rId25"/>
      <w:footerReference w:type="default" r:id="rId26"/>
      <w:pgSz w:w="16839" w:h="11907" w:orient="landscape" w:code="9"/>
      <w:pgMar w:top="2126" w:right="1418" w:bottom="284" w:left="1701" w:header="709" w:footer="31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2CAD" w:rsidRDefault="00982CAD" w:rsidP="00256624">
      <w:r>
        <w:separator/>
      </w:r>
    </w:p>
    <w:p w:rsidR="00982CAD" w:rsidRDefault="00982CAD"/>
  </w:endnote>
  <w:endnote w:type="continuationSeparator" w:id="0">
    <w:p w:rsidR="00982CAD" w:rsidRDefault="00982CAD" w:rsidP="00256624">
      <w:r>
        <w:continuationSeparator/>
      </w:r>
    </w:p>
    <w:p w:rsidR="00982CAD" w:rsidRDefault="00982CA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 Antiqua">
    <w:altName w:val="Book Antiqua"/>
    <w:panose1 w:val="02040602050305030304"/>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Consolas">
    <w:panose1 w:val="020B0609020204030204"/>
    <w:charset w:val="00"/>
    <w:family w:val="modern"/>
    <w:pitch w:val="fixed"/>
    <w:sig w:usb0="E10002FF" w:usb1="4000FCFF" w:usb2="00000009" w:usb3="00000000" w:csb0="0000019F" w:csb1="00000000"/>
  </w:font>
  <w:font w:name="ArialMT">
    <w:altName w:val="Arial"/>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C16ACF">
    <w:pPr>
      <w:pStyle w:val="Footer"/>
      <w:pBdr>
        <w:top w:val="single" w:sz="4" w:space="1" w:color="0099CC"/>
      </w:pBdr>
      <w:spacing w:line="80" w:lineRule="exact"/>
    </w:pPr>
  </w:p>
  <w:p w:rsidR="00982CAD" w:rsidRPr="00C16ACF" w:rsidRDefault="00982CAD" w:rsidP="006F122B">
    <w:pPr>
      <w:pStyle w:val="Footer"/>
      <w:rPr>
        <w:rFonts w:asciiTheme="majorHAnsi" w:hAnsiTheme="majorHAnsi" w:cstheme="majorHAnsi"/>
      </w:rPr>
    </w:pPr>
    <w:r w:rsidRPr="00C16ACF">
      <w:rPr>
        <w:rFonts w:asciiTheme="majorHAnsi" w:hAnsiTheme="majorHAnsi" w:cstheme="majorHAnsi"/>
      </w:rPr>
      <w:fldChar w:fldCharType="begin"/>
    </w:r>
    <w:r w:rsidRPr="00C16ACF">
      <w:rPr>
        <w:rFonts w:asciiTheme="majorHAnsi" w:hAnsiTheme="majorHAnsi" w:cstheme="majorHAnsi"/>
      </w:rPr>
      <w:instrText xml:space="preserve"> PAGE  \* Arabic  \* MERGEFORMAT </w:instrText>
    </w:r>
    <w:r w:rsidRPr="00C16ACF">
      <w:rPr>
        <w:rFonts w:asciiTheme="majorHAnsi" w:hAnsiTheme="majorHAnsi" w:cstheme="majorHAnsi"/>
      </w:rPr>
      <w:fldChar w:fldCharType="separate"/>
    </w:r>
    <w:r w:rsidR="00DF66AD">
      <w:rPr>
        <w:rFonts w:asciiTheme="majorHAnsi" w:hAnsiTheme="majorHAnsi" w:cstheme="majorHAnsi"/>
        <w:noProof/>
      </w:rPr>
      <w:t>2</w:t>
    </w:r>
    <w:r w:rsidRPr="00C16ACF">
      <w:rPr>
        <w:rFonts w:asciiTheme="majorHAnsi" w:hAnsiTheme="majorHAnsi" w:cstheme="majorHAnsi"/>
      </w:rPr>
      <w:fldChar w:fldCharType="end"/>
    </w:r>
  </w:p>
  <w:p w:rsidR="00982CAD" w:rsidRDefault="00982CA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Pr="00A36966" w:rsidRDefault="00982CAD" w:rsidP="00A36966">
    <w:pPr>
      <w:rPr>
        <w:sz w:val="2"/>
        <w:szCs w:val="2"/>
      </w:rPr>
    </w:pPr>
  </w:p>
  <w:p w:rsidR="00982CAD" w:rsidRDefault="00982CAD" w:rsidP="004D2852">
    <w:pPr>
      <w:pStyle w:val="Footer"/>
      <w:pBdr>
        <w:top w:val="single" w:sz="4" w:space="1" w:color="0099CC"/>
      </w:pBdr>
      <w:spacing w:line="80" w:lineRule="exact"/>
    </w:pPr>
  </w:p>
  <w:p w:rsidR="00982CAD" w:rsidRDefault="00982CAD" w:rsidP="00C37D44">
    <w:pPr>
      <w:pStyle w:val="Footer"/>
      <w:tabs>
        <w:tab w:val="left" w:pos="5592"/>
        <w:tab w:val="center" w:pos="7242"/>
      </w:tabs>
    </w:pPr>
    <w:r w:rsidRPr="003A6B52">
      <w:rPr>
        <w:rFonts w:asciiTheme="majorHAnsi" w:hAnsiTheme="majorHAnsi" w:cstheme="majorHAnsi"/>
      </w:rPr>
      <w:fldChar w:fldCharType="begin"/>
    </w:r>
    <w:r w:rsidRPr="003A6B52">
      <w:rPr>
        <w:rFonts w:asciiTheme="majorHAnsi" w:hAnsiTheme="majorHAnsi" w:cstheme="majorHAnsi"/>
      </w:rPr>
      <w:instrText xml:space="preserve"> PAGE   \* MERGEFORMAT </w:instrText>
    </w:r>
    <w:r w:rsidRPr="003A6B52">
      <w:rPr>
        <w:rFonts w:asciiTheme="majorHAnsi" w:hAnsiTheme="majorHAnsi" w:cstheme="majorHAnsi"/>
      </w:rPr>
      <w:fldChar w:fldCharType="separate"/>
    </w:r>
    <w:r w:rsidR="00DF66AD">
      <w:rPr>
        <w:rFonts w:asciiTheme="majorHAnsi" w:hAnsiTheme="majorHAnsi" w:cstheme="majorHAnsi"/>
        <w:noProof/>
      </w:rPr>
      <w:t>1</w:t>
    </w:r>
    <w:r w:rsidRPr="003A6B52">
      <w:rPr>
        <w:rFonts w:asciiTheme="majorHAnsi" w:hAnsiTheme="majorHAnsi" w:cstheme="majorHAnsi"/>
        <w:noProof/>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C16ACF">
    <w:pPr>
      <w:pStyle w:val="Footer"/>
      <w:pBdr>
        <w:top w:val="single" w:sz="4" w:space="1" w:color="0099CC"/>
      </w:pBdr>
      <w:spacing w:line="80" w:lineRule="exact"/>
    </w:pPr>
  </w:p>
  <w:p w:rsidR="00982CAD" w:rsidRPr="00E776BA" w:rsidRDefault="00982CAD" w:rsidP="00E776BA">
    <w:pPr>
      <w:pStyle w:val="Footer"/>
      <w:rPr>
        <w:rFonts w:asciiTheme="majorHAnsi" w:hAnsiTheme="majorHAnsi" w:cstheme="majorHAnsi"/>
      </w:rPr>
    </w:pPr>
    <w:r w:rsidRPr="00C16ACF">
      <w:rPr>
        <w:rFonts w:asciiTheme="majorHAnsi" w:hAnsiTheme="majorHAnsi" w:cstheme="majorHAnsi"/>
      </w:rPr>
      <w:fldChar w:fldCharType="begin"/>
    </w:r>
    <w:r w:rsidRPr="00C16ACF">
      <w:rPr>
        <w:rFonts w:asciiTheme="majorHAnsi" w:hAnsiTheme="majorHAnsi" w:cstheme="majorHAnsi"/>
      </w:rPr>
      <w:instrText xml:space="preserve"> PAGE  \* Arabic  \* MERGEFORMAT </w:instrText>
    </w:r>
    <w:r w:rsidRPr="00C16ACF">
      <w:rPr>
        <w:rFonts w:asciiTheme="majorHAnsi" w:hAnsiTheme="majorHAnsi" w:cstheme="majorHAnsi"/>
      </w:rPr>
      <w:fldChar w:fldCharType="separate"/>
    </w:r>
    <w:r w:rsidR="00DF66AD">
      <w:rPr>
        <w:rFonts w:asciiTheme="majorHAnsi" w:hAnsiTheme="majorHAnsi" w:cstheme="majorHAnsi"/>
        <w:noProof/>
      </w:rPr>
      <w:t>8</w:t>
    </w:r>
    <w:r w:rsidRPr="00C16ACF">
      <w:rPr>
        <w:rFonts w:asciiTheme="majorHAnsi" w:hAnsiTheme="majorHAnsi" w:cstheme="majorHAnsi"/>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Pr="00A36966" w:rsidRDefault="00982CAD" w:rsidP="00A36966">
    <w:pPr>
      <w:rPr>
        <w:sz w:val="2"/>
        <w:szCs w:val="2"/>
      </w:rPr>
    </w:pPr>
  </w:p>
  <w:p w:rsidR="00982CAD" w:rsidRDefault="00982CAD" w:rsidP="004D2852">
    <w:pPr>
      <w:pStyle w:val="Footer"/>
      <w:pBdr>
        <w:top w:val="single" w:sz="4" w:space="1" w:color="0099CC"/>
      </w:pBdr>
      <w:spacing w:line="80" w:lineRule="exact"/>
    </w:pPr>
  </w:p>
  <w:p w:rsidR="00982CAD" w:rsidRPr="003A6B52" w:rsidRDefault="00982CAD" w:rsidP="003A6B52">
    <w:pPr>
      <w:pStyle w:val="Footer"/>
      <w:tabs>
        <w:tab w:val="left" w:pos="5592"/>
        <w:tab w:val="center" w:pos="7242"/>
      </w:tabs>
      <w:rPr>
        <w:rFonts w:asciiTheme="majorHAnsi" w:hAnsiTheme="majorHAnsi" w:cstheme="majorHAnsi"/>
      </w:rPr>
    </w:pPr>
    <w:r w:rsidRPr="003A6B52">
      <w:rPr>
        <w:rFonts w:asciiTheme="majorHAnsi" w:hAnsiTheme="majorHAnsi" w:cstheme="majorHAnsi"/>
      </w:rPr>
      <w:fldChar w:fldCharType="begin"/>
    </w:r>
    <w:r w:rsidRPr="003A6B52">
      <w:rPr>
        <w:rFonts w:asciiTheme="majorHAnsi" w:hAnsiTheme="majorHAnsi" w:cstheme="majorHAnsi"/>
      </w:rPr>
      <w:instrText xml:space="preserve"> PAGE   \* MERGEFORMAT </w:instrText>
    </w:r>
    <w:r w:rsidRPr="003A6B52">
      <w:rPr>
        <w:rFonts w:asciiTheme="majorHAnsi" w:hAnsiTheme="majorHAnsi" w:cstheme="majorHAnsi"/>
      </w:rPr>
      <w:fldChar w:fldCharType="separate"/>
    </w:r>
    <w:r>
      <w:rPr>
        <w:rFonts w:asciiTheme="majorHAnsi" w:hAnsiTheme="majorHAnsi" w:cstheme="majorHAnsi"/>
        <w:noProof/>
      </w:rPr>
      <w:t>1</w:t>
    </w:r>
    <w:r w:rsidRPr="003A6B52">
      <w:rPr>
        <w:rFonts w:asciiTheme="majorHAnsi" w:hAnsiTheme="majorHAnsi" w:cstheme="majorHAnsi"/>
        <w:noProof/>
      </w:rPr>
      <w:fldChar w:fldCharType="end"/>
    </w:r>
  </w:p>
  <w:p w:rsidR="00982CAD" w:rsidRDefault="00982CAD"/>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F25C7A">
    <w:pPr>
      <w:pStyle w:val="Footer"/>
      <w:pBdr>
        <w:top w:val="single" w:sz="4" w:space="1" w:color="0099CC"/>
      </w:pBdr>
      <w:spacing w:before="240" w:line="80" w:lineRule="exact"/>
    </w:pPr>
  </w:p>
  <w:p w:rsidR="00982CAD" w:rsidRPr="00340E07" w:rsidRDefault="00982CAD" w:rsidP="00F25C7A">
    <w:pPr>
      <w:pStyle w:val="Footer"/>
      <w:rPr>
        <w:rFonts w:asciiTheme="majorHAnsi" w:hAnsiTheme="majorHAnsi" w:cstheme="majorHAnsi"/>
      </w:rPr>
    </w:pPr>
    <w:r w:rsidRPr="00340E07">
      <w:rPr>
        <w:rFonts w:asciiTheme="majorHAnsi" w:hAnsiTheme="majorHAnsi" w:cstheme="majorHAnsi"/>
      </w:rPr>
      <w:fldChar w:fldCharType="begin"/>
    </w:r>
    <w:r w:rsidRPr="00340E07">
      <w:rPr>
        <w:rFonts w:asciiTheme="majorHAnsi" w:hAnsiTheme="majorHAnsi" w:cstheme="majorHAnsi"/>
      </w:rPr>
      <w:instrText xml:space="preserve"> PAGE   \* MERGEFORMAT </w:instrText>
    </w:r>
    <w:r w:rsidRPr="00340E07">
      <w:rPr>
        <w:rFonts w:asciiTheme="majorHAnsi" w:hAnsiTheme="majorHAnsi" w:cstheme="majorHAnsi"/>
      </w:rPr>
      <w:fldChar w:fldCharType="separate"/>
    </w:r>
    <w:r w:rsidR="00DF66AD">
      <w:rPr>
        <w:rFonts w:asciiTheme="majorHAnsi" w:hAnsiTheme="majorHAnsi" w:cstheme="majorHAnsi"/>
        <w:noProof/>
      </w:rPr>
      <w:t>9</w:t>
    </w:r>
    <w:r w:rsidRPr="00340E07">
      <w:rPr>
        <w:rFonts w:asciiTheme="majorHAnsi" w:hAnsiTheme="majorHAnsi" w:cstheme="majorHAnsi"/>
        <w:noProof/>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F25C7A">
    <w:pPr>
      <w:pStyle w:val="Footer"/>
      <w:pBdr>
        <w:top w:val="single" w:sz="4" w:space="1" w:color="0099CC"/>
      </w:pBdr>
      <w:spacing w:before="240" w:line="80" w:lineRule="exact"/>
    </w:pPr>
  </w:p>
  <w:p w:rsidR="00982CAD" w:rsidRDefault="00982CAD" w:rsidP="00F25C7A">
    <w:pPr>
      <w:pStyle w:val="Footer"/>
    </w:pPr>
    <w:r>
      <w:fldChar w:fldCharType="begin"/>
    </w:r>
    <w:r>
      <w:instrText xml:space="preserve"> PAGE   \* MERGEFORMAT </w:instrText>
    </w:r>
    <w:r>
      <w:fldChar w:fldCharType="separate"/>
    </w:r>
    <w:r w:rsidR="00DF66AD">
      <w:rPr>
        <w:noProof/>
      </w:rPr>
      <w:t>18</w:t>
    </w:r>
    <w:r>
      <w:rPr>
        <w:noProof/>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F25C7A">
    <w:pPr>
      <w:pStyle w:val="Footer"/>
      <w:pBdr>
        <w:top w:val="single" w:sz="4" w:space="1" w:color="0099CC"/>
      </w:pBdr>
      <w:spacing w:before="240" w:line="80" w:lineRule="exact"/>
    </w:pPr>
  </w:p>
  <w:p w:rsidR="00982CAD" w:rsidRDefault="00982CAD" w:rsidP="00F25C7A">
    <w:pPr>
      <w:pStyle w:val="Footer"/>
    </w:pPr>
    <w:r>
      <w:fldChar w:fldCharType="begin"/>
    </w:r>
    <w:r>
      <w:instrText xml:space="preserve"> PAGE   \* MERGEFORMAT </w:instrText>
    </w:r>
    <w:r>
      <w:fldChar w:fldCharType="separate"/>
    </w:r>
    <w:r w:rsidR="00DF66AD">
      <w:rPr>
        <w:noProof/>
      </w:rPr>
      <w:t>21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2CAD" w:rsidRPr="0022372B" w:rsidRDefault="00982CAD"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Separator" w:id="0">
    <w:p w:rsidR="00982CAD" w:rsidRPr="0022372B" w:rsidRDefault="00982CAD" w:rsidP="0022372B">
      <w:pPr>
        <w:pStyle w:val="Footer"/>
        <w:spacing w:after="80" w:line="240" w:lineRule="auto"/>
        <w:jc w:val="left"/>
        <w:rPr>
          <w:color w:val="A9A8A9" w:themeColor="accent4"/>
          <w:sz w:val="16"/>
          <w:szCs w:val="16"/>
        </w:rPr>
      </w:pPr>
      <w:r w:rsidRPr="0022372B">
        <w:rPr>
          <w:color w:val="A9A8A9" w:themeColor="accent4"/>
          <w:sz w:val="16"/>
          <w:szCs w:val="16"/>
        </w:rPr>
        <w:t>_________________________________</w:t>
      </w:r>
    </w:p>
  </w:footnote>
  <w:footnote w:type="continuationNotice" w:id="1">
    <w:p w:rsidR="00982CAD" w:rsidRPr="00A176B6" w:rsidRDefault="00982CAD" w:rsidP="00A176B6">
      <w:pPr>
        <w:spacing w:line="160" w:lineRule="exact"/>
        <w:rPr>
          <w:sz w:val="16"/>
          <w:szCs w:val="16"/>
        </w:rPr>
      </w:pPr>
    </w:p>
  </w:footnote>
  <w:footnote w:id="2">
    <w:p w:rsidR="00982CAD" w:rsidRPr="00027450" w:rsidRDefault="00982CAD">
      <w:pPr>
        <w:pStyle w:val="FootnoteText"/>
        <w:rPr>
          <w:rFonts w:asciiTheme="majorHAnsi" w:hAnsiTheme="majorHAnsi" w:cstheme="majorHAnsi"/>
          <w:sz w:val="16"/>
          <w:szCs w:val="16"/>
        </w:rPr>
      </w:pPr>
      <w:r w:rsidRPr="00027450">
        <w:rPr>
          <w:rStyle w:val="FootnoteReference"/>
          <w:rFonts w:asciiTheme="majorHAnsi" w:hAnsiTheme="majorHAnsi" w:cstheme="majorHAnsi"/>
          <w:sz w:val="16"/>
          <w:szCs w:val="16"/>
        </w:rPr>
        <w:footnoteRef/>
      </w:r>
      <w:r w:rsidRPr="00027450">
        <w:rPr>
          <w:rFonts w:asciiTheme="majorHAnsi" w:hAnsiTheme="majorHAnsi" w:cstheme="majorHAnsi"/>
          <w:sz w:val="16"/>
          <w:szCs w:val="16"/>
        </w:rPr>
        <w:t xml:space="preserve"> </w:t>
      </w:r>
      <w:r w:rsidRPr="00027450">
        <w:rPr>
          <w:rFonts w:asciiTheme="majorHAnsi" w:hAnsiTheme="majorHAnsi" w:cstheme="majorHAnsi"/>
          <w:sz w:val="16"/>
          <w:szCs w:val="16"/>
        </w:rPr>
        <w:tab/>
        <w:t>The reforms do not apply to the Declared Transmission System</w:t>
      </w:r>
      <w:r>
        <w:rPr>
          <w:rFonts w:asciiTheme="majorHAnsi" w:hAnsiTheme="majorHAnsi" w:cstheme="majorHAnsi"/>
          <w:sz w:val="16"/>
          <w:szCs w:val="16"/>
        </w:rPr>
        <w:t xml:space="preserve"> (DTS) in Victoria</w:t>
      </w:r>
      <w:r w:rsidRPr="00027450">
        <w:rPr>
          <w:rFonts w:asciiTheme="majorHAnsi" w:hAnsiTheme="majorHAnsi" w:cstheme="majorHAnsi"/>
          <w:sz w:val="16"/>
          <w:szCs w:val="16"/>
        </w:rPr>
        <w:t>, which operates under the market carriage model.</w:t>
      </w:r>
    </w:p>
  </w:footnote>
  <w:footnote w:id="3">
    <w:p w:rsidR="00982CAD" w:rsidRPr="009E75D2" w:rsidRDefault="00982CAD" w:rsidP="00937AB0">
      <w:pPr>
        <w:pStyle w:val="FootnoteText"/>
        <w:spacing w:before="20" w:after="20"/>
        <w:rPr>
          <w:rFonts w:asciiTheme="majorHAnsi" w:hAnsiTheme="majorHAnsi" w:cstheme="majorHAnsi"/>
          <w:sz w:val="16"/>
          <w:szCs w:val="16"/>
        </w:rPr>
      </w:pPr>
      <w:r w:rsidRPr="009E75D2">
        <w:rPr>
          <w:rStyle w:val="FootnoteReference"/>
          <w:rFonts w:asciiTheme="majorHAnsi" w:hAnsiTheme="majorHAnsi" w:cstheme="majorHAnsi"/>
          <w:sz w:val="16"/>
          <w:szCs w:val="16"/>
        </w:rPr>
        <w:footnoteRef/>
      </w:r>
      <w:r w:rsidRPr="009E75D2">
        <w:rPr>
          <w:rFonts w:asciiTheme="majorHAnsi" w:hAnsiTheme="majorHAnsi" w:cstheme="majorHAnsi"/>
          <w:sz w:val="16"/>
          <w:szCs w:val="16"/>
        </w:rPr>
        <w:t xml:space="preserve"> </w:t>
      </w:r>
      <w:r w:rsidRPr="009E75D2">
        <w:rPr>
          <w:rFonts w:asciiTheme="majorHAnsi" w:hAnsiTheme="majorHAnsi" w:cstheme="majorHAnsi"/>
          <w:sz w:val="16"/>
          <w:szCs w:val="16"/>
        </w:rPr>
        <w:tab/>
        <w:t xml:space="preserve">GMRG, Final Recommendations on the Operation and Administration of the Transportation Capacity Trading Platform and Day-Ahead Action, June 2017. GMRG, Final Recommendations on the Capacity Trading Reform Package (Standardisation, capacity trading platform and reporting framework for secondary trades), November 2017. GMRG, Final Recommendations on the Design of the Day-Ahead Auction of Contracted but Un-Nominated Capacity, December 2017.  </w:t>
      </w:r>
    </w:p>
  </w:footnote>
  <w:footnote w:id="4">
    <w:p w:rsidR="00982CAD" w:rsidRPr="009E75D2" w:rsidRDefault="00982CAD" w:rsidP="0064242F">
      <w:pPr>
        <w:pStyle w:val="Default"/>
        <w:spacing w:before="20"/>
        <w:ind w:left="357" w:hanging="357"/>
        <w:rPr>
          <w:rFonts w:asciiTheme="majorHAnsi" w:hAnsiTheme="majorHAnsi" w:cstheme="majorHAnsi"/>
          <w:sz w:val="16"/>
          <w:szCs w:val="16"/>
        </w:rPr>
      </w:pPr>
      <w:r w:rsidRPr="009E75D2">
        <w:rPr>
          <w:rStyle w:val="FootnoteReference"/>
          <w:rFonts w:asciiTheme="majorHAnsi" w:hAnsiTheme="majorHAnsi" w:cstheme="majorHAnsi"/>
          <w:sz w:val="16"/>
          <w:szCs w:val="16"/>
        </w:rPr>
        <w:footnoteRef/>
      </w:r>
      <w:r w:rsidRPr="009E75D2">
        <w:rPr>
          <w:rFonts w:asciiTheme="majorHAnsi" w:hAnsiTheme="majorHAnsi" w:cstheme="majorHAnsi"/>
          <w:sz w:val="16"/>
          <w:szCs w:val="16"/>
        </w:rPr>
        <w:t xml:space="preserve"> </w:t>
      </w:r>
      <w:r w:rsidRPr="009E75D2">
        <w:rPr>
          <w:rFonts w:asciiTheme="majorHAnsi" w:hAnsiTheme="majorHAnsi" w:cstheme="majorHAnsi"/>
          <w:sz w:val="16"/>
          <w:szCs w:val="16"/>
        </w:rPr>
        <w:tab/>
        <w:t xml:space="preserve">The rule making test in section 291 of the NGL sets out the matters the AEMC is to consider when exercising its rule making functions. In short, this test states that the AEMC: may only make a rule if it is satisfied it will, or is likely to, contribute to the achievement of the NGO; and may give such weight to any aspect of the NGO as it considers appropriate, having regard to any relevant Council statement of policy principles. </w:t>
      </w:r>
    </w:p>
  </w:footnote>
  <w:footnote w:id="5">
    <w:p w:rsidR="00982CAD" w:rsidRPr="009E75D2" w:rsidRDefault="00982CAD" w:rsidP="0064242F">
      <w:pPr>
        <w:pStyle w:val="FootnoteText"/>
        <w:spacing w:before="20" w:after="0"/>
        <w:rPr>
          <w:rFonts w:asciiTheme="majorHAnsi" w:hAnsiTheme="majorHAnsi" w:cstheme="majorHAnsi"/>
          <w:sz w:val="16"/>
          <w:szCs w:val="16"/>
        </w:rPr>
      </w:pPr>
      <w:r w:rsidRPr="009E75D2">
        <w:rPr>
          <w:rStyle w:val="FootnoteReference"/>
          <w:rFonts w:asciiTheme="majorHAnsi" w:hAnsiTheme="majorHAnsi" w:cstheme="majorHAnsi"/>
          <w:sz w:val="16"/>
          <w:szCs w:val="16"/>
        </w:rPr>
        <w:footnoteRef/>
      </w:r>
      <w:r w:rsidRPr="009E75D2">
        <w:rPr>
          <w:rFonts w:asciiTheme="majorHAnsi" w:hAnsiTheme="majorHAnsi" w:cstheme="majorHAnsi"/>
          <w:sz w:val="16"/>
          <w:szCs w:val="16"/>
        </w:rPr>
        <w:t xml:space="preserve"> </w:t>
      </w:r>
      <w:r w:rsidRPr="009E75D2">
        <w:rPr>
          <w:rFonts w:asciiTheme="majorHAnsi" w:hAnsiTheme="majorHAnsi" w:cstheme="majorHAnsi"/>
          <w:sz w:val="16"/>
          <w:szCs w:val="16"/>
        </w:rPr>
        <w:tab/>
        <w:t>COAG Energy Council, Australian Gas Market Vision, December 2014.</w:t>
      </w:r>
    </w:p>
  </w:footnote>
  <w:footnote w:id="6">
    <w:p w:rsidR="00982CAD" w:rsidRPr="009E75D2" w:rsidRDefault="00982CAD" w:rsidP="0064242F">
      <w:pPr>
        <w:pStyle w:val="FootnoteText"/>
        <w:spacing w:before="20" w:after="0"/>
        <w:rPr>
          <w:rFonts w:asciiTheme="majorHAnsi" w:hAnsiTheme="majorHAnsi" w:cstheme="majorHAnsi"/>
          <w:sz w:val="16"/>
          <w:szCs w:val="16"/>
        </w:rPr>
      </w:pPr>
      <w:r w:rsidRPr="009E75D2">
        <w:rPr>
          <w:rStyle w:val="FootnoteReference"/>
          <w:rFonts w:asciiTheme="majorHAnsi" w:hAnsiTheme="majorHAnsi" w:cstheme="majorHAnsi"/>
          <w:sz w:val="16"/>
          <w:szCs w:val="16"/>
        </w:rPr>
        <w:footnoteRef/>
      </w:r>
      <w:r w:rsidRPr="009E75D2">
        <w:rPr>
          <w:rFonts w:asciiTheme="majorHAnsi" w:hAnsiTheme="majorHAnsi" w:cstheme="majorHAnsi"/>
          <w:sz w:val="16"/>
          <w:szCs w:val="16"/>
        </w:rPr>
        <w:t xml:space="preserve"> </w:t>
      </w:r>
      <w:r w:rsidRPr="009E75D2">
        <w:rPr>
          <w:rFonts w:asciiTheme="majorHAnsi" w:hAnsiTheme="majorHAnsi" w:cstheme="majorHAnsi"/>
          <w:sz w:val="16"/>
          <w:szCs w:val="16"/>
        </w:rPr>
        <w:tab/>
        <w:t xml:space="preserve">These refinements relate to: the exemption framework, the AER’s role in approving Code amendments, the approach used to overcome contractual limitations on capacity trading, the governance arrangements for zones; the contract path model to be used in the auction; who </w:t>
      </w:r>
      <w:r>
        <w:rPr>
          <w:rFonts w:asciiTheme="majorHAnsi" w:hAnsiTheme="majorHAnsi" w:cstheme="majorHAnsi"/>
          <w:sz w:val="16"/>
          <w:szCs w:val="16"/>
        </w:rPr>
        <w:t xml:space="preserve">should </w:t>
      </w:r>
      <w:r w:rsidRPr="009E75D2">
        <w:rPr>
          <w:rFonts w:asciiTheme="majorHAnsi" w:hAnsiTheme="majorHAnsi" w:cstheme="majorHAnsi"/>
          <w:sz w:val="16"/>
          <w:szCs w:val="16"/>
        </w:rPr>
        <w:t>be responsible for determining the method for calculating auction quantities; the scope of grandfathered rights; the gas day harmonisation transitional arrangements; and the reporting obligations of allocation agents.</w:t>
      </w:r>
    </w:p>
  </w:footnote>
  <w:footnote w:id="7">
    <w:p w:rsidR="00982CAD" w:rsidRPr="0008789E" w:rsidRDefault="00982CAD" w:rsidP="0008789E">
      <w:pPr>
        <w:pStyle w:val="FootnoteText"/>
        <w:spacing w:before="0" w:after="0"/>
        <w:rPr>
          <w:rFonts w:asciiTheme="majorHAnsi" w:hAnsiTheme="majorHAnsi" w:cstheme="majorHAnsi"/>
          <w:sz w:val="16"/>
          <w:szCs w:val="16"/>
        </w:rPr>
      </w:pPr>
      <w:r w:rsidRPr="0008789E">
        <w:rPr>
          <w:rStyle w:val="FootnoteReference"/>
          <w:rFonts w:asciiTheme="majorHAnsi" w:hAnsiTheme="majorHAnsi" w:cstheme="majorHAnsi"/>
          <w:sz w:val="16"/>
          <w:szCs w:val="16"/>
        </w:rPr>
        <w:footnoteRef/>
      </w:r>
      <w:r w:rsidRPr="0008789E">
        <w:rPr>
          <w:rFonts w:asciiTheme="majorHAnsi" w:hAnsiTheme="majorHAnsi" w:cstheme="majorHAnsi"/>
          <w:sz w:val="16"/>
          <w:szCs w:val="16"/>
        </w:rPr>
        <w:t xml:space="preserve"> </w:t>
      </w:r>
      <w:r w:rsidRPr="0008789E">
        <w:rPr>
          <w:rFonts w:asciiTheme="majorHAnsi" w:hAnsiTheme="majorHAnsi" w:cstheme="majorHAnsi"/>
          <w:sz w:val="16"/>
          <w:szCs w:val="16"/>
        </w:rPr>
        <w:tab/>
        <w:t>If this does not occur, then the commencement of the capacity trading platform and the auction and the other obligations set out in these tables will be deferred in accordance with the timelines specified in the transitional rules.</w:t>
      </w:r>
    </w:p>
  </w:footnote>
  <w:footnote w:id="8">
    <w:p w:rsidR="00982CAD" w:rsidRPr="007A3AAE" w:rsidRDefault="00982CAD" w:rsidP="007A3AAE">
      <w:pPr>
        <w:pStyle w:val="FootnoteText"/>
        <w:spacing w:before="0" w:after="20"/>
        <w:rPr>
          <w:rFonts w:asciiTheme="majorHAnsi" w:hAnsiTheme="majorHAnsi" w:cstheme="majorHAnsi"/>
          <w:sz w:val="16"/>
          <w:szCs w:val="16"/>
        </w:rPr>
      </w:pPr>
      <w:r w:rsidRPr="007A3AAE">
        <w:rPr>
          <w:rStyle w:val="FootnoteReference"/>
          <w:rFonts w:asciiTheme="majorHAnsi" w:hAnsiTheme="majorHAnsi" w:cstheme="majorHAnsi"/>
          <w:sz w:val="16"/>
          <w:szCs w:val="16"/>
        </w:rPr>
        <w:footnoteRef/>
      </w:r>
      <w:r w:rsidRPr="007A3AAE">
        <w:rPr>
          <w:rFonts w:asciiTheme="majorHAnsi" w:hAnsiTheme="majorHAnsi" w:cstheme="majorHAnsi"/>
          <w:sz w:val="16"/>
          <w:szCs w:val="16"/>
        </w:rPr>
        <w:t xml:space="preserve"> </w:t>
      </w:r>
      <w:r w:rsidRPr="007A3AAE">
        <w:rPr>
          <w:rFonts w:asciiTheme="majorHAnsi" w:hAnsiTheme="majorHAnsi" w:cstheme="majorHAnsi"/>
          <w:sz w:val="16"/>
          <w:szCs w:val="16"/>
        </w:rPr>
        <w:tab/>
        <w:t>AEMO may, on the application of a service provider, register more than one facility as a single facility for the purposes of the reforms or register a part (or parts) of a transportation facility as separate facilities.</w:t>
      </w:r>
    </w:p>
  </w:footnote>
  <w:footnote w:id="9">
    <w:p w:rsidR="00982CAD" w:rsidRDefault="00982CAD" w:rsidP="007A3AAE">
      <w:pPr>
        <w:pStyle w:val="FootnoteText"/>
        <w:spacing w:before="0" w:after="20"/>
      </w:pPr>
      <w:r w:rsidRPr="007A3AAE">
        <w:rPr>
          <w:rStyle w:val="FootnoteReference"/>
          <w:rFonts w:asciiTheme="majorHAnsi" w:hAnsiTheme="majorHAnsi" w:cstheme="majorHAnsi"/>
          <w:sz w:val="16"/>
          <w:szCs w:val="16"/>
        </w:rPr>
        <w:footnoteRef/>
      </w:r>
      <w:r w:rsidRPr="007A3AAE">
        <w:rPr>
          <w:rFonts w:asciiTheme="majorHAnsi" w:hAnsiTheme="majorHAnsi" w:cstheme="majorHAnsi"/>
          <w:sz w:val="16"/>
          <w:szCs w:val="16"/>
        </w:rPr>
        <w:t xml:space="preserve"> </w:t>
      </w:r>
      <w:r w:rsidRPr="007A3AAE">
        <w:rPr>
          <w:rFonts w:asciiTheme="majorHAnsi" w:hAnsiTheme="majorHAnsi" w:cstheme="majorHAnsi"/>
          <w:sz w:val="16"/>
          <w:szCs w:val="16"/>
        </w:rPr>
        <w:tab/>
        <w:t xml:space="preserve">Note that if auction facility operators notify the AER after this date, they will not be able to treat the services as ‘transitional firm’ services </w:t>
      </w:r>
      <w:r>
        <w:rPr>
          <w:rFonts w:asciiTheme="majorHAnsi" w:hAnsiTheme="majorHAnsi" w:cstheme="majorHAnsi"/>
          <w:sz w:val="16"/>
          <w:szCs w:val="16"/>
        </w:rPr>
        <w:t xml:space="preserve">for 30 business days after the notification. </w:t>
      </w:r>
    </w:p>
  </w:footnote>
  <w:footnote w:id="10">
    <w:p w:rsidR="00982CAD" w:rsidRDefault="00982CAD">
      <w:pPr>
        <w:pStyle w:val="FootnoteText"/>
      </w:pPr>
      <w:r w:rsidRPr="00170B5F">
        <w:rPr>
          <w:rStyle w:val="FootnoteReference"/>
          <w:rFonts w:ascii="Arial" w:hAnsi="Arial" w:cs="Arial"/>
          <w:sz w:val="16"/>
          <w:szCs w:val="16"/>
        </w:rPr>
        <w:footnoteRef/>
      </w:r>
      <w:r>
        <w:t xml:space="preserve"> </w:t>
      </w:r>
      <w:r>
        <w:tab/>
      </w:r>
      <w:r w:rsidRPr="00170B5F">
        <w:rPr>
          <w:rFonts w:asciiTheme="majorHAnsi" w:hAnsiTheme="majorHAnsi" w:cstheme="majorHAnsi"/>
          <w:sz w:val="16"/>
          <w:szCs w:val="16"/>
        </w:rPr>
        <w:t>See Table A.1 for information on the exemptions framework.</w:t>
      </w:r>
      <w:r>
        <w:rPr>
          <w:rFonts w:asciiTheme="majorHAnsi" w:hAnsiTheme="majorHAnsi" w:cstheme="majorHAnsi"/>
          <w:sz w:val="16"/>
          <w:szCs w:val="16"/>
        </w:rPr>
        <w:t xml:space="preserve"> </w:t>
      </w:r>
    </w:p>
  </w:footnote>
  <w:footnote w:id="11">
    <w:p w:rsidR="00982CAD" w:rsidRPr="00CA12F4" w:rsidRDefault="00982CAD" w:rsidP="00CA12F4">
      <w:pPr>
        <w:pStyle w:val="FootnoteText"/>
        <w:spacing w:beforeLines="20" w:before="48" w:after="0"/>
        <w:rPr>
          <w:rFonts w:asciiTheme="majorHAnsi" w:hAnsiTheme="majorHAnsi" w:cstheme="majorHAnsi"/>
          <w:sz w:val="16"/>
          <w:szCs w:val="16"/>
        </w:rPr>
      </w:pPr>
      <w:r w:rsidRPr="00CA12F4">
        <w:rPr>
          <w:rStyle w:val="FootnoteReference"/>
          <w:rFonts w:asciiTheme="majorHAnsi" w:hAnsiTheme="majorHAnsi" w:cstheme="majorHAnsi"/>
          <w:sz w:val="16"/>
          <w:szCs w:val="16"/>
        </w:rPr>
        <w:footnoteRef/>
      </w:r>
      <w:r w:rsidRPr="00CA12F4">
        <w:rPr>
          <w:rFonts w:asciiTheme="majorHAnsi" w:hAnsiTheme="majorHAnsi" w:cstheme="majorHAnsi"/>
          <w:sz w:val="16"/>
          <w:szCs w:val="16"/>
        </w:rPr>
        <w:t xml:space="preserve"> </w:t>
      </w:r>
      <w:r w:rsidRPr="00CA12F4">
        <w:rPr>
          <w:rFonts w:asciiTheme="majorHAnsi" w:hAnsiTheme="majorHAnsi" w:cstheme="majorHAnsi"/>
          <w:sz w:val="16"/>
          <w:szCs w:val="16"/>
        </w:rPr>
        <w:tab/>
        <w:t>The secondary capacity trading reporting obligations apply to trading parties rather than facilities. The exemptions set out here do not therefore apply to this reporting framework.</w:t>
      </w:r>
    </w:p>
  </w:footnote>
  <w:footnote w:id="12">
    <w:p w:rsidR="00982CAD" w:rsidRPr="00CA12F4" w:rsidRDefault="00982CAD" w:rsidP="00CA12F4">
      <w:pPr>
        <w:pStyle w:val="FootnoteText"/>
        <w:spacing w:beforeLines="20" w:before="48" w:after="0"/>
        <w:rPr>
          <w:rFonts w:asciiTheme="majorHAnsi" w:hAnsiTheme="majorHAnsi" w:cstheme="majorHAnsi"/>
          <w:sz w:val="16"/>
          <w:szCs w:val="16"/>
        </w:rPr>
      </w:pPr>
      <w:r w:rsidRPr="00CA12F4">
        <w:rPr>
          <w:rStyle w:val="FootnoteReference"/>
          <w:rFonts w:asciiTheme="majorHAnsi" w:hAnsiTheme="majorHAnsi" w:cstheme="majorHAnsi"/>
          <w:sz w:val="16"/>
          <w:szCs w:val="16"/>
        </w:rPr>
        <w:footnoteRef/>
      </w:r>
      <w:r w:rsidRPr="00CA12F4">
        <w:rPr>
          <w:rFonts w:asciiTheme="majorHAnsi" w:hAnsiTheme="majorHAnsi" w:cstheme="majorHAnsi"/>
          <w:sz w:val="16"/>
          <w:szCs w:val="16"/>
        </w:rPr>
        <w:t xml:space="preserve"> </w:t>
      </w:r>
      <w:r w:rsidRPr="00CA12F4">
        <w:rPr>
          <w:rFonts w:asciiTheme="majorHAnsi" w:hAnsiTheme="majorHAnsi" w:cstheme="majorHAnsi"/>
          <w:sz w:val="16"/>
          <w:szCs w:val="16"/>
        </w:rPr>
        <w:tab/>
        <w:t xml:space="preserve">The designated compression facilities are the </w:t>
      </w:r>
      <w:bookmarkStart w:id="19" w:name="_Hlk516156675"/>
      <w:r w:rsidRPr="00CA12F4">
        <w:rPr>
          <w:rFonts w:asciiTheme="majorHAnsi" w:hAnsiTheme="majorHAnsi" w:cstheme="majorHAnsi"/>
          <w:sz w:val="16"/>
          <w:szCs w:val="16"/>
        </w:rPr>
        <w:t>Wallumbilla and Moomba facilities owned by APA, the Iona facility owned by Lochard and the Ballera facility owned by Santos</w:t>
      </w:r>
      <w:bookmarkEnd w:id="19"/>
      <w:r w:rsidRPr="00CA12F4">
        <w:rPr>
          <w:rFonts w:asciiTheme="majorHAnsi" w:hAnsiTheme="majorHAnsi" w:cstheme="majorHAnsi"/>
          <w:sz w:val="16"/>
          <w:szCs w:val="16"/>
        </w:rPr>
        <w:t xml:space="preserve">. </w:t>
      </w:r>
    </w:p>
  </w:footnote>
  <w:footnote w:id="13">
    <w:p w:rsidR="00982CAD" w:rsidRPr="00CA12F4" w:rsidRDefault="00982CAD" w:rsidP="00CA12F4">
      <w:pPr>
        <w:pStyle w:val="FootnoteText"/>
        <w:spacing w:beforeLines="20" w:before="48" w:after="0"/>
        <w:rPr>
          <w:rFonts w:asciiTheme="majorHAnsi" w:hAnsiTheme="majorHAnsi" w:cstheme="majorHAnsi"/>
          <w:sz w:val="16"/>
          <w:szCs w:val="16"/>
        </w:rPr>
      </w:pPr>
      <w:r w:rsidRPr="00CA12F4">
        <w:rPr>
          <w:rStyle w:val="FootnoteReference"/>
          <w:rFonts w:asciiTheme="majorHAnsi" w:hAnsiTheme="majorHAnsi" w:cstheme="majorHAnsi"/>
          <w:sz w:val="16"/>
          <w:szCs w:val="16"/>
        </w:rPr>
        <w:footnoteRef/>
      </w:r>
      <w:r w:rsidRPr="00CA12F4">
        <w:rPr>
          <w:rFonts w:asciiTheme="majorHAnsi" w:hAnsiTheme="majorHAnsi" w:cstheme="majorHAnsi"/>
          <w:sz w:val="16"/>
          <w:szCs w:val="16"/>
        </w:rPr>
        <w:t xml:space="preserve"> </w:t>
      </w:r>
      <w:r w:rsidRPr="00CA12F4">
        <w:rPr>
          <w:rFonts w:asciiTheme="majorHAnsi" w:hAnsiTheme="majorHAnsi" w:cstheme="majorHAnsi"/>
          <w:sz w:val="16"/>
          <w:szCs w:val="16"/>
        </w:rPr>
        <w:tab/>
        <w:t xml:space="preserve">Note that an automatic exemption is also available to a transportation facility located in the </w:t>
      </w:r>
      <w:r>
        <w:rPr>
          <w:rFonts w:asciiTheme="majorHAnsi" w:hAnsiTheme="majorHAnsi" w:cstheme="majorHAnsi"/>
          <w:sz w:val="16"/>
          <w:szCs w:val="16"/>
        </w:rPr>
        <w:t xml:space="preserve">NT </w:t>
      </w:r>
      <w:r w:rsidRPr="00CA12F4">
        <w:rPr>
          <w:rFonts w:asciiTheme="majorHAnsi" w:hAnsiTheme="majorHAnsi" w:cstheme="majorHAnsi"/>
          <w:sz w:val="16"/>
          <w:szCs w:val="16"/>
        </w:rPr>
        <w:t xml:space="preserve">until the first transmission pipeline capable of transporting natural gas between the </w:t>
      </w:r>
      <w:r>
        <w:rPr>
          <w:rFonts w:asciiTheme="majorHAnsi" w:hAnsiTheme="majorHAnsi" w:cstheme="majorHAnsi"/>
          <w:sz w:val="16"/>
          <w:szCs w:val="16"/>
        </w:rPr>
        <w:t xml:space="preserve">NT </w:t>
      </w:r>
      <w:r w:rsidRPr="00CA12F4">
        <w:rPr>
          <w:rFonts w:asciiTheme="majorHAnsi" w:hAnsiTheme="majorHAnsi" w:cstheme="majorHAnsi"/>
          <w:sz w:val="16"/>
          <w:szCs w:val="16"/>
        </w:rPr>
        <w:t>and a location in Queensland, New South Wales or South Australia, is commissioned.</w:t>
      </w:r>
    </w:p>
  </w:footnote>
  <w:footnote w:id="14">
    <w:p w:rsidR="00982CAD" w:rsidRPr="00E51942" w:rsidRDefault="00982CAD" w:rsidP="000935BE">
      <w:pPr>
        <w:pStyle w:val="FootnoteText"/>
        <w:spacing w:before="20" w:after="20"/>
        <w:rPr>
          <w:rFonts w:asciiTheme="majorHAnsi" w:hAnsiTheme="majorHAnsi" w:cstheme="majorHAnsi"/>
          <w:sz w:val="16"/>
          <w:szCs w:val="16"/>
        </w:rPr>
      </w:pPr>
      <w:r w:rsidRPr="00E51942">
        <w:rPr>
          <w:rStyle w:val="FootnoteReference"/>
          <w:rFonts w:asciiTheme="majorHAnsi" w:hAnsiTheme="majorHAnsi" w:cstheme="majorHAnsi"/>
          <w:sz w:val="16"/>
          <w:szCs w:val="16"/>
        </w:rPr>
        <w:footnoteRef/>
      </w:r>
      <w:r w:rsidRPr="00E51942">
        <w:rPr>
          <w:rFonts w:asciiTheme="majorHAnsi" w:hAnsiTheme="majorHAnsi" w:cstheme="majorHAnsi"/>
          <w:sz w:val="16"/>
          <w:szCs w:val="16"/>
        </w:rPr>
        <w:t xml:space="preserve"> </w:t>
      </w:r>
      <w:r w:rsidRPr="00E51942">
        <w:rPr>
          <w:rFonts w:asciiTheme="majorHAnsi" w:hAnsiTheme="majorHAnsi" w:cstheme="majorHAnsi"/>
          <w:sz w:val="16"/>
          <w:szCs w:val="16"/>
        </w:rPr>
        <w:tab/>
        <w:t xml:space="preserve">Note </w:t>
      </w:r>
      <w:r w:rsidRPr="00E51942">
        <w:rPr>
          <w:rFonts w:asciiTheme="majorHAnsi" w:hAnsiTheme="majorHAnsi" w:cstheme="majorHAnsi"/>
          <w:sz w:val="16"/>
          <w:szCs w:val="16"/>
          <w:lang w:eastAsia="fr-CA"/>
        </w:rPr>
        <w:t>the term ‘user’ and ‘shipper’ are used interchangeably in these tables.</w:t>
      </w:r>
    </w:p>
  </w:footnote>
  <w:footnote w:id="15">
    <w:p w:rsidR="00982CAD" w:rsidRPr="00E51942" w:rsidRDefault="00982CAD" w:rsidP="000935BE">
      <w:pPr>
        <w:pStyle w:val="FootnoteText"/>
        <w:spacing w:before="20" w:after="20"/>
        <w:rPr>
          <w:rFonts w:asciiTheme="majorHAnsi" w:hAnsiTheme="majorHAnsi" w:cstheme="majorHAnsi"/>
          <w:sz w:val="16"/>
          <w:szCs w:val="16"/>
        </w:rPr>
      </w:pPr>
      <w:r w:rsidRPr="00E51942">
        <w:rPr>
          <w:rStyle w:val="FootnoteReference"/>
          <w:rFonts w:asciiTheme="majorHAnsi" w:hAnsiTheme="majorHAnsi" w:cstheme="majorHAnsi"/>
          <w:sz w:val="16"/>
          <w:szCs w:val="16"/>
        </w:rPr>
        <w:footnoteRef/>
      </w:r>
      <w:r w:rsidRPr="00E51942">
        <w:rPr>
          <w:rFonts w:asciiTheme="majorHAnsi" w:hAnsiTheme="majorHAnsi" w:cstheme="majorHAnsi"/>
          <w:sz w:val="16"/>
          <w:szCs w:val="16"/>
        </w:rPr>
        <w:t xml:space="preserve"> </w:t>
      </w:r>
      <w:r w:rsidRPr="00E51942">
        <w:rPr>
          <w:rFonts w:asciiTheme="majorHAnsi" w:hAnsiTheme="majorHAnsi" w:cstheme="majorHAnsi"/>
          <w:sz w:val="16"/>
          <w:szCs w:val="16"/>
        </w:rPr>
        <w:tab/>
      </w:r>
      <w:r w:rsidRPr="00E51942">
        <w:rPr>
          <w:rFonts w:asciiTheme="majorHAnsi" w:hAnsiTheme="majorHAnsi" w:cstheme="majorHAnsi"/>
          <w:bCs/>
          <w:sz w:val="16"/>
          <w:szCs w:val="16"/>
        </w:rPr>
        <w:t xml:space="preserve">If a </w:t>
      </w:r>
      <w:r w:rsidRPr="00E51942">
        <w:rPr>
          <w:rFonts w:asciiTheme="majorHAnsi" w:hAnsiTheme="majorHAnsi" w:cstheme="majorHAnsi"/>
          <w:sz w:val="16"/>
          <w:szCs w:val="16"/>
        </w:rPr>
        <w:t>prospective user makes an eligible request to enter into a standard OTSA, the service provider must prepare and offer to enter into such an agreement within 60 business days.</w:t>
      </w:r>
      <w:r>
        <w:rPr>
          <w:rFonts w:asciiTheme="majorHAnsi" w:hAnsiTheme="majorHAnsi" w:cstheme="majorHAnsi"/>
          <w:sz w:val="16"/>
          <w:szCs w:val="16"/>
        </w:rPr>
        <w:t xml:space="preserve"> A</w:t>
      </w:r>
      <w:r w:rsidRPr="00016EA4">
        <w:rPr>
          <w:rFonts w:asciiTheme="majorHAnsi" w:hAnsiTheme="majorHAnsi" w:cstheme="majorHAnsi"/>
          <w:sz w:val="16"/>
          <w:szCs w:val="16"/>
        </w:rPr>
        <w:t xml:space="preserve">n </w:t>
      </w:r>
      <w:r w:rsidRPr="00CC15DA">
        <w:rPr>
          <w:rFonts w:asciiTheme="majorHAnsi" w:hAnsiTheme="majorHAnsi" w:cstheme="majorHAnsi"/>
          <w:sz w:val="16"/>
          <w:szCs w:val="16"/>
        </w:rPr>
        <w:t>eligible</w:t>
      </w:r>
      <w:r w:rsidRPr="00016EA4">
        <w:rPr>
          <w:rFonts w:asciiTheme="majorHAnsi" w:hAnsiTheme="majorHAnsi" w:cstheme="majorHAnsi"/>
          <w:sz w:val="16"/>
          <w:szCs w:val="16"/>
        </w:rPr>
        <w:t xml:space="preserve"> </w:t>
      </w:r>
      <w:r w:rsidRPr="00CC15DA">
        <w:rPr>
          <w:rFonts w:asciiTheme="majorHAnsi" w:hAnsiTheme="majorHAnsi" w:cstheme="majorHAnsi"/>
          <w:sz w:val="16"/>
          <w:szCs w:val="16"/>
        </w:rPr>
        <w:t>request</w:t>
      </w:r>
      <w:r w:rsidRPr="00016EA4">
        <w:rPr>
          <w:rFonts w:asciiTheme="majorHAnsi" w:hAnsiTheme="majorHAnsi" w:cstheme="majorHAnsi"/>
          <w:sz w:val="16"/>
          <w:szCs w:val="16"/>
        </w:rPr>
        <w:t xml:space="preserve"> is</w:t>
      </w:r>
      <w:r>
        <w:rPr>
          <w:rFonts w:asciiTheme="majorHAnsi" w:hAnsiTheme="majorHAnsi" w:cstheme="majorHAnsi"/>
          <w:sz w:val="16"/>
          <w:szCs w:val="16"/>
        </w:rPr>
        <w:t xml:space="preserve"> a request made </w:t>
      </w:r>
      <w:r w:rsidRPr="00016EA4">
        <w:rPr>
          <w:rFonts w:asciiTheme="majorHAnsi" w:hAnsiTheme="majorHAnsi" w:cstheme="majorHAnsi"/>
          <w:sz w:val="16"/>
          <w:szCs w:val="16"/>
        </w:rPr>
        <w:t xml:space="preserve">by a prospective secondary shipper who </w:t>
      </w:r>
      <w:r>
        <w:rPr>
          <w:rFonts w:asciiTheme="majorHAnsi" w:hAnsiTheme="majorHAnsi" w:cstheme="majorHAnsi"/>
          <w:sz w:val="16"/>
          <w:szCs w:val="16"/>
        </w:rPr>
        <w:t>meets the eligibility criteria set out in the NGR in order to be offered a standard OTSA</w:t>
      </w:r>
      <w:r w:rsidRPr="00016EA4">
        <w:rPr>
          <w:rFonts w:asciiTheme="majorHAnsi" w:hAnsiTheme="majorHAnsi" w:cstheme="majorHAnsi"/>
          <w:sz w:val="16"/>
          <w:szCs w:val="16"/>
        </w:rPr>
        <w:t xml:space="preserve"> and who intends to enter into the agreement and use its reasonable endeavours to procure transportation capacity on the transportation facility</w:t>
      </w:r>
      <w:r>
        <w:rPr>
          <w:rFonts w:asciiTheme="majorHAnsi" w:hAnsiTheme="majorHAnsi" w:cstheme="majorHAnsi"/>
          <w:sz w:val="16"/>
          <w:szCs w:val="16"/>
        </w:rPr>
        <w:t>.</w:t>
      </w:r>
    </w:p>
  </w:footnote>
  <w:footnote w:id="16">
    <w:p w:rsidR="00982CAD" w:rsidRPr="00E51942" w:rsidRDefault="00982CAD" w:rsidP="000935BE">
      <w:pPr>
        <w:pStyle w:val="FootnoteText"/>
        <w:spacing w:before="20" w:after="20"/>
        <w:rPr>
          <w:rFonts w:asciiTheme="majorHAnsi" w:hAnsiTheme="majorHAnsi" w:cstheme="majorHAnsi"/>
          <w:sz w:val="16"/>
          <w:szCs w:val="16"/>
        </w:rPr>
      </w:pPr>
      <w:r w:rsidRPr="00E51942">
        <w:rPr>
          <w:rStyle w:val="FootnoteReference"/>
          <w:rFonts w:asciiTheme="majorHAnsi" w:hAnsiTheme="majorHAnsi" w:cstheme="majorHAnsi"/>
          <w:sz w:val="16"/>
          <w:szCs w:val="16"/>
        </w:rPr>
        <w:footnoteRef/>
      </w:r>
      <w:r w:rsidRPr="00E51942">
        <w:rPr>
          <w:rFonts w:asciiTheme="majorHAnsi" w:hAnsiTheme="majorHAnsi" w:cstheme="majorHAnsi"/>
          <w:sz w:val="16"/>
          <w:szCs w:val="16"/>
        </w:rPr>
        <w:t xml:space="preserve"> </w:t>
      </w:r>
      <w:r w:rsidRPr="00E51942">
        <w:rPr>
          <w:rFonts w:asciiTheme="majorHAnsi" w:hAnsiTheme="majorHAnsi" w:cstheme="majorHAnsi"/>
          <w:sz w:val="16"/>
          <w:szCs w:val="16"/>
        </w:rPr>
        <w:tab/>
        <w:t xml:space="preserve">Service providers of these facilities will, for example, also be required by the NGR to: comply with the standardisation cost principles; give effect to operational transfers; comply with the </w:t>
      </w:r>
      <w:r>
        <w:rPr>
          <w:rFonts w:asciiTheme="majorHAnsi" w:hAnsiTheme="majorHAnsi" w:cstheme="majorHAnsi"/>
          <w:sz w:val="16"/>
          <w:szCs w:val="16"/>
        </w:rPr>
        <w:t xml:space="preserve">NGR </w:t>
      </w:r>
      <w:r w:rsidRPr="00E51942">
        <w:rPr>
          <w:rFonts w:asciiTheme="majorHAnsi" w:hAnsiTheme="majorHAnsi" w:cstheme="majorHAnsi"/>
          <w:sz w:val="16"/>
          <w:szCs w:val="16"/>
        </w:rPr>
        <w:t xml:space="preserve">provisions; provide users with an amending facility agreement if requested to do so by the user and comply with the use of additional pipeline service point provisions. </w:t>
      </w:r>
    </w:p>
  </w:footnote>
  <w:footnote w:id="17">
    <w:p w:rsidR="00982CAD" w:rsidRPr="00E51942" w:rsidRDefault="00982CAD" w:rsidP="000935BE">
      <w:pPr>
        <w:pStyle w:val="FootnoteText"/>
        <w:spacing w:before="20" w:after="20"/>
        <w:rPr>
          <w:rFonts w:asciiTheme="majorHAnsi" w:hAnsiTheme="majorHAnsi" w:cstheme="majorHAnsi"/>
          <w:sz w:val="16"/>
          <w:szCs w:val="16"/>
        </w:rPr>
      </w:pPr>
      <w:r w:rsidRPr="00E51942">
        <w:rPr>
          <w:rStyle w:val="FootnoteReference"/>
          <w:rFonts w:asciiTheme="majorHAnsi" w:hAnsiTheme="majorHAnsi" w:cstheme="majorHAnsi"/>
          <w:sz w:val="16"/>
          <w:szCs w:val="16"/>
        </w:rPr>
        <w:footnoteRef/>
      </w:r>
      <w:r w:rsidRPr="00E51942">
        <w:rPr>
          <w:rFonts w:asciiTheme="majorHAnsi" w:hAnsiTheme="majorHAnsi" w:cstheme="majorHAnsi"/>
          <w:sz w:val="16"/>
          <w:szCs w:val="16"/>
        </w:rPr>
        <w:t xml:space="preserve"> </w:t>
      </w:r>
      <w:r w:rsidRPr="00E51942">
        <w:rPr>
          <w:rFonts w:asciiTheme="majorHAnsi" w:hAnsiTheme="majorHAnsi" w:cstheme="majorHAnsi"/>
          <w:sz w:val="16"/>
          <w:szCs w:val="16"/>
        </w:rPr>
        <w:tab/>
        <w:t>Given the costs a service provider could incur once the exemption is revoked, the rules provide the AER with the discretion not to revoke the exemption if, for example, the shipper only enters into a relatively short-term OTSA (e.g. a three to six-month contract).</w:t>
      </w:r>
    </w:p>
  </w:footnote>
  <w:footnote w:id="18">
    <w:p w:rsidR="00982CAD" w:rsidRPr="0056070C" w:rsidRDefault="00982CAD" w:rsidP="005817B4">
      <w:pPr>
        <w:pStyle w:val="FootnoteText"/>
        <w:spacing w:beforeLines="20" w:before="48" w:afterLines="20" w:after="48"/>
        <w:rPr>
          <w:rFonts w:asciiTheme="majorHAnsi" w:hAnsiTheme="majorHAnsi" w:cstheme="majorHAnsi"/>
          <w:sz w:val="16"/>
          <w:szCs w:val="16"/>
        </w:rPr>
      </w:pPr>
      <w:r w:rsidRPr="0056070C">
        <w:rPr>
          <w:rStyle w:val="FootnoteReference"/>
          <w:rFonts w:asciiTheme="majorHAnsi" w:hAnsiTheme="majorHAnsi" w:cstheme="majorHAnsi"/>
          <w:sz w:val="16"/>
          <w:szCs w:val="16"/>
        </w:rPr>
        <w:footnoteRef/>
      </w:r>
      <w:r w:rsidRPr="0056070C">
        <w:rPr>
          <w:rFonts w:asciiTheme="majorHAnsi" w:hAnsiTheme="majorHAnsi" w:cstheme="majorHAnsi"/>
          <w:sz w:val="16"/>
          <w:szCs w:val="16"/>
        </w:rPr>
        <w:t xml:space="preserve"> </w:t>
      </w:r>
      <w:r w:rsidRPr="0056070C">
        <w:rPr>
          <w:rFonts w:asciiTheme="majorHAnsi" w:hAnsiTheme="majorHAnsi" w:cstheme="majorHAnsi"/>
          <w:sz w:val="16"/>
          <w:szCs w:val="16"/>
        </w:rPr>
        <w:tab/>
        <w:t xml:space="preserve">Note the obligation to publish </w:t>
      </w:r>
      <w:r>
        <w:rPr>
          <w:rFonts w:asciiTheme="majorHAnsi" w:hAnsiTheme="majorHAnsi" w:cstheme="majorHAnsi"/>
          <w:sz w:val="16"/>
          <w:szCs w:val="16"/>
        </w:rPr>
        <w:t xml:space="preserve">for a service provider </w:t>
      </w:r>
      <w:r w:rsidRPr="00231234">
        <w:rPr>
          <w:rFonts w:asciiTheme="majorHAnsi" w:hAnsiTheme="majorHAnsi" w:cstheme="majorHAnsi"/>
          <w:sz w:val="16"/>
          <w:szCs w:val="16"/>
        </w:rPr>
        <w:t xml:space="preserve">means to make publicly available on the </w:t>
      </w:r>
      <w:r>
        <w:rPr>
          <w:rFonts w:asciiTheme="majorHAnsi" w:hAnsiTheme="majorHAnsi" w:cstheme="majorHAnsi"/>
          <w:sz w:val="16"/>
          <w:szCs w:val="16"/>
        </w:rPr>
        <w:t xml:space="preserve">service provider’s website. The obligation to publish a standard OTSA </w:t>
      </w:r>
      <w:r w:rsidRPr="0056070C">
        <w:rPr>
          <w:rFonts w:asciiTheme="majorHAnsi" w:hAnsiTheme="majorHAnsi" w:cstheme="majorHAnsi"/>
          <w:sz w:val="16"/>
          <w:szCs w:val="16"/>
        </w:rPr>
        <w:t xml:space="preserve">does not extend to facilities </w:t>
      </w:r>
      <w:r>
        <w:rPr>
          <w:rFonts w:asciiTheme="majorHAnsi" w:hAnsiTheme="majorHAnsi" w:cstheme="majorHAnsi"/>
          <w:sz w:val="16"/>
          <w:szCs w:val="16"/>
        </w:rPr>
        <w:t xml:space="preserve">exempted from that obligation and the auction by the AER on the basis that they have </w:t>
      </w:r>
      <w:r w:rsidRPr="0056070C">
        <w:rPr>
          <w:rFonts w:asciiTheme="majorHAnsi" w:hAnsiTheme="majorHAnsi" w:cstheme="majorHAnsi"/>
          <w:sz w:val="16"/>
          <w:szCs w:val="16"/>
        </w:rPr>
        <w:t xml:space="preserve">a nameplate rating less than 10 TJ/day or </w:t>
      </w:r>
      <w:r>
        <w:rPr>
          <w:rFonts w:asciiTheme="majorHAnsi" w:hAnsiTheme="majorHAnsi" w:cstheme="majorHAnsi"/>
          <w:sz w:val="16"/>
          <w:szCs w:val="16"/>
        </w:rPr>
        <w:t>service</w:t>
      </w:r>
      <w:r w:rsidRPr="0056070C">
        <w:rPr>
          <w:rFonts w:asciiTheme="majorHAnsi" w:hAnsiTheme="majorHAnsi" w:cstheme="majorHAnsi"/>
          <w:sz w:val="16"/>
          <w:szCs w:val="16"/>
        </w:rPr>
        <w:t xml:space="preserve"> a single user.</w:t>
      </w:r>
    </w:p>
  </w:footnote>
  <w:footnote w:id="19">
    <w:p w:rsidR="00982CAD" w:rsidRPr="00340E07" w:rsidRDefault="00982CAD" w:rsidP="00340E07">
      <w:pPr>
        <w:pStyle w:val="FootnoteText"/>
        <w:spacing w:before="0" w:after="0"/>
        <w:rPr>
          <w:rFonts w:asciiTheme="majorHAnsi" w:hAnsiTheme="majorHAnsi" w:cstheme="majorHAnsi"/>
          <w:sz w:val="16"/>
          <w:szCs w:val="16"/>
        </w:rPr>
      </w:pPr>
      <w:r w:rsidRPr="00340E07">
        <w:rPr>
          <w:rStyle w:val="FootnoteReference"/>
          <w:rFonts w:asciiTheme="majorHAnsi" w:hAnsiTheme="majorHAnsi" w:cstheme="majorHAnsi"/>
          <w:sz w:val="16"/>
          <w:szCs w:val="16"/>
        </w:rPr>
        <w:footnoteRef/>
      </w:r>
      <w:r w:rsidRPr="00340E07">
        <w:rPr>
          <w:rFonts w:asciiTheme="majorHAnsi" w:hAnsiTheme="majorHAnsi" w:cstheme="majorHAnsi"/>
          <w:sz w:val="16"/>
          <w:szCs w:val="16"/>
        </w:rPr>
        <w:t xml:space="preserve"> </w:t>
      </w:r>
      <w:r w:rsidRPr="00340E07">
        <w:rPr>
          <w:rFonts w:asciiTheme="majorHAnsi" w:hAnsiTheme="majorHAnsi" w:cstheme="majorHAnsi"/>
          <w:sz w:val="16"/>
          <w:szCs w:val="16"/>
        </w:rPr>
        <w:tab/>
        <w:t>The Code objective is to provide for access to operational transportation services on reasonable terms, which is taken to mean at prices and on other terms and conditions that, so far as practical, reflect the outcomes of a workably competitive market.</w:t>
      </w:r>
    </w:p>
  </w:footnote>
  <w:footnote w:id="20">
    <w:p w:rsidR="00982CAD" w:rsidRDefault="00982CAD" w:rsidP="00340E07">
      <w:pPr>
        <w:pStyle w:val="FootnoteText"/>
        <w:spacing w:before="0" w:after="0"/>
      </w:pPr>
      <w:r w:rsidRPr="00340E07">
        <w:rPr>
          <w:rStyle w:val="FootnoteReference"/>
          <w:rFonts w:asciiTheme="majorHAnsi" w:hAnsiTheme="majorHAnsi" w:cstheme="majorHAnsi"/>
          <w:sz w:val="16"/>
          <w:szCs w:val="16"/>
        </w:rPr>
        <w:footnoteRef/>
      </w:r>
      <w:r w:rsidRPr="00340E07">
        <w:rPr>
          <w:rFonts w:asciiTheme="majorHAnsi" w:hAnsiTheme="majorHAnsi" w:cstheme="majorHAnsi"/>
          <w:sz w:val="16"/>
          <w:szCs w:val="16"/>
        </w:rPr>
        <w:t xml:space="preserve"> </w:t>
      </w:r>
      <w:r w:rsidRPr="00340E07">
        <w:rPr>
          <w:rFonts w:asciiTheme="majorHAnsi" w:hAnsiTheme="majorHAnsi" w:cstheme="majorHAnsi"/>
          <w:sz w:val="16"/>
          <w:szCs w:val="16"/>
        </w:rPr>
        <w:tab/>
      </w:r>
      <w:r w:rsidRPr="00340E07">
        <w:rPr>
          <w:rFonts w:asciiTheme="majorHAnsi" w:hAnsiTheme="majorHAnsi" w:cstheme="majorHAnsi"/>
          <w:sz w:val="16"/>
          <w:szCs w:val="16"/>
          <w:lang w:eastAsia="fr-CA"/>
        </w:rPr>
        <w:t>Consultation will be required unless the modification is non-material or urgently necessary to ensure the proper operation of the auction or the capacity trading platform, or the safe and reliable operation of one or more facilities</w:t>
      </w:r>
      <w:r>
        <w:rPr>
          <w:rFonts w:asciiTheme="majorHAnsi" w:hAnsiTheme="majorHAnsi" w:cstheme="majorHAnsi"/>
          <w:sz w:val="16"/>
          <w:szCs w:val="16"/>
          <w:lang w:eastAsia="fr-CA"/>
        </w:rPr>
        <w:t>.</w:t>
      </w:r>
    </w:p>
  </w:footnote>
  <w:footnote w:id="21">
    <w:p w:rsidR="00982CAD" w:rsidRPr="00534E67" w:rsidRDefault="00982CAD" w:rsidP="0064242F">
      <w:pPr>
        <w:pStyle w:val="FootnoteText"/>
        <w:spacing w:before="0" w:after="0"/>
        <w:rPr>
          <w:rFonts w:asciiTheme="majorHAnsi" w:hAnsiTheme="majorHAnsi" w:cstheme="majorHAnsi"/>
          <w:sz w:val="16"/>
          <w:szCs w:val="16"/>
        </w:rPr>
      </w:pPr>
      <w:r w:rsidRPr="00534E67">
        <w:rPr>
          <w:rStyle w:val="FootnoteReference"/>
          <w:rFonts w:asciiTheme="majorHAnsi" w:hAnsiTheme="majorHAnsi" w:cstheme="majorHAnsi"/>
          <w:sz w:val="16"/>
          <w:szCs w:val="16"/>
        </w:rPr>
        <w:footnoteRef/>
      </w:r>
      <w:r w:rsidRPr="00534E67">
        <w:rPr>
          <w:rFonts w:asciiTheme="majorHAnsi" w:hAnsiTheme="majorHAnsi" w:cstheme="majorHAnsi"/>
          <w:sz w:val="16"/>
          <w:szCs w:val="16"/>
        </w:rPr>
        <w:t xml:space="preserve"> </w:t>
      </w:r>
      <w:r w:rsidRPr="00534E67">
        <w:rPr>
          <w:rFonts w:asciiTheme="majorHAnsi" w:hAnsiTheme="majorHAnsi" w:cstheme="majorHAnsi"/>
          <w:sz w:val="16"/>
          <w:szCs w:val="16"/>
        </w:rPr>
        <w:tab/>
        <w:t>A pipeline will be classified as bi</w:t>
      </w:r>
      <w:r>
        <w:rPr>
          <w:rFonts w:asciiTheme="majorHAnsi" w:hAnsiTheme="majorHAnsi" w:cstheme="majorHAnsi"/>
          <w:sz w:val="16"/>
          <w:szCs w:val="16"/>
        </w:rPr>
        <w:t>-</w:t>
      </w:r>
      <w:r w:rsidRPr="00534E67">
        <w:rPr>
          <w:rFonts w:asciiTheme="majorHAnsi" w:hAnsiTheme="majorHAnsi" w:cstheme="majorHAnsi"/>
          <w:sz w:val="16"/>
          <w:szCs w:val="16"/>
        </w:rPr>
        <w:t>directional if at any time the direction of the physical flow of gas on the pipeline (or part) is capable of being reversed under normal operating conditions and transportation facility users have transportation capacity for firm forward haul services in both directions (with a service time that includes that time).</w:t>
      </w:r>
    </w:p>
  </w:footnote>
  <w:footnote w:id="22">
    <w:p w:rsidR="00982CAD" w:rsidRPr="00B46E13" w:rsidRDefault="00982CAD" w:rsidP="00B46E13">
      <w:pPr>
        <w:pStyle w:val="FootnoteText"/>
        <w:spacing w:before="20" w:after="0"/>
        <w:rPr>
          <w:rFonts w:asciiTheme="majorHAnsi" w:hAnsiTheme="majorHAnsi" w:cstheme="majorHAnsi"/>
          <w:sz w:val="16"/>
          <w:szCs w:val="16"/>
        </w:rPr>
      </w:pPr>
      <w:r>
        <w:rPr>
          <w:rStyle w:val="FootnoteReference"/>
        </w:rPr>
        <w:footnoteRef/>
      </w:r>
      <w:r>
        <w:t xml:space="preserve"> </w:t>
      </w:r>
      <w:r>
        <w:tab/>
      </w:r>
      <w:r w:rsidRPr="00534E67">
        <w:rPr>
          <w:rFonts w:asciiTheme="majorHAnsi" w:hAnsiTheme="majorHAnsi" w:cstheme="majorHAnsi"/>
          <w:sz w:val="16"/>
          <w:szCs w:val="16"/>
        </w:rPr>
        <w:t>A pipeline will be classified as bi</w:t>
      </w:r>
      <w:r>
        <w:rPr>
          <w:rFonts w:asciiTheme="majorHAnsi" w:hAnsiTheme="majorHAnsi" w:cstheme="majorHAnsi"/>
          <w:sz w:val="16"/>
          <w:szCs w:val="16"/>
        </w:rPr>
        <w:t>-</w:t>
      </w:r>
      <w:r w:rsidRPr="00534E67">
        <w:rPr>
          <w:rFonts w:asciiTheme="majorHAnsi" w:hAnsiTheme="majorHAnsi" w:cstheme="majorHAnsi"/>
          <w:sz w:val="16"/>
          <w:szCs w:val="16"/>
        </w:rPr>
        <w:t xml:space="preserve">directional if at any time the direction of the physical flow of gas on the pipeline (or part) is capable of being reversed under normal operating conditions and </w:t>
      </w:r>
      <w:r w:rsidRPr="00B46E13">
        <w:rPr>
          <w:rFonts w:asciiTheme="majorHAnsi" w:hAnsiTheme="majorHAnsi" w:cstheme="majorHAnsi"/>
          <w:sz w:val="16"/>
          <w:szCs w:val="16"/>
        </w:rPr>
        <w:t>transportation facility users have transportation capacity for firm forward haul services in both directions (with a service time that includes that time).</w:t>
      </w:r>
    </w:p>
  </w:footnote>
  <w:footnote w:id="23">
    <w:p w:rsidR="00982CAD" w:rsidRDefault="00982CAD" w:rsidP="00B46E13">
      <w:pPr>
        <w:pStyle w:val="FootnoteText"/>
        <w:spacing w:before="20" w:after="0"/>
      </w:pPr>
      <w:r w:rsidRPr="00B46E13">
        <w:rPr>
          <w:rStyle w:val="FootnoteReference"/>
          <w:rFonts w:asciiTheme="majorHAnsi" w:hAnsiTheme="majorHAnsi" w:cstheme="majorHAnsi"/>
          <w:sz w:val="16"/>
          <w:szCs w:val="16"/>
        </w:rPr>
        <w:footnoteRef/>
      </w:r>
      <w:r w:rsidRPr="00B46E13">
        <w:rPr>
          <w:rFonts w:asciiTheme="majorHAnsi" w:hAnsiTheme="majorHAnsi" w:cstheme="majorHAnsi"/>
          <w:sz w:val="16"/>
          <w:szCs w:val="16"/>
        </w:rPr>
        <w:t xml:space="preserve"> </w:t>
      </w:r>
      <w:r w:rsidRPr="00B46E13">
        <w:rPr>
          <w:rFonts w:asciiTheme="majorHAnsi" w:hAnsiTheme="majorHAnsi" w:cstheme="majorHAnsi"/>
          <w:sz w:val="16"/>
          <w:szCs w:val="16"/>
        </w:rPr>
        <w:tab/>
      </w:r>
      <w:r>
        <w:rPr>
          <w:rFonts w:asciiTheme="majorHAnsi" w:hAnsiTheme="majorHAnsi" w:cstheme="majorHAnsi"/>
          <w:sz w:val="16"/>
          <w:szCs w:val="16"/>
        </w:rPr>
        <w:t>The term ‘</w:t>
      </w:r>
      <w:r w:rsidRPr="00B46E13">
        <w:rPr>
          <w:rFonts w:asciiTheme="majorHAnsi" w:hAnsiTheme="majorHAnsi" w:cstheme="majorHAnsi"/>
          <w:sz w:val="16"/>
          <w:szCs w:val="16"/>
        </w:rPr>
        <w:t>renomination rights</w:t>
      </w:r>
      <w:r>
        <w:rPr>
          <w:rFonts w:asciiTheme="majorHAnsi" w:hAnsiTheme="majorHAnsi" w:cstheme="majorHAnsi"/>
          <w:sz w:val="16"/>
          <w:szCs w:val="16"/>
        </w:rPr>
        <w:t>’ is used in this context to refer to firm and reasonable endeavours renomination rights</w:t>
      </w:r>
      <w:r w:rsidRPr="00B46E13">
        <w:rPr>
          <w:rFonts w:asciiTheme="majorHAnsi" w:hAnsiTheme="majorHAnsi" w:cstheme="majorHAnsi"/>
          <w:sz w:val="16"/>
          <w:szCs w:val="16"/>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027450">
    <w:pPr>
      <w:pStyle w:val="Header"/>
      <w:ind w:left="-425"/>
    </w:pPr>
    <w:r>
      <w:rPr>
        <w:b/>
        <w:noProof/>
        <w:sz w:val="24"/>
        <w:szCs w:val="24"/>
        <w:lang w:eastAsia="en-AU"/>
      </w:rPr>
      <w:drawing>
        <wp:inline distT="0" distB="0" distL="0" distR="0" wp14:anchorId="12A97D04" wp14:editId="0B2DB183">
          <wp:extent cx="514350" cy="838200"/>
          <wp:effectExtent l="0" t="0" r="0" b="0"/>
          <wp:docPr id="2" name="Picture 2"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637B2A">
    <w:pPr>
      <w:pStyle w:val="Header"/>
    </w:pPr>
    <w:r>
      <w:rPr>
        <w:b/>
        <w:noProof/>
        <w:sz w:val="24"/>
        <w:szCs w:val="24"/>
        <w:lang w:eastAsia="en-AU"/>
      </w:rPr>
      <w:drawing>
        <wp:inline distT="0" distB="0" distL="0" distR="0" wp14:anchorId="72FFA4C3" wp14:editId="5460B331">
          <wp:extent cx="514350" cy="838200"/>
          <wp:effectExtent l="0" t="0" r="0" b="0"/>
          <wp:docPr id="5" name="Picture 5"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FF1CEF">
    <w:pPr>
      <w:pStyle w:val="Header"/>
      <w:spacing w:after="200"/>
      <w:ind w:left="-425"/>
    </w:pPr>
    <w:r>
      <w:rPr>
        <w:b/>
        <w:noProof/>
        <w:sz w:val="24"/>
        <w:szCs w:val="24"/>
        <w:lang w:eastAsia="en-AU"/>
      </w:rPr>
      <w:drawing>
        <wp:inline distT="0" distB="0" distL="0" distR="0" wp14:anchorId="1CC73D70" wp14:editId="228CB4FA">
          <wp:extent cx="514350" cy="838200"/>
          <wp:effectExtent l="0" t="0" r="0" b="0"/>
          <wp:docPr id="21" name="Picture 21"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437468">
    <w:pPr>
      <w:pStyle w:val="Header"/>
    </w:pPr>
    <w:r>
      <w:rPr>
        <w:b/>
        <w:noProof/>
        <w:sz w:val="24"/>
        <w:szCs w:val="24"/>
        <w:lang w:eastAsia="en-AU"/>
      </w:rPr>
      <w:drawing>
        <wp:inline distT="0" distB="0" distL="0" distR="0" wp14:anchorId="0B0792A5" wp14:editId="3C9183C8">
          <wp:extent cx="514350" cy="838200"/>
          <wp:effectExtent l="0" t="0" r="0" b="0"/>
          <wp:docPr id="22" name="Picture 22"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p w:rsidR="00982CAD" w:rsidRDefault="00982CA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Default="00982CAD" w:rsidP="00D30678">
    <w:pPr>
      <w:pStyle w:val="Header"/>
      <w:ind w:left="-425"/>
    </w:pPr>
    <w:r>
      <w:rPr>
        <w:b/>
        <w:noProof/>
        <w:sz w:val="24"/>
        <w:szCs w:val="24"/>
        <w:lang w:eastAsia="en-AU"/>
      </w:rPr>
      <w:drawing>
        <wp:inline distT="0" distB="0" distL="0" distR="0" wp14:anchorId="35796035" wp14:editId="0C6C8ED9">
          <wp:extent cx="514350" cy="838200"/>
          <wp:effectExtent l="0" t="0" r="0" b="0"/>
          <wp:docPr id="6" name="Picture 6" descr="Gas Market Reform Group Logo" title="GMR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14350" cy="838200"/>
                  </a:xfrm>
                  <a:prstGeom prst="rect">
                    <a:avLst/>
                  </a:prstGeom>
                  <a:noFill/>
                  <a:ln>
                    <a:noFill/>
                  </a:ln>
                </pic:spPr>
              </pic:pic>
            </a:graphicData>
          </a:graphic>
        </wp:inline>
      </w:drawing>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Pr="00395A4B" w:rsidRDefault="00982CAD" w:rsidP="00F25C7A">
    <w:pPr>
      <w:pStyle w:val="Header"/>
      <w:ind w:left="-623" w:hanging="142"/>
    </w:pPr>
    <w:r>
      <w:rPr>
        <w:b/>
        <w:noProof/>
        <w:sz w:val="24"/>
        <w:szCs w:val="24"/>
        <w:lang w:eastAsia="en-AU"/>
      </w:rPr>
      <w:drawing>
        <wp:inline distT="0" distB="0" distL="0" distR="0" wp14:anchorId="3BB0DA26" wp14:editId="0AADA9F1">
          <wp:extent cx="504825" cy="857250"/>
          <wp:effectExtent l="0" t="0" r="9525" b="0"/>
          <wp:docPr id="7" name="Picture 7"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82CAD" w:rsidRPr="00395A4B" w:rsidRDefault="00982CAD" w:rsidP="00F25C7A">
    <w:pPr>
      <w:pStyle w:val="Header"/>
      <w:ind w:left="-623" w:hanging="142"/>
    </w:pPr>
    <w:r>
      <w:rPr>
        <w:b/>
        <w:noProof/>
        <w:sz w:val="24"/>
        <w:szCs w:val="24"/>
        <w:lang w:eastAsia="en-AU"/>
      </w:rPr>
      <w:drawing>
        <wp:inline distT="0" distB="0" distL="0" distR="0" wp14:anchorId="435D36A0" wp14:editId="6A057B2E">
          <wp:extent cx="504825" cy="857250"/>
          <wp:effectExtent l="0" t="0" r="9525" b="0"/>
          <wp:docPr id="19" name="Picture 19" descr="Gas Marekt Reform Group Logo" title="Gas Marekt Reform Grou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C:\Users\Katherine Lowe\AppData\Local\Microsoft\Windows\INetCacheContent.Word\GMRG-logo-stacked-smal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857250"/>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F7562DB4"/>
    <w:lvl w:ilvl="0">
      <w:start w:val="1"/>
      <w:numFmt w:val="bullet"/>
      <w:lvlText w:val=""/>
      <w:lvlJc w:val="left"/>
      <w:pPr>
        <w:tabs>
          <w:tab w:val="num" w:pos="643"/>
        </w:tabs>
        <w:ind w:left="643" w:hanging="360"/>
      </w:pPr>
      <w:rPr>
        <w:rFonts w:ascii="Symbol" w:hAnsi="Symbol" w:hint="default"/>
      </w:rPr>
    </w:lvl>
  </w:abstractNum>
  <w:abstractNum w:abstractNumId="1" w15:restartNumberingAfterBreak="0">
    <w:nsid w:val="FFFFFF88"/>
    <w:multiLevelType w:val="singleLevel"/>
    <w:tmpl w:val="AF12F1B8"/>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BA10A5DC"/>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0032DB9"/>
    <w:multiLevelType w:val="multilevel"/>
    <w:tmpl w:val="E5E89F92"/>
    <w:styleLink w:val="BulletList"/>
    <w:lvl w:ilvl="0">
      <w:start w:val="1"/>
      <w:numFmt w:val="bullet"/>
      <w:lvlText w:val=""/>
      <w:lvlJc w:val="left"/>
      <w:pPr>
        <w:ind w:left="369" w:hanging="369"/>
      </w:pPr>
      <w:rPr>
        <w:rFonts w:ascii="Symbol" w:hAnsi="Symbol" w:hint="default"/>
      </w:rPr>
    </w:lvl>
    <w:lvl w:ilvl="1">
      <w:start w:val="1"/>
      <w:numFmt w:val="none"/>
      <w:lvlText w:val="-"/>
      <w:lvlJc w:val="left"/>
      <w:pPr>
        <w:ind w:left="737" w:hanging="368"/>
      </w:pPr>
    </w:lvl>
    <w:lvl w:ilvl="2">
      <w:start w:val="1"/>
      <w:numFmt w:val="none"/>
      <w:lvlText w:val=":"/>
      <w:lvlJc w:val="left"/>
      <w:pPr>
        <w:ind w:left="1106" w:hanging="369"/>
      </w:pPr>
    </w:lvl>
    <w:lvl w:ilvl="3">
      <w:start w:val="1"/>
      <w:numFmt w:val="none"/>
      <w:lvlText w:val=""/>
      <w:lvlJc w:val="left"/>
      <w:pPr>
        <w:ind w:left="1474" w:hanging="368"/>
      </w:pPr>
      <w:rPr>
        <w:color w:val="auto"/>
      </w:rPr>
    </w:lvl>
    <w:lvl w:ilvl="4">
      <w:start w:val="1"/>
      <w:numFmt w:val="none"/>
      <w:lvlText w:val=""/>
      <w:lvlJc w:val="left"/>
      <w:pPr>
        <w:ind w:left="1800" w:hanging="360"/>
      </w:pPr>
      <w:rPr>
        <w:color w:val="auto"/>
      </w:rPr>
    </w:lvl>
    <w:lvl w:ilvl="5">
      <w:start w:val="1"/>
      <w:numFmt w:val="none"/>
      <w:lvlText w:val=""/>
      <w:lvlJc w:val="left"/>
      <w:pPr>
        <w:ind w:left="2160" w:hanging="360"/>
      </w:pPr>
      <w:rPr>
        <w:color w:val="auto"/>
      </w:rPr>
    </w:lvl>
    <w:lvl w:ilvl="6">
      <w:start w:val="1"/>
      <w:numFmt w:val="none"/>
      <w:lvlText w:val=""/>
      <w:lvlJc w:val="left"/>
      <w:pPr>
        <w:ind w:left="2520" w:hanging="360"/>
      </w:pPr>
      <w:rPr>
        <w:color w:val="auto"/>
      </w:rPr>
    </w:lvl>
    <w:lvl w:ilvl="7">
      <w:start w:val="1"/>
      <w:numFmt w:val="none"/>
      <w:lvlText w:val=""/>
      <w:lvlJc w:val="left"/>
      <w:pPr>
        <w:ind w:left="2880" w:hanging="360"/>
      </w:pPr>
      <w:rPr>
        <w:color w:val="auto"/>
      </w:rPr>
    </w:lvl>
    <w:lvl w:ilvl="8">
      <w:start w:val="1"/>
      <w:numFmt w:val="none"/>
      <w:lvlText w:val=""/>
      <w:lvlJc w:val="left"/>
      <w:pPr>
        <w:ind w:left="3240" w:hanging="360"/>
      </w:pPr>
      <w:rPr>
        <w:color w:val="auto"/>
      </w:rPr>
    </w:lvl>
  </w:abstractNum>
  <w:abstractNum w:abstractNumId="4" w15:restartNumberingAfterBreak="0">
    <w:nsid w:val="00F7340A"/>
    <w:multiLevelType w:val="multilevel"/>
    <w:tmpl w:val="1BC81502"/>
    <w:lvl w:ilvl="0">
      <w:start w:val="1"/>
      <w:numFmt w:val="decimal"/>
      <w:pStyle w:val="TableListNumber"/>
      <w:lvlText w:val="%1."/>
      <w:lvlJc w:val="left"/>
      <w:pPr>
        <w:tabs>
          <w:tab w:val="num" w:pos="-31680"/>
        </w:tabs>
        <w:ind w:left="369" w:hanging="284"/>
      </w:pPr>
      <w:rPr>
        <w:rFonts w:hint="default"/>
      </w:rPr>
    </w:lvl>
    <w:lvl w:ilvl="1">
      <w:start w:val="1"/>
      <w:numFmt w:val="lowerLetter"/>
      <w:pStyle w:val="TableListNumber2"/>
      <w:lvlText w:val="%2."/>
      <w:lvlJc w:val="left"/>
      <w:pPr>
        <w:ind w:left="652" w:hanging="283"/>
      </w:pPr>
      <w:rPr>
        <w:rFonts w:hint="default"/>
      </w:rPr>
    </w:lvl>
    <w:lvl w:ilvl="2">
      <w:start w:val="1"/>
      <w:numFmt w:val="lowerRoman"/>
      <w:pStyle w:val="TableListNumber3"/>
      <w:lvlText w:val="%3."/>
      <w:lvlJc w:val="left"/>
      <w:pPr>
        <w:ind w:left="936" w:hanging="28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36F68CE"/>
    <w:multiLevelType w:val="multilevel"/>
    <w:tmpl w:val="9F2A8B76"/>
    <w:styleLink w:val="MyListNumbering"/>
    <w:lvl w:ilvl="0">
      <w:start w:val="1"/>
      <w:numFmt w:val="lowerLetter"/>
      <w:lvlText w:val="(%1)"/>
      <w:lvlJc w:val="left"/>
      <w:pPr>
        <w:tabs>
          <w:tab w:val="num" w:pos="567"/>
        </w:tabs>
        <w:ind w:left="360" w:hanging="360"/>
      </w:pPr>
      <w:rPr>
        <w:rFonts w:hint="default"/>
      </w:rPr>
    </w:lvl>
    <w:lvl w:ilvl="1">
      <w:start w:val="1"/>
      <w:numFmt w:val="lowerRoman"/>
      <w:lvlText w:val="%2."/>
      <w:lvlJc w:val="left"/>
      <w:pPr>
        <w:ind w:left="1440" w:hanging="360"/>
      </w:pPr>
      <w:rPr>
        <w:rFonts w:hint="default"/>
      </w:rPr>
    </w:lvl>
    <w:lvl w:ilvl="2">
      <w:start w:val="1"/>
      <w:numFmt w:val="decimal"/>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 w15:restartNumberingAfterBreak="0">
    <w:nsid w:val="03B57116"/>
    <w:multiLevelType w:val="multilevel"/>
    <w:tmpl w:val="D8C832B8"/>
    <w:name w:val="TableNumbering2"/>
    <w:lvl w:ilvl="0">
      <w:start w:val="1"/>
      <w:numFmt w:val="none"/>
      <w:suff w:val="nothing"/>
      <w:lvlText w:val=""/>
      <w:lvlJc w:val="left"/>
      <w:pPr>
        <w:ind w:left="113" w:firstLine="0"/>
      </w:pPr>
      <w:rPr>
        <w:rFonts w:hint="default"/>
      </w:rPr>
    </w:lvl>
    <w:lvl w:ilvl="1">
      <w:start w:val="1"/>
      <w:numFmt w:val="decimal"/>
      <w:lvlText w:val="(%2)"/>
      <w:lvlJc w:val="left"/>
      <w:pPr>
        <w:tabs>
          <w:tab w:val="num" w:pos="425"/>
        </w:tabs>
        <w:ind w:left="425" w:hanging="425"/>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7" w15:restartNumberingAfterBreak="0">
    <w:nsid w:val="0FB2573F"/>
    <w:multiLevelType w:val="multilevel"/>
    <w:tmpl w:val="DE1A4C60"/>
    <w:name w:val="TableFootnotes"/>
    <w:lvl w:ilvl="0">
      <w:start w:val="1"/>
      <w:numFmt w:val="none"/>
      <w:suff w:val="nothing"/>
      <w:lvlText w:val=""/>
      <w:lvlJc w:val="left"/>
      <w:pPr>
        <w:ind w:left="113" w:firstLine="0"/>
      </w:pPr>
      <w:rPr>
        <w:rFonts w:hint="default"/>
        <w:spacing w:val="-10"/>
      </w:rPr>
    </w:lvl>
    <w:lvl w:ilvl="1">
      <w:start w:val="1"/>
      <w:numFmt w:val="decimal"/>
      <w:lvlText w:val="(%2)"/>
      <w:lvlJc w:val="left"/>
      <w:pPr>
        <w:tabs>
          <w:tab w:val="num" w:pos="425"/>
        </w:tabs>
        <w:ind w:left="425" w:hanging="425"/>
      </w:pPr>
      <w:rPr>
        <w:rFonts w:hint="default"/>
        <w:spacing w:val="0"/>
        <w:w w:val="100"/>
        <w:kern w:val="0"/>
        <w:position w:val="0"/>
      </w:rPr>
    </w:lvl>
    <w:lvl w:ilvl="2">
      <w:start w:val="1"/>
      <w:numFmt w:val="none"/>
      <w:lvlRestart w:val="1"/>
      <w:lvlText w:val=""/>
      <w:lvlJc w:val="left"/>
      <w:pPr>
        <w:tabs>
          <w:tab w:val="num" w:pos="284"/>
        </w:tabs>
        <w:ind w:left="284" w:hanging="284"/>
      </w:pPr>
      <w:rPr>
        <w:rFonts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8" w15:restartNumberingAfterBreak="0">
    <w:nsid w:val="14890D1D"/>
    <w:multiLevelType w:val="multilevel"/>
    <w:tmpl w:val="62467878"/>
    <w:name w:val="MyBullets"/>
    <w:lvl w:ilvl="0">
      <w:start w:val="7"/>
      <w:numFmt w:val="bullet"/>
      <w:pStyle w:val="ListBullet"/>
      <w:lvlText w:val=""/>
      <w:lvlJc w:val="left"/>
      <w:pPr>
        <w:tabs>
          <w:tab w:val="num" w:pos="357"/>
        </w:tabs>
        <w:ind w:left="357" w:hanging="357"/>
      </w:pPr>
      <w:rPr>
        <w:rFonts w:ascii="Wingdings" w:hAnsi="Wingdings" w:hint="default"/>
        <w:color w:val="auto"/>
        <w:position w:val="1"/>
        <w:sz w:val="20"/>
      </w:rPr>
    </w:lvl>
    <w:lvl w:ilvl="1">
      <w:start w:val="5"/>
      <w:numFmt w:val="bullet"/>
      <w:pStyle w:val="ListBullet2"/>
      <w:lvlText w:val="—"/>
      <w:lvlJc w:val="left"/>
      <w:pPr>
        <w:tabs>
          <w:tab w:val="num" w:pos="714"/>
        </w:tabs>
        <w:ind w:left="714" w:hanging="357"/>
      </w:pPr>
      <w:rPr>
        <w:rFonts w:ascii="Book Antiqua" w:hAnsi="Book Antiqua" w:hint="default"/>
        <w:b w:val="0"/>
        <w:i w:val="0"/>
        <w:color w:val="auto"/>
        <w:position w:val="0"/>
        <w:sz w:val="20"/>
      </w:rPr>
    </w:lvl>
    <w:lvl w:ilvl="2">
      <w:start w:val="1"/>
      <w:numFmt w:val="bullet"/>
      <w:pStyle w:val="ListBullet3"/>
      <w:lvlText w:val=""/>
      <w:lvlJc w:val="left"/>
      <w:pPr>
        <w:tabs>
          <w:tab w:val="num" w:pos="1072"/>
        </w:tabs>
        <w:ind w:left="1071" w:hanging="357"/>
      </w:pPr>
      <w:rPr>
        <w:rFonts w:ascii="Wingdings" w:hAnsi="Wingdings" w:hint="default"/>
        <w:b w:val="0"/>
        <w:i w:val="0"/>
        <w:color w:val="auto"/>
        <w:position w:val="0"/>
        <w:sz w:val="22"/>
      </w:rPr>
    </w:lvl>
    <w:lvl w:ilvl="3">
      <w:start w:val="1"/>
      <w:numFmt w:val="bullet"/>
      <w:pStyle w:val="ListBullet4"/>
      <w:lvlText w:val="-"/>
      <w:lvlJc w:val="left"/>
      <w:pPr>
        <w:tabs>
          <w:tab w:val="num" w:pos="1638"/>
        </w:tabs>
        <w:ind w:left="1428" w:hanging="357"/>
      </w:pPr>
      <w:rPr>
        <w:rFonts w:ascii="Arial Rounded MT Bold" w:hAnsi="Arial Rounded MT Bold" w:hint="default"/>
        <w:color w:val="auto"/>
      </w:rPr>
    </w:lvl>
    <w:lvl w:ilvl="4">
      <w:start w:val="1"/>
      <w:numFmt w:val="bullet"/>
      <w:pStyle w:val="ListBullet5"/>
      <w:lvlText w:val="o"/>
      <w:lvlJc w:val="left"/>
      <w:pPr>
        <w:tabs>
          <w:tab w:val="num" w:pos="1995"/>
        </w:tabs>
        <w:ind w:left="1785" w:hanging="357"/>
      </w:pPr>
      <w:rPr>
        <w:rFonts w:ascii="Courier New" w:hAnsi="Courier New" w:hint="default"/>
        <w:color w:val="auto"/>
        <w:sz w:val="16"/>
      </w:rPr>
    </w:lvl>
    <w:lvl w:ilvl="5">
      <w:start w:val="1"/>
      <w:numFmt w:val="none"/>
      <w:lvlText w:val=""/>
      <w:lvlJc w:val="left"/>
      <w:pPr>
        <w:tabs>
          <w:tab w:val="num" w:pos="2352"/>
        </w:tabs>
        <w:ind w:left="2142" w:hanging="357"/>
      </w:pPr>
      <w:rPr>
        <w:rFonts w:hint="default"/>
      </w:rPr>
    </w:lvl>
    <w:lvl w:ilvl="6">
      <w:start w:val="1"/>
      <w:numFmt w:val="none"/>
      <w:lvlText w:val=""/>
      <w:lvlJc w:val="left"/>
      <w:pPr>
        <w:tabs>
          <w:tab w:val="num" w:pos="2709"/>
        </w:tabs>
        <w:ind w:left="2499" w:hanging="357"/>
      </w:pPr>
      <w:rPr>
        <w:rFonts w:hint="default"/>
      </w:rPr>
    </w:lvl>
    <w:lvl w:ilvl="7">
      <w:start w:val="1"/>
      <w:numFmt w:val="none"/>
      <w:lvlText w:val=""/>
      <w:lvlJc w:val="left"/>
      <w:pPr>
        <w:tabs>
          <w:tab w:val="num" w:pos="3066"/>
        </w:tabs>
        <w:ind w:left="2856" w:hanging="357"/>
      </w:pPr>
      <w:rPr>
        <w:rFonts w:hint="default"/>
      </w:rPr>
    </w:lvl>
    <w:lvl w:ilvl="8">
      <w:start w:val="1"/>
      <w:numFmt w:val="none"/>
      <w:lvlText w:val=""/>
      <w:lvlJc w:val="left"/>
      <w:pPr>
        <w:tabs>
          <w:tab w:val="num" w:pos="3423"/>
        </w:tabs>
        <w:ind w:left="3213" w:hanging="357"/>
      </w:pPr>
      <w:rPr>
        <w:rFonts w:hint="default"/>
      </w:rPr>
    </w:lvl>
  </w:abstractNum>
  <w:abstractNum w:abstractNumId="9" w15:restartNumberingAfterBreak="0">
    <w:nsid w:val="1FF6579C"/>
    <w:multiLevelType w:val="multilevel"/>
    <w:tmpl w:val="CC28B484"/>
    <w:name w:val="MyNumbering2"/>
    <w:lvl w:ilvl="0">
      <w:start w:val="1"/>
      <w:numFmt w:val="decimal"/>
      <w:pStyle w:val="ListNumber"/>
      <w:lvlText w:val="%1."/>
      <w:lvlJc w:val="left"/>
      <w:pPr>
        <w:ind w:left="357" w:hanging="357"/>
      </w:pPr>
      <w:rPr>
        <w:rFonts w:hint="default"/>
      </w:rPr>
    </w:lvl>
    <w:lvl w:ilvl="1">
      <w:start w:val="1"/>
      <w:numFmt w:val="lowerLetter"/>
      <w:pStyle w:val="ListNumber2"/>
      <w:lvlText w:val="%2."/>
      <w:lvlJc w:val="left"/>
      <w:pPr>
        <w:ind w:left="714" w:hanging="357"/>
      </w:pPr>
      <w:rPr>
        <w:rFonts w:hint="default"/>
      </w:rPr>
    </w:lvl>
    <w:lvl w:ilvl="2">
      <w:start w:val="1"/>
      <w:numFmt w:val="lowerRoman"/>
      <w:pStyle w:val="ListNumber3"/>
      <w:lvlText w:val="%3."/>
      <w:lvlJc w:val="left"/>
      <w:pPr>
        <w:ind w:left="1071" w:hanging="357"/>
      </w:pPr>
      <w:rPr>
        <w:rFonts w:hint="default"/>
      </w:rPr>
    </w:lvl>
    <w:lvl w:ilvl="3">
      <w:start w:val="1"/>
      <w:numFmt w:val="upperLetter"/>
      <w:pStyle w:val="ListNumber4"/>
      <w:lvlText w:val="%4."/>
      <w:lvlJc w:val="left"/>
      <w:pPr>
        <w:ind w:left="1428" w:hanging="357"/>
      </w:pPr>
      <w:rPr>
        <w:rFonts w:hint="default"/>
      </w:rPr>
    </w:lvl>
    <w:lvl w:ilvl="4">
      <w:start w:val="1"/>
      <w:numFmt w:val="upperRoman"/>
      <w:pStyle w:val="ListNumber5"/>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10" w15:restartNumberingAfterBreak="0">
    <w:nsid w:val="226A6EE6"/>
    <w:multiLevelType w:val="multilevel"/>
    <w:tmpl w:val="E4FE780E"/>
    <w:lvl w:ilvl="0">
      <w:start w:val="1"/>
      <w:numFmt w:val="bullet"/>
      <w:pStyle w:val="TableBullet1"/>
      <w:lvlText w:val=""/>
      <w:lvlJc w:val="left"/>
      <w:pPr>
        <w:tabs>
          <w:tab w:val="num" w:pos="312"/>
        </w:tabs>
        <w:ind w:left="312" w:hanging="227"/>
      </w:pPr>
      <w:rPr>
        <w:rFonts w:ascii="Wingdings" w:hAnsi="Wingdings" w:hint="default"/>
        <w:color w:val="auto"/>
        <w:position w:val="0"/>
        <w:sz w:val="18"/>
      </w:rPr>
    </w:lvl>
    <w:lvl w:ilvl="1">
      <w:start w:val="1"/>
      <w:numFmt w:val="bullet"/>
      <w:pStyle w:val="TableBullet2"/>
      <w:lvlText w:val="–"/>
      <w:lvlJc w:val="left"/>
      <w:pPr>
        <w:tabs>
          <w:tab w:val="num" w:pos="539"/>
        </w:tabs>
        <w:ind w:left="539" w:hanging="227"/>
      </w:pPr>
      <w:rPr>
        <w:rFonts w:ascii="Arial" w:hAnsi="Arial" w:hint="default"/>
        <w:color w:val="auto"/>
        <w:position w:val="0"/>
        <w:sz w:val="18"/>
      </w:rPr>
    </w:lvl>
    <w:lvl w:ilvl="2">
      <w:start w:val="1"/>
      <w:numFmt w:val="bullet"/>
      <w:pStyle w:val="TableBullet3"/>
      <w:lvlText w:val="•"/>
      <w:lvlJc w:val="left"/>
      <w:pPr>
        <w:tabs>
          <w:tab w:val="num" w:pos="765"/>
        </w:tabs>
        <w:ind w:left="765" w:hanging="226"/>
      </w:pPr>
      <w:rPr>
        <w:rFonts w:ascii="Book Antiqua" w:hAnsi="Book Antiqua" w:hint="default"/>
        <w:color w:val="auto"/>
        <w:position w:val="0"/>
        <w:sz w:val="18"/>
      </w:rPr>
    </w:lvl>
    <w:lvl w:ilvl="3">
      <w:start w:val="1"/>
      <w:numFmt w:val="none"/>
      <w:lvlText w:val=""/>
      <w:lvlJc w:val="left"/>
      <w:pPr>
        <w:tabs>
          <w:tab w:val="num" w:pos="1021"/>
        </w:tabs>
        <w:ind w:left="908" w:hanging="227"/>
      </w:pPr>
      <w:rPr>
        <w:rFonts w:hint="default"/>
        <w:color w:val="214C90" w:themeColor="text2"/>
        <w:sz w:val="16"/>
      </w:rPr>
    </w:lvl>
    <w:lvl w:ilvl="4">
      <w:start w:val="1"/>
      <w:numFmt w:val="none"/>
      <w:lvlText w:val=""/>
      <w:lvlJc w:val="left"/>
      <w:pPr>
        <w:tabs>
          <w:tab w:val="num" w:pos="1248"/>
        </w:tabs>
        <w:ind w:left="1135" w:hanging="227"/>
      </w:pPr>
      <w:rPr>
        <w:rFonts w:hint="default"/>
        <w:color w:val="214C90" w:themeColor="text2"/>
      </w:rPr>
    </w:lvl>
    <w:lvl w:ilvl="5">
      <w:start w:val="1"/>
      <w:numFmt w:val="none"/>
      <w:lvlText w:val=""/>
      <w:lvlJc w:val="left"/>
      <w:pPr>
        <w:tabs>
          <w:tab w:val="num" w:pos="1475"/>
        </w:tabs>
        <w:ind w:left="1362" w:hanging="227"/>
      </w:pPr>
      <w:rPr>
        <w:rFonts w:hint="default"/>
      </w:rPr>
    </w:lvl>
    <w:lvl w:ilvl="6">
      <w:start w:val="1"/>
      <w:numFmt w:val="none"/>
      <w:lvlText w:val=""/>
      <w:lvlJc w:val="left"/>
      <w:pPr>
        <w:tabs>
          <w:tab w:val="num" w:pos="1702"/>
        </w:tabs>
        <w:ind w:left="1589" w:hanging="227"/>
      </w:pPr>
      <w:rPr>
        <w:rFonts w:hint="default"/>
      </w:rPr>
    </w:lvl>
    <w:lvl w:ilvl="7">
      <w:start w:val="1"/>
      <w:numFmt w:val="none"/>
      <w:lvlText w:val=""/>
      <w:lvlJc w:val="left"/>
      <w:pPr>
        <w:tabs>
          <w:tab w:val="num" w:pos="1929"/>
        </w:tabs>
        <w:ind w:left="1816" w:hanging="227"/>
      </w:pPr>
      <w:rPr>
        <w:rFonts w:hint="default"/>
      </w:rPr>
    </w:lvl>
    <w:lvl w:ilvl="8">
      <w:start w:val="1"/>
      <w:numFmt w:val="none"/>
      <w:lvlText w:val=""/>
      <w:lvlJc w:val="left"/>
      <w:pPr>
        <w:tabs>
          <w:tab w:val="num" w:pos="2156"/>
        </w:tabs>
        <w:ind w:left="2043" w:hanging="227"/>
      </w:pPr>
      <w:rPr>
        <w:rFonts w:hint="default"/>
      </w:rPr>
    </w:lvl>
  </w:abstractNum>
  <w:abstractNum w:abstractNumId="11" w15:restartNumberingAfterBreak="0">
    <w:nsid w:val="23594EC4"/>
    <w:multiLevelType w:val="hybridMultilevel"/>
    <w:tmpl w:val="D11474C2"/>
    <w:lvl w:ilvl="0" w:tplc="1F52F16E">
      <w:start w:val="1"/>
      <w:numFmt w:val="decimal"/>
      <w:lvlText w:val="%1."/>
      <w:lvlJc w:val="left"/>
      <w:pPr>
        <w:ind w:left="720" w:hanging="360"/>
      </w:pPr>
      <w:rPr>
        <w:rFonts w:ascii="Arial" w:hAnsi="Arial" w:hint="default"/>
        <w:b w:val="0"/>
        <w:i w:val="0"/>
        <w:sz w:val="22"/>
        <w:szCs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 w15:restartNumberingAfterBreak="0">
    <w:nsid w:val="254B6A47"/>
    <w:multiLevelType w:val="multilevel"/>
    <w:tmpl w:val="305A6728"/>
    <w:name w:val="AlphaList"/>
    <w:lvl w:ilvl="0">
      <w:start w:val="1"/>
      <w:numFmt w:val="lowerLetter"/>
      <w:lvlText w:val="(%1)"/>
      <w:lvlJc w:val="left"/>
      <w:pPr>
        <w:tabs>
          <w:tab w:val="num" w:pos="397"/>
        </w:tabs>
        <w:ind w:left="397" w:hanging="397"/>
      </w:pPr>
      <w:rPr>
        <w:rFonts w:hint="default"/>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tabs>
          <w:tab w:val="num" w:pos="1588"/>
        </w:tabs>
        <w:ind w:left="1588" w:hanging="397"/>
      </w:pPr>
      <w:rPr>
        <w:rFonts w:hint="default"/>
      </w:rPr>
    </w:lvl>
    <w:lvl w:ilvl="4">
      <w:start w:val="1"/>
      <w:numFmt w:val="none"/>
      <w:lvlText w:val=""/>
      <w:lvlJc w:val="left"/>
      <w:pPr>
        <w:tabs>
          <w:tab w:val="num" w:pos="2013"/>
        </w:tabs>
        <w:ind w:left="1985" w:hanging="397"/>
      </w:pPr>
      <w:rPr>
        <w:rFonts w:hint="default"/>
      </w:rPr>
    </w:lvl>
    <w:lvl w:ilvl="5">
      <w:start w:val="1"/>
      <w:numFmt w:val="none"/>
      <w:lvlText w:val=""/>
      <w:lvlJc w:val="left"/>
      <w:pPr>
        <w:tabs>
          <w:tab w:val="num" w:pos="2410"/>
        </w:tabs>
        <w:ind w:left="2382" w:hanging="397"/>
      </w:pPr>
      <w:rPr>
        <w:rFonts w:hint="default"/>
      </w:rPr>
    </w:lvl>
    <w:lvl w:ilvl="6">
      <w:start w:val="1"/>
      <w:numFmt w:val="none"/>
      <w:lvlText w:val=""/>
      <w:lvlJc w:val="left"/>
      <w:pPr>
        <w:tabs>
          <w:tab w:val="num" w:pos="2807"/>
        </w:tabs>
        <w:ind w:left="2779" w:hanging="397"/>
      </w:pPr>
      <w:rPr>
        <w:rFonts w:hint="default"/>
      </w:rPr>
    </w:lvl>
    <w:lvl w:ilvl="7">
      <w:start w:val="1"/>
      <w:numFmt w:val="none"/>
      <w:lvlText w:val=""/>
      <w:lvlJc w:val="left"/>
      <w:pPr>
        <w:tabs>
          <w:tab w:val="num" w:pos="3204"/>
        </w:tabs>
        <w:ind w:left="3176" w:hanging="397"/>
      </w:pPr>
      <w:rPr>
        <w:rFonts w:hint="default"/>
      </w:rPr>
    </w:lvl>
    <w:lvl w:ilvl="8">
      <w:start w:val="1"/>
      <w:numFmt w:val="none"/>
      <w:lvlText w:val=""/>
      <w:lvlJc w:val="left"/>
      <w:pPr>
        <w:tabs>
          <w:tab w:val="num" w:pos="3601"/>
        </w:tabs>
        <w:ind w:left="3573" w:hanging="397"/>
      </w:pPr>
      <w:rPr>
        <w:rFonts w:hint="default"/>
      </w:rPr>
    </w:lvl>
  </w:abstractNum>
  <w:abstractNum w:abstractNumId="13" w15:restartNumberingAfterBreak="0">
    <w:nsid w:val="27C445F5"/>
    <w:multiLevelType w:val="multilevel"/>
    <w:tmpl w:val="0EDEA0D8"/>
    <w:styleLink w:val="HangingList"/>
    <w:lvl w:ilvl="0">
      <w:start w:val="1"/>
      <w:numFmt w:val="none"/>
      <w:suff w:val="nothing"/>
      <w:lvlText w:val=""/>
      <w:lvlJc w:val="left"/>
      <w:pPr>
        <w:ind w:left="992" w:hanging="992"/>
      </w:pPr>
      <w:rPr>
        <w:rFonts w:hint="default"/>
      </w:rPr>
    </w:lvl>
    <w:lvl w:ilvl="1">
      <w:start w:val="1"/>
      <w:numFmt w:val="none"/>
      <w:suff w:val="nothing"/>
      <w:lvlText w:val=""/>
      <w:lvlJc w:val="left"/>
      <w:pPr>
        <w:ind w:left="1701" w:hanging="709"/>
      </w:pPr>
      <w:rPr>
        <w:rFonts w:hint="default"/>
      </w:rPr>
    </w:lvl>
    <w:lvl w:ilvl="2">
      <w:start w:val="1"/>
      <w:numFmt w:val="none"/>
      <w:suff w:val="nothing"/>
      <w:lvlText w:val=""/>
      <w:lvlJc w:val="left"/>
      <w:pPr>
        <w:ind w:left="2410" w:hanging="709"/>
      </w:pPr>
      <w:rPr>
        <w:rFonts w:hint="default"/>
      </w:rPr>
    </w:lvl>
    <w:lvl w:ilvl="3">
      <w:start w:val="1"/>
      <w:numFmt w:val="none"/>
      <w:suff w:val="nothing"/>
      <w:lvlText w:val=""/>
      <w:lvlJc w:val="left"/>
      <w:pPr>
        <w:ind w:left="3119" w:hanging="709"/>
      </w:pPr>
      <w:rPr>
        <w:rFonts w:hint="default"/>
      </w:rPr>
    </w:lvl>
    <w:lvl w:ilvl="4">
      <w:start w:val="1"/>
      <w:numFmt w:val="none"/>
      <w:suff w:val="nothing"/>
      <w:lvlText w:val=""/>
      <w:lvlJc w:val="left"/>
      <w:pPr>
        <w:ind w:left="3828" w:hanging="709"/>
      </w:pPr>
      <w:rPr>
        <w:rFonts w:hint="default"/>
      </w:rPr>
    </w:lvl>
    <w:lvl w:ilvl="5">
      <w:start w:val="1"/>
      <w:numFmt w:val="none"/>
      <w:suff w:val="nothing"/>
      <w:lvlText w:val=""/>
      <w:lvlJc w:val="left"/>
      <w:pPr>
        <w:ind w:left="4537" w:hanging="710"/>
      </w:pPr>
      <w:rPr>
        <w:rFonts w:hint="default"/>
      </w:rPr>
    </w:lvl>
    <w:lvl w:ilvl="6">
      <w:start w:val="1"/>
      <w:numFmt w:val="none"/>
      <w:suff w:val="nothing"/>
      <w:lvlText w:val=""/>
      <w:lvlJc w:val="left"/>
      <w:pPr>
        <w:ind w:left="5246" w:hanging="710"/>
      </w:pPr>
      <w:rPr>
        <w:rFonts w:hint="default"/>
      </w:rPr>
    </w:lvl>
    <w:lvl w:ilvl="7">
      <w:start w:val="1"/>
      <w:numFmt w:val="none"/>
      <w:suff w:val="nothing"/>
      <w:lvlText w:val=""/>
      <w:lvlJc w:val="left"/>
      <w:pPr>
        <w:ind w:left="5955" w:hanging="992"/>
      </w:pPr>
      <w:rPr>
        <w:rFonts w:hint="default"/>
      </w:rPr>
    </w:lvl>
    <w:lvl w:ilvl="8">
      <w:start w:val="1"/>
      <w:numFmt w:val="none"/>
      <w:suff w:val="nothing"/>
      <w:lvlText w:val=""/>
      <w:lvlJc w:val="left"/>
      <w:pPr>
        <w:ind w:left="6664" w:hanging="992"/>
      </w:pPr>
      <w:rPr>
        <w:rFonts w:hint="default"/>
      </w:rPr>
    </w:lvl>
  </w:abstractNum>
  <w:abstractNum w:abstractNumId="14" w15:restartNumberingAfterBreak="0">
    <w:nsid w:val="2911260D"/>
    <w:multiLevelType w:val="multilevel"/>
    <w:tmpl w:val="1F4E711A"/>
    <w:lvl w:ilvl="0">
      <w:start w:val="1"/>
      <w:numFmt w:val="decimal"/>
      <w:pStyle w:val="NotesNumbered"/>
      <w:lvlText w:val="%1."/>
      <w:lvlJc w:val="left"/>
      <w:pPr>
        <w:tabs>
          <w:tab w:val="num" w:pos="284"/>
        </w:tabs>
        <w:ind w:left="284" w:hanging="284"/>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C976934"/>
    <w:multiLevelType w:val="multilevel"/>
    <w:tmpl w:val="C9881CB4"/>
    <w:name w:val="TableBullets"/>
    <w:styleLink w:val="TableBullets"/>
    <w:lvl w:ilvl="0">
      <w:start w:val="1"/>
      <w:numFmt w:val="bullet"/>
      <w:suff w:val="nothing"/>
      <w:lvlText w:val=""/>
      <w:lvlJc w:val="left"/>
      <w:pPr>
        <w:ind w:left="284" w:hanging="171"/>
      </w:pPr>
      <w:rPr>
        <w:rFonts w:ascii="Symbol" w:hAnsi="Symbol" w:hint="default"/>
        <w:color w:val="auto"/>
      </w:rPr>
    </w:lvl>
    <w:lvl w:ilvl="1">
      <w:start w:val="1"/>
      <w:numFmt w:val="bullet"/>
      <w:lvlText w:val="–"/>
      <w:lvlJc w:val="left"/>
      <w:pPr>
        <w:ind w:left="454" w:hanging="170"/>
      </w:pPr>
      <w:rPr>
        <w:rFonts w:ascii="Georgia" w:hAnsi="Georgia" w:hint="default"/>
        <w:color w:val="auto"/>
      </w:rPr>
    </w:lvl>
    <w:lvl w:ilvl="2">
      <w:start w:val="1"/>
      <w:numFmt w:val="bullet"/>
      <w:lvlText w:val="o"/>
      <w:lvlJc w:val="left"/>
      <w:pPr>
        <w:tabs>
          <w:tab w:val="num" w:pos="454"/>
        </w:tabs>
        <w:ind w:left="624" w:hanging="170"/>
      </w:pPr>
      <w:rPr>
        <w:rFonts w:ascii="Courier New" w:hAnsi="Courier New"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16" w15:restartNumberingAfterBreak="0">
    <w:nsid w:val="2FBC08E2"/>
    <w:multiLevelType w:val="multilevel"/>
    <w:tmpl w:val="059EFCB6"/>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15672CA"/>
    <w:multiLevelType w:val="multilevel"/>
    <w:tmpl w:val="938274C0"/>
    <w:name w:val="Table Numbering"/>
    <w:lvl w:ilvl="0">
      <w:start w:val="1"/>
      <w:numFmt w:val="decimal"/>
      <w:lvlText w:val="%1."/>
      <w:lvlJc w:val="left"/>
      <w:pPr>
        <w:tabs>
          <w:tab w:val="num" w:pos="425"/>
        </w:tabs>
        <w:ind w:left="425" w:hanging="425"/>
      </w:pPr>
      <w:rPr>
        <w:rFonts w:hint="default"/>
        <w:b/>
        <w:i w:val="0"/>
        <w:color w:val="auto"/>
      </w:rPr>
    </w:lvl>
    <w:lvl w:ilvl="1">
      <w:start w:val="1"/>
      <w:numFmt w:val="lowerLetter"/>
      <w:lvlText w:val="%2)"/>
      <w:lvlJc w:val="left"/>
      <w:pPr>
        <w:tabs>
          <w:tab w:val="num" w:pos="851"/>
        </w:tabs>
        <w:ind w:left="850" w:hanging="425"/>
      </w:pPr>
      <w:rPr>
        <w:rFonts w:hint="default"/>
        <w:b/>
        <w:i w:val="0"/>
        <w:color w:val="auto"/>
      </w:rPr>
    </w:lvl>
    <w:lvl w:ilvl="2">
      <w:start w:val="1"/>
      <w:numFmt w:val="lowerRoman"/>
      <w:lvlText w:val="%3)"/>
      <w:lvlJc w:val="left"/>
      <w:pPr>
        <w:tabs>
          <w:tab w:val="num" w:pos="1276"/>
        </w:tabs>
        <w:ind w:left="1275" w:hanging="425"/>
      </w:pPr>
      <w:rPr>
        <w:rFonts w:hint="default"/>
        <w:b/>
        <w:i w:val="0"/>
        <w:color w:val="auto"/>
        <w:sz w:val="18"/>
      </w:rPr>
    </w:lvl>
    <w:lvl w:ilvl="3">
      <w:start w:val="1"/>
      <w:numFmt w:val="none"/>
      <w:lvlText w:val="%4"/>
      <w:lvlJc w:val="left"/>
      <w:pPr>
        <w:tabs>
          <w:tab w:val="num" w:pos="1701"/>
        </w:tabs>
        <w:ind w:left="1700" w:hanging="425"/>
      </w:pPr>
      <w:rPr>
        <w:rFonts w:hint="default"/>
        <w:b/>
        <w:i w:val="0"/>
        <w:color w:val="000000" w:themeColor="text1"/>
      </w:rPr>
    </w:lvl>
    <w:lvl w:ilvl="4">
      <w:start w:val="1"/>
      <w:numFmt w:val="none"/>
      <w:lvlText w:val="%5"/>
      <w:lvlJc w:val="left"/>
      <w:pPr>
        <w:tabs>
          <w:tab w:val="num" w:pos="2126"/>
        </w:tabs>
        <w:ind w:left="2125" w:hanging="425"/>
      </w:pPr>
      <w:rPr>
        <w:rFonts w:hint="default"/>
        <w:b/>
        <w:i w:val="0"/>
        <w:color w:val="000000" w:themeColor="text1"/>
      </w:rPr>
    </w:lvl>
    <w:lvl w:ilvl="5">
      <w:start w:val="1"/>
      <w:numFmt w:val="none"/>
      <w:lvlText w:val=""/>
      <w:lvlJc w:val="left"/>
      <w:pPr>
        <w:tabs>
          <w:tab w:val="num" w:pos="2522"/>
        </w:tabs>
        <w:ind w:left="2550" w:hanging="425"/>
      </w:pPr>
      <w:rPr>
        <w:rFonts w:hint="default"/>
      </w:rPr>
    </w:lvl>
    <w:lvl w:ilvl="6">
      <w:start w:val="1"/>
      <w:numFmt w:val="none"/>
      <w:lvlText w:val=""/>
      <w:lvlJc w:val="left"/>
      <w:pPr>
        <w:tabs>
          <w:tab w:val="num" w:pos="2947"/>
        </w:tabs>
        <w:ind w:left="2975" w:hanging="425"/>
      </w:pPr>
      <w:rPr>
        <w:rFonts w:hint="default"/>
      </w:rPr>
    </w:lvl>
    <w:lvl w:ilvl="7">
      <w:start w:val="1"/>
      <w:numFmt w:val="none"/>
      <w:lvlText w:val=""/>
      <w:lvlJc w:val="left"/>
      <w:pPr>
        <w:tabs>
          <w:tab w:val="num" w:pos="3372"/>
        </w:tabs>
        <w:ind w:left="3400" w:hanging="425"/>
      </w:pPr>
      <w:rPr>
        <w:rFonts w:hint="default"/>
      </w:rPr>
    </w:lvl>
    <w:lvl w:ilvl="8">
      <w:start w:val="1"/>
      <w:numFmt w:val="none"/>
      <w:lvlText w:val=""/>
      <w:lvlJc w:val="left"/>
      <w:pPr>
        <w:tabs>
          <w:tab w:val="num" w:pos="3797"/>
        </w:tabs>
        <w:ind w:left="3825" w:hanging="425"/>
      </w:pPr>
      <w:rPr>
        <w:rFonts w:hint="default"/>
      </w:rPr>
    </w:lvl>
  </w:abstractNum>
  <w:abstractNum w:abstractNumId="18" w15:restartNumberingAfterBreak="0">
    <w:nsid w:val="3EDB238B"/>
    <w:multiLevelType w:val="multilevel"/>
    <w:tmpl w:val="D110F2AC"/>
    <w:lvl w:ilvl="0">
      <w:start w:val="1"/>
      <w:numFmt w:val="decimal"/>
      <w:pStyle w:val="Heading1"/>
      <w:lvlText w:val="%1."/>
      <w:lvlJc w:val="left"/>
      <w:pPr>
        <w:ind w:left="624" w:hanging="624"/>
      </w:pPr>
      <w:rPr>
        <w:rFonts w:hint="default"/>
      </w:rPr>
    </w:lvl>
    <w:lvl w:ilvl="1">
      <w:start w:val="1"/>
      <w:numFmt w:val="decimal"/>
      <w:pStyle w:val="Heading2"/>
      <w:lvlText w:val="%1.%2"/>
      <w:lvlJc w:val="left"/>
      <w:pPr>
        <w:ind w:left="624" w:hanging="624"/>
      </w:pPr>
      <w:rPr>
        <w:rFonts w:hint="default"/>
      </w:rPr>
    </w:lvl>
    <w:lvl w:ilvl="2">
      <w:start w:val="1"/>
      <w:numFmt w:val="decimal"/>
      <w:pStyle w:val="Heading3"/>
      <w:lvlText w:val="%1.%2.%3"/>
      <w:lvlJc w:val="left"/>
      <w:pPr>
        <w:ind w:left="624" w:hanging="624"/>
      </w:pPr>
      <w:rPr>
        <w:rFonts w:hint="default"/>
      </w:rPr>
    </w:lvl>
    <w:lvl w:ilvl="3">
      <w:start w:val="1"/>
      <w:numFmt w:val="decimal"/>
      <w:pStyle w:val="Heading4"/>
      <w:lvlText w:val="%1.%2.%3.%4"/>
      <w:lvlJc w:val="left"/>
      <w:pPr>
        <w:ind w:left="907" w:hanging="907"/>
      </w:pPr>
      <w:rPr>
        <w:rFonts w:hint="default"/>
      </w:rPr>
    </w:lvl>
    <w:lvl w:ilvl="4">
      <w:start w:val="1"/>
      <w:numFmt w:val="decimal"/>
      <w:pStyle w:val="Heading5"/>
      <w:lvlText w:val="%1.%2.%3.%4.%5"/>
      <w:lvlJc w:val="left"/>
      <w:pPr>
        <w:ind w:left="1134" w:hanging="1134"/>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9" w15:restartNumberingAfterBreak="0">
    <w:nsid w:val="3FE73B3D"/>
    <w:multiLevelType w:val="multilevel"/>
    <w:tmpl w:val="39C485E8"/>
    <w:lvl w:ilvl="0">
      <w:start w:val="1"/>
      <w:numFmt w:val="decimal"/>
      <w:lvlText w:val="(%1)"/>
      <w:lvlJc w:val="left"/>
      <w:pPr>
        <w:ind w:left="720" w:hanging="360"/>
      </w:pPr>
      <w:rPr>
        <w:rFonts w:hint="default"/>
        <w:sz w:val="20"/>
        <w:szCs w:val="26"/>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35B4C0F"/>
    <w:multiLevelType w:val="hybridMultilevel"/>
    <w:tmpl w:val="1FECE1AA"/>
    <w:lvl w:ilvl="0" w:tplc="0C090003">
      <w:start w:val="1"/>
      <w:numFmt w:val="bullet"/>
      <w:lvlText w:val="o"/>
      <w:lvlJc w:val="left"/>
      <w:pPr>
        <w:ind w:left="1077" w:hanging="360"/>
      </w:pPr>
      <w:rPr>
        <w:rFonts w:ascii="Courier New" w:hAnsi="Courier New" w:cs="Courier New"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21" w15:restartNumberingAfterBreak="0">
    <w:nsid w:val="49A32E2A"/>
    <w:multiLevelType w:val="multilevel"/>
    <w:tmpl w:val="DF381F78"/>
    <w:lvl w:ilvl="0">
      <w:start w:val="1"/>
      <w:numFmt w:val="decimal"/>
      <w:lvlText w:val="(%1)"/>
      <w:lvlJc w:val="left"/>
      <w:pPr>
        <w:ind w:left="720" w:hanging="360"/>
      </w:pPr>
      <w:rPr>
        <w:rFonts w:hint="default"/>
        <w:sz w:val="20"/>
        <w:szCs w:val="26"/>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2" w15:restartNumberingAfterBreak="0">
    <w:nsid w:val="4D503B71"/>
    <w:multiLevelType w:val="hybridMultilevel"/>
    <w:tmpl w:val="5BC63F8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15:restartNumberingAfterBreak="0">
    <w:nsid w:val="4EF67232"/>
    <w:multiLevelType w:val="multilevel"/>
    <w:tmpl w:val="965CF50A"/>
    <w:lvl w:ilvl="0">
      <w:start w:val="1"/>
      <w:numFmt w:val="upperLetter"/>
      <w:lvlRestart w:val="0"/>
      <w:pStyle w:val="Heading9"/>
      <w:lvlText w:val="Appendix %1"/>
      <w:lvlJc w:val="left"/>
      <w:pPr>
        <w:ind w:left="1588" w:hanging="1588"/>
      </w:pPr>
      <w:rPr>
        <w:rFonts w:hint="default"/>
      </w:rPr>
    </w:lvl>
    <w:lvl w:ilvl="1">
      <w:start w:val="1"/>
      <w:numFmt w:val="decimal"/>
      <w:pStyle w:val="AppendixHeading2"/>
      <w:lvlText w:val="%1.%2"/>
      <w:lvlJc w:val="left"/>
      <w:pPr>
        <w:ind w:left="624" w:hanging="624"/>
      </w:pPr>
      <w:rPr>
        <w:rFonts w:hint="default"/>
      </w:rPr>
    </w:lvl>
    <w:lvl w:ilvl="2">
      <w:start w:val="1"/>
      <w:numFmt w:val="decimal"/>
      <w:pStyle w:val="AppendixHeading3"/>
      <w:lvlText w:val="%1.%2.%3"/>
      <w:lvlJc w:val="left"/>
      <w:pPr>
        <w:ind w:left="624" w:hanging="624"/>
      </w:pPr>
      <w:rPr>
        <w:rFonts w:hint="default"/>
      </w:rPr>
    </w:lvl>
    <w:lvl w:ilvl="3">
      <w:start w:val="1"/>
      <w:numFmt w:val="decimal"/>
      <w:pStyle w:val="AppendixHeading4"/>
      <w:lvlText w:val="%1.%2.%3.%4"/>
      <w:lvlJc w:val="left"/>
      <w:pPr>
        <w:ind w:left="907" w:hanging="907"/>
      </w:pPr>
      <w:rPr>
        <w:rFonts w:hint="default"/>
        <w:b/>
        <w:i/>
      </w:rPr>
    </w:lvl>
    <w:lvl w:ilvl="4">
      <w:start w:val="1"/>
      <w:numFmt w:val="none"/>
      <w:suff w:val="space"/>
      <w:lvlText w:val=""/>
      <w:lvlJc w:val="left"/>
      <w:pPr>
        <w:ind w:left="851" w:hanging="851"/>
      </w:pPr>
      <w:rPr>
        <w:rFonts w:hint="default"/>
      </w:rPr>
    </w:lvl>
    <w:lvl w:ilvl="5">
      <w:start w:val="1"/>
      <w:numFmt w:val="none"/>
      <w:lvlText w:val=""/>
      <w:lvlJc w:val="left"/>
      <w:pPr>
        <w:ind w:left="851" w:hanging="851"/>
      </w:pPr>
      <w:rPr>
        <w:rFonts w:hint="default"/>
      </w:rPr>
    </w:lvl>
    <w:lvl w:ilvl="6">
      <w:start w:val="1"/>
      <w:numFmt w:val="none"/>
      <w:lvlText w:val=""/>
      <w:lvlJc w:val="left"/>
      <w:pPr>
        <w:ind w:left="851" w:hanging="851"/>
      </w:pPr>
      <w:rPr>
        <w:rFonts w:hint="default"/>
      </w:rPr>
    </w:lvl>
    <w:lvl w:ilvl="7">
      <w:start w:val="1"/>
      <w:numFmt w:val="none"/>
      <w:lvlText w:val=""/>
      <w:lvlJc w:val="left"/>
      <w:pPr>
        <w:ind w:left="851" w:hanging="851"/>
      </w:pPr>
      <w:rPr>
        <w:rFonts w:hint="default"/>
      </w:rPr>
    </w:lvl>
    <w:lvl w:ilvl="8">
      <w:start w:val="1"/>
      <w:numFmt w:val="none"/>
      <w:lvlText w:val=""/>
      <w:lvlJc w:val="left"/>
      <w:pPr>
        <w:ind w:left="851" w:hanging="851"/>
      </w:pPr>
      <w:rPr>
        <w:rFonts w:hint="default"/>
      </w:rPr>
    </w:lvl>
  </w:abstractNum>
  <w:abstractNum w:abstractNumId="24" w15:restartNumberingAfterBreak="0">
    <w:nsid w:val="4FED0F20"/>
    <w:multiLevelType w:val="multilevel"/>
    <w:tmpl w:val="8FFE7F86"/>
    <w:lvl w:ilvl="0">
      <w:start w:val="1"/>
      <w:numFmt w:val="bullet"/>
      <w:lvlText w:val=""/>
      <w:lvlJc w:val="left"/>
      <w:pPr>
        <w:ind w:left="369" w:hanging="369"/>
      </w:pPr>
      <w:rPr>
        <w:rFonts w:ascii="Wingdings" w:hAnsi="Wingdings" w:hint="default"/>
      </w:rPr>
    </w:lvl>
    <w:lvl w:ilvl="1">
      <w:start w:val="1"/>
      <w:numFmt w:val="bullet"/>
      <w:lvlText w:val="o"/>
      <w:lvlJc w:val="left"/>
      <w:pPr>
        <w:ind w:left="737" w:hanging="368"/>
      </w:pPr>
      <w:rPr>
        <w:rFonts w:ascii="Courier New" w:hAnsi="Courier New" w:cs="Courier New" w:hint="default"/>
      </w:rPr>
    </w:lvl>
    <w:lvl w:ilvl="2">
      <w:start w:val="1"/>
      <w:numFmt w:val="none"/>
      <w:lvlText w:val=":"/>
      <w:lvlJc w:val="left"/>
      <w:pPr>
        <w:ind w:left="1106" w:hanging="369"/>
      </w:pPr>
      <w:rPr>
        <w:rFonts w:hint="default"/>
      </w:rPr>
    </w:lvl>
    <w:lvl w:ilvl="3">
      <w:start w:val="1"/>
      <w:numFmt w:val="none"/>
      <w:lvlText w:val=""/>
      <w:lvlJc w:val="left"/>
      <w:pPr>
        <w:ind w:left="1474" w:hanging="368"/>
      </w:pPr>
      <w:rPr>
        <w:rFonts w:hint="default"/>
        <w:color w:val="auto"/>
      </w:rPr>
    </w:lvl>
    <w:lvl w:ilvl="4">
      <w:start w:val="1"/>
      <w:numFmt w:val="none"/>
      <w:lvlText w:val=""/>
      <w:lvlJc w:val="left"/>
      <w:pPr>
        <w:ind w:left="1800" w:hanging="360"/>
      </w:pPr>
      <w:rPr>
        <w:rFonts w:hint="default"/>
        <w:color w:val="auto"/>
      </w:rPr>
    </w:lvl>
    <w:lvl w:ilvl="5">
      <w:start w:val="1"/>
      <w:numFmt w:val="none"/>
      <w:lvlText w:val=""/>
      <w:lvlJc w:val="left"/>
      <w:pPr>
        <w:ind w:left="2160" w:hanging="360"/>
      </w:pPr>
      <w:rPr>
        <w:rFonts w:hint="default"/>
        <w:color w:val="auto"/>
      </w:rPr>
    </w:lvl>
    <w:lvl w:ilvl="6">
      <w:start w:val="1"/>
      <w:numFmt w:val="none"/>
      <w:lvlText w:val=""/>
      <w:lvlJc w:val="left"/>
      <w:pPr>
        <w:ind w:left="2520" w:hanging="360"/>
      </w:pPr>
      <w:rPr>
        <w:rFonts w:hint="default"/>
        <w:color w:val="auto"/>
      </w:rPr>
    </w:lvl>
    <w:lvl w:ilvl="7">
      <w:start w:val="1"/>
      <w:numFmt w:val="none"/>
      <w:lvlText w:val=""/>
      <w:lvlJc w:val="left"/>
      <w:pPr>
        <w:ind w:left="2880" w:hanging="360"/>
      </w:pPr>
      <w:rPr>
        <w:rFonts w:hint="default"/>
        <w:color w:val="auto"/>
      </w:rPr>
    </w:lvl>
    <w:lvl w:ilvl="8">
      <w:start w:val="1"/>
      <w:numFmt w:val="none"/>
      <w:lvlText w:val=""/>
      <w:lvlJc w:val="left"/>
      <w:pPr>
        <w:ind w:left="3240" w:hanging="360"/>
      </w:pPr>
      <w:rPr>
        <w:rFonts w:hint="default"/>
        <w:color w:val="auto"/>
      </w:rPr>
    </w:lvl>
  </w:abstractNum>
  <w:abstractNum w:abstractNumId="25" w15:restartNumberingAfterBreak="0">
    <w:nsid w:val="52456C28"/>
    <w:multiLevelType w:val="multilevel"/>
    <w:tmpl w:val="472A8ED0"/>
    <w:name w:val="U1_Legal Numbering"/>
    <w:lvl w:ilvl="0">
      <w:start w:val="1"/>
      <w:numFmt w:val="decimal"/>
      <w:lvlText w:val="%1."/>
      <w:lvlJc w:val="left"/>
      <w:pPr>
        <w:ind w:left="567" w:hanging="567"/>
      </w:pPr>
      <w:rPr>
        <w:rFonts w:hint="default"/>
      </w:rPr>
    </w:lvl>
    <w:lvl w:ilvl="1">
      <w:start w:val="1"/>
      <w:numFmt w:val="decimal"/>
      <w:lvlText w:val="%1.%2"/>
      <w:lvlJc w:val="left"/>
      <w:pPr>
        <w:ind w:left="1134" w:hanging="567"/>
      </w:pPr>
      <w:rPr>
        <w:rFonts w:hint="default"/>
      </w:rPr>
    </w:lvl>
    <w:lvl w:ilvl="2">
      <w:start w:val="1"/>
      <w:numFmt w:val="decimal"/>
      <w:lvlText w:val="%1.%2.%3"/>
      <w:lvlJc w:val="left"/>
      <w:pPr>
        <w:tabs>
          <w:tab w:val="num" w:pos="1134"/>
        </w:tabs>
        <w:ind w:left="1814" w:hanging="680"/>
      </w:pPr>
      <w:rPr>
        <w:rFonts w:hint="default"/>
      </w:rPr>
    </w:lvl>
    <w:lvl w:ilvl="3">
      <w:start w:val="1"/>
      <w:numFmt w:val="decimal"/>
      <w:suff w:val="space"/>
      <w:lvlText w:val="%1.%2.%3.%4  "/>
      <w:lvlJc w:val="left"/>
      <w:pPr>
        <w:ind w:left="2268" w:hanging="454"/>
      </w:pPr>
      <w:rPr>
        <w:rFonts w:hint="default"/>
      </w:rPr>
    </w:lvl>
    <w:lvl w:ilvl="4">
      <w:start w:val="1"/>
      <w:numFmt w:val="none"/>
      <w:suff w:val="space"/>
      <w:lvlText w:val=""/>
      <w:lvlJc w:val="left"/>
      <w:pPr>
        <w:ind w:left="2835" w:hanging="567"/>
      </w:pPr>
      <w:rPr>
        <w:rFonts w:hint="default"/>
      </w:rPr>
    </w:lvl>
    <w:lvl w:ilvl="5">
      <w:start w:val="1"/>
      <w:numFmt w:val="none"/>
      <w:suff w:val="space"/>
      <w:lvlText w:val=""/>
      <w:lvlJc w:val="left"/>
      <w:pPr>
        <w:ind w:left="3402" w:hanging="567"/>
      </w:pPr>
      <w:rPr>
        <w:rFonts w:hint="default"/>
      </w:rPr>
    </w:lvl>
    <w:lvl w:ilvl="6">
      <w:start w:val="1"/>
      <w:numFmt w:val="none"/>
      <w:suff w:val="space"/>
      <w:lvlText w:val=""/>
      <w:lvlJc w:val="left"/>
      <w:pPr>
        <w:ind w:left="3969" w:hanging="567"/>
      </w:pPr>
      <w:rPr>
        <w:rFonts w:hint="default"/>
      </w:rPr>
    </w:lvl>
    <w:lvl w:ilvl="7">
      <w:start w:val="1"/>
      <w:numFmt w:val="none"/>
      <w:suff w:val="space"/>
      <w:lvlText w:val=""/>
      <w:lvlJc w:val="left"/>
      <w:pPr>
        <w:ind w:left="4536" w:hanging="567"/>
      </w:pPr>
      <w:rPr>
        <w:rFonts w:hint="default"/>
      </w:rPr>
    </w:lvl>
    <w:lvl w:ilvl="8">
      <w:start w:val="1"/>
      <w:numFmt w:val="none"/>
      <w:suff w:val="space"/>
      <w:lvlText w:val=""/>
      <w:lvlJc w:val="left"/>
      <w:pPr>
        <w:ind w:left="5103" w:hanging="567"/>
      </w:pPr>
      <w:rPr>
        <w:rFonts w:hint="default"/>
      </w:rPr>
    </w:lvl>
  </w:abstractNum>
  <w:abstractNum w:abstractNumId="26" w15:restartNumberingAfterBreak="0">
    <w:nsid w:val="52890B29"/>
    <w:multiLevelType w:val="hybridMultilevel"/>
    <w:tmpl w:val="067CFC18"/>
    <w:name w:val="MyHeadings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8741D25"/>
    <w:multiLevelType w:val="multilevel"/>
    <w:tmpl w:val="10107B4A"/>
    <w:name w:val="TableNumbering"/>
    <w:styleLink w:val="TableFootnotes"/>
    <w:lvl w:ilvl="0">
      <w:start w:val="1"/>
      <w:numFmt w:val="none"/>
      <w:suff w:val="nothing"/>
      <w:lvlText w:val=""/>
      <w:lvlJc w:val="left"/>
      <w:pPr>
        <w:ind w:left="0" w:firstLine="0"/>
      </w:pPr>
      <w:rPr>
        <w:rFonts w:hint="default"/>
      </w:rPr>
    </w:lvl>
    <w:lvl w:ilvl="1">
      <w:start w:val="1"/>
      <w:numFmt w:val="decimal"/>
      <w:lvlText w:val="(%2)"/>
      <w:lvlJc w:val="left"/>
      <w:pPr>
        <w:ind w:left="340" w:hanging="340"/>
      </w:pPr>
      <w:rPr>
        <w:rFonts w:hint="default"/>
      </w:rPr>
    </w:lvl>
    <w:lvl w:ilvl="2">
      <w:start w:val="1"/>
      <w:numFmt w:val="none"/>
      <w:lvlText w:val=""/>
      <w:lvlJc w:val="left"/>
      <w:pPr>
        <w:ind w:left="340" w:hanging="340"/>
      </w:pPr>
      <w:rPr>
        <w:rFonts w:hint="default"/>
      </w:rPr>
    </w:lvl>
    <w:lvl w:ilvl="3">
      <w:start w:val="1"/>
      <w:numFmt w:val="none"/>
      <w:lvlText w:val=""/>
      <w:lvlJc w:val="left"/>
      <w:pPr>
        <w:ind w:left="340" w:hanging="340"/>
      </w:pPr>
      <w:rPr>
        <w:rFonts w:hint="default"/>
      </w:rPr>
    </w:lvl>
    <w:lvl w:ilvl="4">
      <w:start w:val="1"/>
      <w:numFmt w:val="none"/>
      <w:lvlText w:val=""/>
      <w:lvlJc w:val="left"/>
      <w:pPr>
        <w:ind w:left="340" w:hanging="340"/>
      </w:pPr>
      <w:rPr>
        <w:rFonts w:hint="default"/>
      </w:rPr>
    </w:lvl>
    <w:lvl w:ilvl="5">
      <w:start w:val="1"/>
      <w:numFmt w:val="none"/>
      <w:lvlText w:val=""/>
      <w:lvlJc w:val="left"/>
      <w:pPr>
        <w:ind w:left="340" w:hanging="340"/>
      </w:pPr>
      <w:rPr>
        <w:rFonts w:hint="default"/>
      </w:rPr>
    </w:lvl>
    <w:lvl w:ilvl="6">
      <w:start w:val="1"/>
      <w:numFmt w:val="none"/>
      <w:lvlText w:val=""/>
      <w:lvlJc w:val="left"/>
      <w:pPr>
        <w:ind w:left="340" w:hanging="340"/>
      </w:pPr>
      <w:rPr>
        <w:rFonts w:hint="default"/>
      </w:rPr>
    </w:lvl>
    <w:lvl w:ilvl="7">
      <w:start w:val="1"/>
      <w:numFmt w:val="none"/>
      <w:lvlText w:val=""/>
      <w:lvlJc w:val="left"/>
      <w:pPr>
        <w:ind w:left="340" w:hanging="340"/>
      </w:pPr>
      <w:rPr>
        <w:rFonts w:hint="default"/>
      </w:rPr>
    </w:lvl>
    <w:lvl w:ilvl="8">
      <w:start w:val="1"/>
      <w:numFmt w:val="none"/>
      <w:lvlText w:val=""/>
      <w:lvlJc w:val="left"/>
      <w:pPr>
        <w:ind w:left="340" w:hanging="340"/>
      </w:pPr>
      <w:rPr>
        <w:rFonts w:hint="default"/>
      </w:rPr>
    </w:lvl>
  </w:abstractNum>
  <w:abstractNum w:abstractNumId="28" w15:restartNumberingAfterBreak="0">
    <w:nsid w:val="59C51D2C"/>
    <w:multiLevelType w:val="hybridMultilevel"/>
    <w:tmpl w:val="E35617FE"/>
    <w:lvl w:ilvl="0" w:tplc="0C09000F">
      <w:start w:val="1"/>
      <w:numFmt w:val="decimal"/>
      <w:lvlText w:val="%1."/>
      <w:lvlJc w:val="left"/>
      <w:pPr>
        <w:tabs>
          <w:tab w:val="num" w:pos="360"/>
        </w:tabs>
        <w:ind w:left="360" w:hanging="360"/>
      </w:pPr>
    </w:lvl>
    <w:lvl w:ilvl="1" w:tplc="0C090019">
      <w:start w:val="1"/>
      <w:numFmt w:val="lowerLetter"/>
      <w:lvlText w:val="%2."/>
      <w:lvlJc w:val="left"/>
      <w:pPr>
        <w:tabs>
          <w:tab w:val="num" w:pos="1080"/>
        </w:tabs>
        <w:ind w:left="1080" w:hanging="360"/>
      </w:pPr>
    </w:lvl>
    <w:lvl w:ilvl="2" w:tplc="0C09001B" w:tentative="1">
      <w:start w:val="1"/>
      <w:numFmt w:val="lowerRoman"/>
      <w:lvlText w:val="%3."/>
      <w:lvlJc w:val="right"/>
      <w:pPr>
        <w:tabs>
          <w:tab w:val="num" w:pos="1800"/>
        </w:tabs>
        <w:ind w:left="1800" w:hanging="180"/>
      </w:pPr>
    </w:lvl>
    <w:lvl w:ilvl="3" w:tplc="0C09000F" w:tentative="1">
      <w:start w:val="1"/>
      <w:numFmt w:val="decimal"/>
      <w:lvlText w:val="%4."/>
      <w:lvlJc w:val="left"/>
      <w:pPr>
        <w:tabs>
          <w:tab w:val="num" w:pos="2520"/>
        </w:tabs>
        <w:ind w:left="2520" w:hanging="360"/>
      </w:pPr>
    </w:lvl>
    <w:lvl w:ilvl="4" w:tplc="0C090019" w:tentative="1">
      <w:start w:val="1"/>
      <w:numFmt w:val="lowerLetter"/>
      <w:lvlText w:val="%5."/>
      <w:lvlJc w:val="left"/>
      <w:pPr>
        <w:tabs>
          <w:tab w:val="num" w:pos="3240"/>
        </w:tabs>
        <w:ind w:left="3240" w:hanging="360"/>
      </w:pPr>
    </w:lvl>
    <w:lvl w:ilvl="5" w:tplc="0C09001B" w:tentative="1">
      <w:start w:val="1"/>
      <w:numFmt w:val="lowerRoman"/>
      <w:lvlText w:val="%6."/>
      <w:lvlJc w:val="right"/>
      <w:pPr>
        <w:tabs>
          <w:tab w:val="num" w:pos="3960"/>
        </w:tabs>
        <w:ind w:left="3960" w:hanging="180"/>
      </w:pPr>
    </w:lvl>
    <w:lvl w:ilvl="6" w:tplc="0C09000F" w:tentative="1">
      <w:start w:val="1"/>
      <w:numFmt w:val="decimal"/>
      <w:lvlText w:val="%7."/>
      <w:lvlJc w:val="left"/>
      <w:pPr>
        <w:tabs>
          <w:tab w:val="num" w:pos="4680"/>
        </w:tabs>
        <w:ind w:left="4680" w:hanging="360"/>
      </w:pPr>
    </w:lvl>
    <w:lvl w:ilvl="7" w:tplc="0C090019" w:tentative="1">
      <w:start w:val="1"/>
      <w:numFmt w:val="lowerLetter"/>
      <w:lvlText w:val="%8."/>
      <w:lvlJc w:val="left"/>
      <w:pPr>
        <w:tabs>
          <w:tab w:val="num" w:pos="5400"/>
        </w:tabs>
        <w:ind w:left="5400" w:hanging="360"/>
      </w:pPr>
    </w:lvl>
    <w:lvl w:ilvl="8" w:tplc="0C09001B" w:tentative="1">
      <w:start w:val="1"/>
      <w:numFmt w:val="lowerRoman"/>
      <w:lvlText w:val="%9."/>
      <w:lvlJc w:val="right"/>
      <w:pPr>
        <w:tabs>
          <w:tab w:val="num" w:pos="6120"/>
        </w:tabs>
        <w:ind w:left="6120" w:hanging="180"/>
      </w:pPr>
    </w:lvl>
  </w:abstractNum>
  <w:abstractNum w:abstractNumId="29" w15:restartNumberingAfterBreak="0">
    <w:nsid w:val="5AE6625A"/>
    <w:multiLevelType w:val="multilevel"/>
    <w:tmpl w:val="FF203CF0"/>
    <w:name w:val="MyHeadings"/>
    <w:lvl w:ilvl="0">
      <w:start w:val="1"/>
      <w:numFmt w:val="decimal"/>
      <w:suff w:val="space"/>
      <w:lvlText w:val="%1."/>
      <w:lvlJc w:val="left"/>
      <w:pPr>
        <w:ind w:left="0" w:firstLine="0"/>
      </w:pPr>
      <w:rPr>
        <w:rFonts w:asciiTheme="majorHAnsi" w:hAnsiTheme="majorHAnsi" w:hint="default"/>
        <w:b/>
        <w:i w:val="0"/>
        <w:color w:val="E1E2E7" w:themeColor="background2"/>
        <w:sz w:val="40"/>
      </w:rPr>
    </w:lvl>
    <w:lvl w:ilvl="1">
      <w:start w:val="1"/>
      <w:numFmt w:val="decimal"/>
      <w:suff w:val="space"/>
      <w:lvlText w:val="%1.%2"/>
      <w:lvlJc w:val="left"/>
      <w:pPr>
        <w:ind w:left="0" w:firstLine="0"/>
      </w:pPr>
      <w:rPr>
        <w:rFonts w:asciiTheme="majorHAnsi" w:hAnsiTheme="majorHAnsi" w:hint="default"/>
        <w:b/>
        <w:i w:val="0"/>
        <w:color w:val="214C90" w:themeColor="text2"/>
        <w:spacing w:val="-6"/>
        <w:sz w:val="32"/>
      </w:rPr>
    </w:lvl>
    <w:lvl w:ilvl="2">
      <w:start w:val="1"/>
      <w:numFmt w:val="decimal"/>
      <w:suff w:val="space"/>
      <w:lvlText w:val="%1.%2.%3"/>
      <w:lvlJc w:val="left"/>
      <w:pPr>
        <w:ind w:left="0" w:firstLine="0"/>
      </w:pPr>
      <w:rPr>
        <w:rFonts w:asciiTheme="majorHAnsi" w:hAnsiTheme="majorHAnsi" w:hint="default"/>
        <w:b/>
        <w:i w:val="0"/>
        <w:color w:val="46A6A9" w:themeColor="accent2"/>
        <w:spacing w:val="-4"/>
        <w:sz w:val="24"/>
      </w:rPr>
    </w:lvl>
    <w:lvl w:ilvl="3">
      <w:start w:val="1"/>
      <w:numFmt w:val="decimal"/>
      <w:suff w:val="space"/>
      <w:lvlText w:val="%1.%2.%3.%4"/>
      <w:lvlJc w:val="left"/>
      <w:pPr>
        <w:ind w:left="0" w:firstLine="0"/>
      </w:pPr>
      <w:rPr>
        <w:rFonts w:asciiTheme="majorHAnsi" w:hAnsiTheme="majorHAnsi" w:hint="default"/>
        <w:b/>
        <w:i w:val="0"/>
        <w:color w:val="auto"/>
        <w:sz w:val="20"/>
      </w:rPr>
    </w:lvl>
    <w:lvl w:ilvl="4">
      <w:start w:val="1"/>
      <w:numFmt w:val="none"/>
      <w:suff w:val="space"/>
      <w:lvlText w:val=""/>
      <w:lvlJc w:val="left"/>
      <w:pPr>
        <w:ind w:left="0" w:firstLine="0"/>
      </w:pPr>
      <w:rPr>
        <w:rFonts w:hint="default"/>
      </w:rPr>
    </w:lvl>
    <w:lvl w:ilvl="5">
      <w:start w:val="1"/>
      <w:numFmt w:val="none"/>
      <w:lvlText w:val=""/>
      <w:lvlJc w:val="left"/>
      <w:pPr>
        <w:tabs>
          <w:tab w:val="num" w:pos="-31680"/>
        </w:tabs>
        <w:ind w:left="0" w:firstLine="0"/>
      </w:pPr>
      <w:rPr>
        <w:rFonts w:hint="default"/>
      </w:rPr>
    </w:lvl>
    <w:lvl w:ilvl="6">
      <w:start w:val="1"/>
      <w:numFmt w:val="none"/>
      <w:lvlText w:val=""/>
      <w:lvlJc w:val="left"/>
      <w:pPr>
        <w:tabs>
          <w:tab w:val="num" w:pos="-31680"/>
        </w:tabs>
        <w:ind w:left="0" w:firstLine="0"/>
      </w:pPr>
      <w:rPr>
        <w:rFonts w:hint="default"/>
      </w:rPr>
    </w:lvl>
    <w:lvl w:ilvl="7">
      <w:start w:val="1"/>
      <w:numFmt w:val="none"/>
      <w:lvlText w:val=""/>
      <w:lvlJc w:val="left"/>
      <w:pPr>
        <w:tabs>
          <w:tab w:val="num" w:pos="-31680"/>
        </w:tabs>
        <w:ind w:left="0" w:firstLine="0"/>
      </w:pPr>
      <w:rPr>
        <w:rFonts w:hint="default"/>
      </w:rPr>
    </w:lvl>
    <w:lvl w:ilvl="8">
      <w:start w:val="1"/>
      <w:numFmt w:val="none"/>
      <w:lvlText w:val=""/>
      <w:lvlJc w:val="left"/>
      <w:pPr>
        <w:tabs>
          <w:tab w:val="num" w:pos="-31680"/>
        </w:tabs>
        <w:ind w:left="0" w:firstLine="0"/>
      </w:pPr>
      <w:rPr>
        <w:rFonts w:hint="default"/>
      </w:rPr>
    </w:lvl>
  </w:abstractNum>
  <w:abstractNum w:abstractNumId="30" w15:restartNumberingAfterBreak="0">
    <w:nsid w:val="5D0540A9"/>
    <w:multiLevelType w:val="multilevel"/>
    <w:tmpl w:val="DBC00818"/>
    <w:name w:val="MyAppendicesNumbering"/>
    <w:lvl w:ilvl="0">
      <w:start w:val="1"/>
      <w:numFmt w:val="upperLetter"/>
      <w:suff w:val="space"/>
      <w:lvlText w:val="Appendix %1."/>
      <w:lvlJc w:val="left"/>
      <w:pPr>
        <w:ind w:left="0" w:firstLine="0"/>
      </w:pPr>
      <w:rPr>
        <w:rFonts w:asciiTheme="majorHAnsi" w:hAnsiTheme="majorHAnsi" w:hint="default"/>
        <w:b/>
        <w:i w:val="0"/>
        <w:sz w:val="40"/>
      </w:rPr>
    </w:lvl>
    <w:lvl w:ilvl="1">
      <w:start w:val="1"/>
      <w:numFmt w:val="decimal"/>
      <w:suff w:val="space"/>
      <w:lvlText w:val="%1.%2"/>
      <w:lvlJc w:val="left"/>
      <w:pPr>
        <w:ind w:left="0" w:firstLine="0"/>
      </w:pPr>
      <w:rPr>
        <w:rFonts w:hint="default"/>
        <w:sz w:val="32"/>
      </w:rPr>
    </w:lvl>
    <w:lvl w:ilvl="2">
      <w:start w:val="1"/>
      <w:numFmt w:val="decimal"/>
      <w:suff w:val="space"/>
      <w:lvlText w:val="%1.%2.%3 "/>
      <w:lvlJc w:val="left"/>
      <w:pPr>
        <w:ind w:left="0" w:firstLine="0"/>
      </w:pPr>
      <w:rPr>
        <w:rFonts w:hint="default"/>
      </w:rPr>
    </w:lvl>
    <w:lvl w:ilvl="3">
      <w:start w:val="1"/>
      <w:numFmt w:val="decimal"/>
      <w:suff w:val="space"/>
      <w:lvlText w:val="%1.%2.%3.%4 "/>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none"/>
      <w:lvlText w:val=""/>
      <w:lvlJc w:val="right"/>
      <w:pPr>
        <w:tabs>
          <w:tab w:val="num" w:pos="2268"/>
        </w:tabs>
        <w:ind w:left="0" w:firstLine="0"/>
      </w:pPr>
      <w:rPr>
        <w:rFonts w:hint="default"/>
      </w:rPr>
    </w:lvl>
    <w:lvl w:ilvl="6">
      <w:start w:val="1"/>
      <w:numFmt w:val="none"/>
      <w:lvlText w:val=""/>
      <w:lvlJc w:val="left"/>
      <w:pPr>
        <w:tabs>
          <w:tab w:val="num" w:pos="2268"/>
        </w:tabs>
        <w:ind w:left="0" w:firstLine="0"/>
      </w:pPr>
      <w:rPr>
        <w:rFonts w:hint="default"/>
      </w:rPr>
    </w:lvl>
    <w:lvl w:ilvl="7">
      <w:start w:val="1"/>
      <w:numFmt w:val="none"/>
      <w:lvlText w:val=""/>
      <w:lvlJc w:val="left"/>
      <w:pPr>
        <w:tabs>
          <w:tab w:val="num" w:pos="2268"/>
        </w:tabs>
        <w:ind w:left="0" w:firstLine="0"/>
      </w:pPr>
      <w:rPr>
        <w:rFonts w:hint="default"/>
      </w:rPr>
    </w:lvl>
    <w:lvl w:ilvl="8">
      <w:start w:val="1"/>
      <w:numFmt w:val="none"/>
      <w:lvlText w:val=""/>
      <w:lvlJc w:val="right"/>
      <w:pPr>
        <w:tabs>
          <w:tab w:val="num" w:pos="2268"/>
        </w:tabs>
        <w:ind w:left="0" w:firstLine="0"/>
      </w:pPr>
      <w:rPr>
        <w:rFonts w:hint="default"/>
      </w:rPr>
    </w:lvl>
  </w:abstractNum>
  <w:abstractNum w:abstractNumId="31" w15:restartNumberingAfterBreak="0">
    <w:nsid w:val="60561366"/>
    <w:multiLevelType w:val="multilevel"/>
    <w:tmpl w:val="088A0D40"/>
    <w:lvl w:ilvl="0">
      <w:start w:val="1"/>
      <w:numFmt w:val="bullet"/>
      <w:lvlText w:val="§"/>
      <w:lvlJc w:val="left"/>
      <w:pPr>
        <w:ind w:left="720" w:hanging="360"/>
      </w:pPr>
      <w:rPr>
        <w:rFonts w:ascii="Wingdings" w:hAnsi="Wingdings" w:hint="default"/>
        <w:sz w:val="18"/>
        <w:szCs w:val="26"/>
      </w:rPr>
    </w:lvl>
    <w:lvl w:ilvl="1">
      <w:start w:val="1"/>
      <w:numFmt w:val="bullet"/>
      <w:lvlText w:val="o"/>
      <w:lvlJc w:val="left"/>
      <w:pPr>
        <w:ind w:left="1440" w:hanging="360"/>
      </w:pPr>
      <w:rPr>
        <w:rFonts w:ascii="Courier New" w:hAnsi="Courier New" w:cs="Courier New" w:hint="default"/>
      </w:rPr>
    </w:lvl>
    <w:lvl w:ilvl="2">
      <w:start w:val="1"/>
      <w:numFmt w:val="lowerLetter"/>
      <w:lvlText w:val="(%3)"/>
      <w:lvlJc w:val="left"/>
      <w:pPr>
        <w:ind w:left="2160" w:hanging="360"/>
      </w:pPr>
      <w:rPr>
        <w:rFont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32" w15:restartNumberingAfterBreak="0">
    <w:nsid w:val="60B138B9"/>
    <w:multiLevelType w:val="singleLevel"/>
    <w:tmpl w:val="64D01A0C"/>
    <w:lvl w:ilvl="0">
      <w:start w:val="1"/>
      <w:numFmt w:val="bullet"/>
      <w:lvlText w:val=""/>
      <w:lvlJc w:val="left"/>
      <w:pPr>
        <w:tabs>
          <w:tab w:val="num" w:pos="340"/>
        </w:tabs>
        <w:ind w:left="340" w:hanging="340"/>
      </w:pPr>
      <w:rPr>
        <w:rFonts w:ascii="Symbol" w:hAnsi="Symbol" w:hint="default"/>
        <w:color w:val="auto"/>
        <w:sz w:val="22"/>
      </w:rPr>
    </w:lvl>
  </w:abstractNum>
  <w:abstractNum w:abstractNumId="33" w15:restartNumberingAfterBreak="0">
    <w:nsid w:val="72224F0A"/>
    <w:multiLevelType w:val="multilevel"/>
    <w:tmpl w:val="4F5E492C"/>
    <w:name w:val="Bullets"/>
    <w:lvl w:ilvl="0">
      <w:start w:val="1"/>
      <w:numFmt w:val="bullet"/>
      <w:lvlText w:val=""/>
      <w:lvlJc w:val="left"/>
      <w:pPr>
        <w:tabs>
          <w:tab w:val="num" w:pos="425"/>
        </w:tabs>
        <w:ind w:left="425" w:hanging="425"/>
      </w:pPr>
      <w:rPr>
        <w:rFonts w:ascii="Wingdings" w:hAnsi="Wingdings" w:hint="default"/>
        <w:color w:val="214C90" w:themeColor="text2"/>
        <w:position w:val="0"/>
        <w:sz w:val="20"/>
      </w:rPr>
    </w:lvl>
    <w:lvl w:ilvl="1">
      <w:start w:val="1"/>
      <w:numFmt w:val="bullet"/>
      <w:lvlText w:val=""/>
      <w:lvlJc w:val="left"/>
      <w:pPr>
        <w:tabs>
          <w:tab w:val="num" w:pos="851"/>
        </w:tabs>
        <w:ind w:left="850" w:hanging="425"/>
      </w:pPr>
      <w:rPr>
        <w:rFonts w:ascii="Wingdings" w:hAnsi="Wingdings" w:hint="default"/>
        <w:color w:val="214C90" w:themeColor="text2"/>
      </w:rPr>
    </w:lvl>
    <w:lvl w:ilvl="2">
      <w:start w:val="1"/>
      <w:numFmt w:val="bullet"/>
      <w:lvlText w:val=""/>
      <w:lvlJc w:val="left"/>
      <w:pPr>
        <w:tabs>
          <w:tab w:val="num" w:pos="1276"/>
        </w:tabs>
        <w:ind w:left="1275" w:hanging="425"/>
      </w:pPr>
      <w:rPr>
        <w:rFonts w:ascii="Symbol" w:hAnsi="Symbol" w:hint="default"/>
        <w:color w:val="214C90" w:themeColor="text2"/>
      </w:rPr>
    </w:lvl>
    <w:lvl w:ilvl="3">
      <w:start w:val="1"/>
      <w:numFmt w:val="bullet"/>
      <w:lvlText w:val=""/>
      <w:lvlJc w:val="left"/>
      <w:pPr>
        <w:tabs>
          <w:tab w:val="num" w:pos="1701"/>
        </w:tabs>
        <w:ind w:left="1700" w:hanging="425"/>
      </w:pPr>
      <w:rPr>
        <w:rFonts w:ascii="Symbol" w:hAnsi="Symbol" w:hint="default"/>
        <w:color w:val="214C90" w:themeColor="text2"/>
        <w:sz w:val="20"/>
      </w:rPr>
    </w:lvl>
    <w:lvl w:ilvl="4">
      <w:start w:val="1"/>
      <w:numFmt w:val="bullet"/>
      <w:lvlText w:val=""/>
      <w:lvlJc w:val="left"/>
      <w:pPr>
        <w:tabs>
          <w:tab w:val="num" w:pos="2126"/>
        </w:tabs>
        <w:ind w:left="2125" w:hanging="425"/>
      </w:pPr>
      <w:rPr>
        <w:rFonts w:ascii="Wingdings" w:hAnsi="Wingdings" w:hint="default"/>
        <w:color w:val="214C90" w:themeColor="text2"/>
      </w:rPr>
    </w:lvl>
    <w:lvl w:ilvl="5">
      <w:start w:val="1"/>
      <w:numFmt w:val="lowerRoman"/>
      <w:lvlText w:val="(%6)"/>
      <w:lvlJc w:val="left"/>
      <w:pPr>
        <w:tabs>
          <w:tab w:val="num" w:pos="3630"/>
        </w:tabs>
        <w:ind w:left="2550" w:hanging="425"/>
      </w:pPr>
      <w:rPr>
        <w:rFonts w:hint="default"/>
      </w:rPr>
    </w:lvl>
    <w:lvl w:ilvl="6">
      <w:start w:val="1"/>
      <w:numFmt w:val="decimal"/>
      <w:lvlText w:val="%7."/>
      <w:lvlJc w:val="left"/>
      <w:pPr>
        <w:tabs>
          <w:tab w:val="num" w:pos="4055"/>
        </w:tabs>
        <w:ind w:left="2975" w:hanging="425"/>
      </w:pPr>
      <w:rPr>
        <w:rFonts w:hint="default"/>
      </w:rPr>
    </w:lvl>
    <w:lvl w:ilvl="7">
      <w:start w:val="1"/>
      <w:numFmt w:val="lowerLetter"/>
      <w:lvlText w:val="%8."/>
      <w:lvlJc w:val="left"/>
      <w:pPr>
        <w:tabs>
          <w:tab w:val="num" w:pos="4480"/>
        </w:tabs>
        <w:ind w:left="3400" w:hanging="425"/>
      </w:pPr>
      <w:rPr>
        <w:rFonts w:hint="default"/>
      </w:rPr>
    </w:lvl>
    <w:lvl w:ilvl="8">
      <w:start w:val="1"/>
      <w:numFmt w:val="lowerRoman"/>
      <w:lvlText w:val="%9."/>
      <w:lvlJc w:val="left"/>
      <w:pPr>
        <w:tabs>
          <w:tab w:val="num" w:pos="4905"/>
        </w:tabs>
        <w:ind w:left="3825" w:hanging="425"/>
      </w:pPr>
      <w:rPr>
        <w:rFonts w:hint="default"/>
      </w:rPr>
    </w:lvl>
  </w:abstractNum>
  <w:abstractNum w:abstractNumId="34" w15:restartNumberingAfterBreak="0">
    <w:nsid w:val="7DBE468B"/>
    <w:multiLevelType w:val="multilevel"/>
    <w:tmpl w:val="D85E1476"/>
    <w:lvl w:ilvl="0">
      <w:start w:val="1"/>
      <w:numFmt w:val="decimal"/>
      <w:lvlText w:val="%1."/>
      <w:lvlJc w:val="left"/>
      <w:pPr>
        <w:ind w:left="357" w:hanging="357"/>
      </w:pPr>
      <w:rPr>
        <w:rFonts w:hint="default"/>
      </w:rPr>
    </w:lvl>
    <w:lvl w:ilvl="1">
      <w:start w:val="1"/>
      <w:numFmt w:val="lowerLetter"/>
      <w:lvlText w:val="(%2)"/>
      <w:lvlJc w:val="left"/>
      <w:pPr>
        <w:ind w:left="714" w:hanging="357"/>
      </w:pPr>
      <w:rPr>
        <w:rFonts w:ascii="Arial" w:hAnsi="Arial" w:hint="default"/>
        <w:b w:val="0"/>
        <w:i w:val="0"/>
        <w:sz w:val="22"/>
        <w:szCs w:val="26"/>
      </w:rPr>
    </w:lvl>
    <w:lvl w:ilvl="2">
      <w:start w:val="1"/>
      <w:numFmt w:val="lowerRoman"/>
      <w:lvlText w:val="%3."/>
      <w:lvlJc w:val="left"/>
      <w:pPr>
        <w:ind w:left="1071" w:hanging="357"/>
      </w:pPr>
      <w:rPr>
        <w:rFonts w:hint="default"/>
      </w:rPr>
    </w:lvl>
    <w:lvl w:ilvl="3">
      <w:start w:val="1"/>
      <w:numFmt w:val="upperLetter"/>
      <w:lvlText w:val="%4."/>
      <w:lvlJc w:val="left"/>
      <w:pPr>
        <w:ind w:left="1428" w:hanging="357"/>
      </w:pPr>
      <w:rPr>
        <w:rFonts w:hint="default"/>
      </w:rPr>
    </w:lvl>
    <w:lvl w:ilvl="4">
      <w:start w:val="1"/>
      <w:numFmt w:val="upperRoman"/>
      <w:lvlText w:val="%5."/>
      <w:lvlJc w:val="left"/>
      <w:pPr>
        <w:ind w:left="1785" w:hanging="357"/>
      </w:pPr>
      <w:rPr>
        <w:rFonts w:hint="default"/>
      </w:rPr>
    </w:lvl>
    <w:lvl w:ilvl="5">
      <w:start w:val="1"/>
      <w:numFmt w:val="lowerRoman"/>
      <w:lvlText w:val="%6."/>
      <w:lvlJc w:val="right"/>
      <w:pPr>
        <w:ind w:left="2142" w:hanging="357"/>
      </w:pPr>
      <w:rPr>
        <w:rFonts w:hint="default"/>
      </w:rPr>
    </w:lvl>
    <w:lvl w:ilvl="6">
      <w:start w:val="1"/>
      <w:numFmt w:val="decimal"/>
      <w:lvlText w:val="%7."/>
      <w:lvlJc w:val="left"/>
      <w:pPr>
        <w:ind w:left="2499" w:hanging="357"/>
      </w:pPr>
      <w:rPr>
        <w:rFonts w:hint="default"/>
      </w:rPr>
    </w:lvl>
    <w:lvl w:ilvl="7">
      <w:start w:val="1"/>
      <w:numFmt w:val="lowerLetter"/>
      <w:lvlText w:val="%8."/>
      <w:lvlJc w:val="left"/>
      <w:pPr>
        <w:ind w:left="2856" w:hanging="357"/>
      </w:pPr>
      <w:rPr>
        <w:rFonts w:hint="default"/>
      </w:rPr>
    </w:lvl>
    <w:lvl w:ilvl="8">
      <w:start w:val="1"/>
      <w:numFmt w:val="lowerRoman"/>
      <w:lvlText w:val="%9."/>
      <w:lvlJc w:val="right"/>
      <w:pPr>
        <w:ind w:left="3213" w:hanging="357"/>
      </w:pPr>
      <w:rPr>
        <w:rFonts w:hint="default"/>
      </w:rPr>
    </w:lvl>
  </w:abstractNum>
  <w:abstractNum w:abstractNumId="35" w15:restartNumberingAfterBreak="0">
    <w:nsid w:val="7E030DAE"/>
    <w:multiLevelType w:val="multilevel"/>
    <w:tmpl w:val="0C09001D"/>
    <w:name w:val="MyNumbering"/>
    <w:lvl w:ilvl="0">
      <w:start w:val="1"/>
      <w:numFmt w:val="decimal"/>
      <w:lvlText w:val="%1)"/>
      <w:lvlJc w:val="left"/>
      <w:pPr>
        <w:ind w:left="1779" w:hanging="360"/>
      </w:pPr>
      <w:rPr>
        <w:rFonts w:hint="default"/>
        <w:b w:val="0"/>
        <w:i w:val="0"/>
        <w:color w:val="auto"/>
        <w:sz w:val="22"/>
      </w:rPr>
    </w:lvl>
    <w:lvl w:ilvl="1">
      <w:start w:val="1"/>
      <w:numFmt w:val="lowerLetter"/>
      <w:lvlText w:val="%2)"/>
      <w:lvlJc w:val="left"/>
      <w:pPr>
        <w:ind w:left="2139" w:hanging="360"/>
      </w:pPr>
      <w:rPr>
        <w:rFonts w:hint="default"/>
        <w:b w:val="0"/>
        <w:i w:val="0"/>
        <w:color w:val="auto"/>
        <w:sz w:val="22"/>
      </w:rPr>
    </w:lvl>
    <w:lvl w:ilvl="2">
      <w:start w:val="1"/>
      <w:numFmt w:val="lowerRoman"/>
      <w:lvlText w:val="%3)"/>
      <w:lvlJc w:val="left"/>
      <w:pPr>
        <w:ind w:left="2499" w:hanging="360"/>
      </w:pPr>
      <w:rPr>
        <w:rFonts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2859" w:hanging="360"/>
      </w:pPr>
      <w:rPr>
        <w:rFonts w:hint="default"/>
        <w:b w:val="0"/>
        <w:i w:val="0"/>
        <w:color w:val="auto"/>
      </w:rPr>
    </w:lvl>
    <w:lvl w:ilvl="4">
      <w:start w:val="1"/>
      <w:numFmt w:val="lowerLetter"/>
      <w:lvlText w:val="(%5)"/>
      <w:lvlJc w:val="left"/>
      <w:pPr>
        <w:ind w:left="3219" w:hanging="360"/>
      </w:pPr>
      <w:rPr>
        <w:rFonts w:hint="default"/>
        <w:b w:val="0"/>
        <w:i w:val="0"/>
        <w:color w:val="auto"/>
      </w:rPr>
    </w:lvl>
    <w:lvl w:ilvl="5">
      <w:start w:val="1"/>
      <w:numFmt w:val="lowerRoman"/>
      <w:lvlText w:val="(%6)"/>
      <w:lvlJc w:val="left"/>
      <w:pPr>
        <w:ind w:left="3579" w:hanging="360"/>
      </w:pPr>
      <w:rPr>
        <w:rFonts w:hint="default"/>
      </w:rPr>
    </w:lvl>
    <w:lvl w:ilvl="6">
      <w:start w:val="1"/>
      <w:numFmt w:val="decimal"/>
      <w:lvlText w:val="%7."/>
      <w:lvlJc w:val="left"/>
      <w:pPr>
        <w:ind w:left="3939" w:hanging="360"/>
      </w:pPr>
      <w:rPr>
        <w:rFonts w:hint="default"/>
      </w:rPr>
    </w:lvl>
    <w:lvl w:ilvl="7">
      <w:start w:val="1"/>
      <w:numFmt w:val="lowerLetter"/>
      <w:lvlText w:val="%8."/>
      <w:lvlJc w:val="left"/>
      <w:pPr>
        <w:ind w:left="4299" w:hanging="360"/>
      </w:pPr>
      <w:rPr>
        <w:rFonts w:hint="default"/>
      </w:rPr>
    </w:lvl>
    <w:lvl w:ilvl="8">
      <w:start w:val="1"/>
      <w:numFmt w:val="lowerRoman"/>
      <w:lvlText w:val="%9."/>
      <w:lvlJc w:val="left"/>
      <w:pPr>
        <w:ind w:left="4659" w:hanging="360"/>
      </w:pPr>
      <w:rPr>
        <w:rFonts w:hint="default"/>
      </w:rPr>
    </w:lvl>
  </w:abstractNum>
  <w:num w:numId="1">
    <w:abstractNumId w:val="13"/>
  </w:num>
  <w:num w:numId="2">
    <w:abstractNumId w:val="5"/>
  </w:num>
  <w:num w:numId="3">
    <w:abstractNumId w:val="15"/>
  </w:num>
  <w:num w:numId="4">
    <w:abstractNumId w:val="27"/>
  </w:num>
  <w:num w:numId="5">
    <w:abstractNumId w:val="8"/>
  </w:num>
  <w:num w:numId="6">
    <w:abstractNumId w:val="14"/>
  </w:num>
  <w:num w:numId="7">
    <w:abstractNumId w:val="9"/>
  </w:num>
  <w:num w:numId="8">
    <w:abstractNumId w:val="10"/>
  </w:num>
  <w:num w:numId="9">
    <w:abstractNumId w:val="4"/>
  </w:num>
  <w:num w:numId="10">
    <w:abstractNumId w:val="18"/>
  </w:num>
  <w:num w:numId="11">
    <w:abstractNumId w:val="23"/>
  </w:num>
  <w:num w:numId="12">
    <w:abstractNumId w:val="18"/>
  </w:num>
  <w:num w:numId="13">
    <w:abstractNumId w:val="24"/>
  </w:num>
  <w:num w:numId="14">
    <w:abstractNumId w:val="3"/>
  </w:num>
  <w:num w:numId="15">
    <w:abstractNumId w:val="26"/>
  </w:num>
  <w:num w:numId="16">
    <w:abstractNumId w:val="20"/>
  </w:num>
  <w:num w:numId="17">
    <w:abstractNumId w:val="8"/>
  </w:num>
  <w:num w:numId="18">
    <w:abstractNumId w:val="8"/>
  </w:num>
  <w:num w:numId="19">
    <w:abstractNumId w:val="10"/>
  </w:num>
  <w:num w:numId="20">
    <w:abstractNumId w:val="1"/>
  </w:num>
  <w:num w:numId="21">
    <w:abstractNumId w:val="10"/>
  </w:num>
  <w:num w:numId="22">
    <w:abstractNumId w:val="10"/>
  </w:num>
  <w:num w:numId="23">
    <w:abstractNumId w:val="10"/>
  </w:num>
  <w:num w:numId="24">
    <w:abstractNumId w:val="10"/>
  </w:num>
  <w:num w:numId="25">
    <w:abstractNumId w:val="10"/>
  </w:num>
  <w:num w:numId="26">
    <w:abstractNumId w:val="18"/>
  </w:num>
  <w:num w:numId="27">
    <w:abstractNumId w:val="22"/>
  </w:num>
  <w:num w:numId="28">
    <w:abstractNumId w:val="2"/>
  </w:num>
  <w:num w:numId="29">
    <w:abstractNumId w:val="0"/>
  </w:num>
  <w:num w:numId="30">
    <w:abstractNumId w:val="32"/>
  </w:num>
  <w:num w:numId="31">
    <w:abstractNumId w:val="31"/>
  </w:num>
  <w:num w:numId="32">
    <w:abstractNumId w:val="31"/>
    <w:lvlOverride w:ilvl="0"/>
    <w:lvlOverride w:ilvl="1"/>
    <w:lvlOverride w:ilvl="2">
      <w:startOverride w:val="1"/>
    </w:lvlOverride>
    <w:lvlOverride w:ilvl="3"/>
    <w:lvlOverride w:ilvl="4"/>
    <w:lvlOverride w:ilvl="5"/>
    <w:lvlOverride w:ilvl="6"/>
    <w:lvlOverride w:ilvl="7"/>
    <w:lvlOverride w:ilvl="8"/>
  </w:num>
  <w:num w:numId="33">
    <w:abstractNumId w:val="21"/>
  </w:num>
  <w:num w:numId="34">
    <w:abstractNumId w:val="9"/>
  </w:num>
  <w:num w:numId="35">
    <w:abstractNumId w:val="9"/>
  </w:num>
  <w:num w:numId="36">
    <w:abstractNumId w:val="19"/>
  </w:num>
  <w:num w:numId="37">
    <w:abstractNumId w:val="34"/>
  </w:num>
  <w:num w:numId="38">
    <w:abstractNumId w:val="18"/>
  </w:num>
  <w:num w:numId="39">
    <w:abstractNumId w:val="11"/>
  </w:num>
  <w:num w:numId="40">
    <w:abstractNumId w:val="28"/>
  </w:num>
  <w:num w:numId="41">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drawingGridHorizontalSpacing w:val="110"/>
  <w:displayHorizontalDrawingGridEvery w:val="2"/>
  <w:characterSpacingControl w:val="doNotCompress"/>
  <w:hdrShapeDefaults>
    <o:shapedefaults v:ext="edit" spidmax="6145"/>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xAppendixName" w:val="Appendix"/>
  </w:docVars>
  <w:rsids>
    <w:rsidRoot w:val="000B0A4E"/>
    <w:rsid w:val="00000194"/>
    <w:rsid w:val="00000333"/>
    <w:rsid w:val="0000085B"/>
    <w:rsid w:val="00000E4C"/>
    <w:rsid w:val="00001322"/>
    <w:rsid w:val="0000290E"/>
    <w:rsid w:val="00002B57"/>
    <w:rsid w:val="000035F6"/>
    <w:rsid w:val="00004219"/>
    <w:rsid w:val="00004810"/>
    <w:rsid w:val="00004A68"/>
    <w:rsid w:val="00004B0D"/>
    <w:rsid w:val="00004E54"/>
    <w:rsid w:val="00005355"/>
    <w:rsid w:val="000058AC"/>
    <w:rsid w:val="0000598E"/>
    <w:rsid w:val="000068B5"/>
    <w:rsid w:val="00006DD3"/>
    <w:rsid w:val="000105A9"/>
    <w:rsid w:val="00010983"/>
    <w:rsid w:val="00011772"/>
    <w:rsid w:val="00011F39"/>
    <w:rsid w:val="000125A5"/>
    <w:rsid w:val="00013FB3"/>
    <w:rsid w:val="00014648"/>
    <w:rsid w:val="00015CD4"/>
    <w:rsid w:val="00016FCB"/>
    <w:rsid w:val="00016FD9"/>
    <w:rsid w:val="0001718D"/>
    <w:rsid w:val="000171D8"/>
    <w:rsid w:val="000173A1"/>
    <w:rsid w:val="000175C2"/>
    <w:rsid w:val="00017E18"/>
    <w:rsid w:val="00020425"/>
    <w:rsid w:val="00020F11"/>
    <w:rsid w:val="00021DDD"/>
    <w:rsid w:val="00021F13"/>
    <w:rsid w:val="00022D9F"/>
    <w:rsid w:val="0002318A"/>
    <w:rsid w:val="00023518"/>
    <w:rsid w:val="00023619"/>
    <w:rsid w:val="00023862"/>
    <w:rsid w:val="00024FBE"/>
    <w:rsid w:val="0002642C"/>
    <w:rsid w:val="0002668E"/>
    <w:rsid w:val="00027450"/>
    <w:rsid w:val="00027933"/>
    <w:rsid w:val="00027C6C"/>
    <w:rsid w:val="00030EA5"/>
    <w:rsid w:val="000313F4"/>
    <w:rsid w:val="00031503"/>
    <w:rsid w:val="00031E24"/>
    <w:rsid w:val="000324A1"/>
    <w:rsid w:val="00032A32"/>
    <w:rsid w:val="00032A91"/>
    <w:rsid w:val="00033348"/>
    <w:rsid w:val="00033625"/>
    <w:rsid w:val="000343D3"/>
    <w:rsid w:val="00035165"/>
    <w:rsid w:val="00036027"/>
    <w:rsid w:val="000362CA"/>
    <w:rsid w:val="00036D45"/>
    <w:rsid w:val="00036DA4"/>
    <w:rsid w:val="000374E9"/>
    <w:rsid w:val="000376B7"/>
    <w:rsid w:val="00040011"/>
    <w:rsid w:val="0004046E"/>
    <w:rsid w:val="00040FD1"/>
    <w:rsid w:val="00041613"/>
    <w:rsid w:val="00041B06"/>
    <w:rsid w:val="00041CE0"/>
    <w:rsid w:val="00041D53"/>
    <w:rsid w:val="00042BA9"/>
    <w:rsid w:val="00042C9F"/>
    <w:rsid w:val="00043B16"/>
    <w:rsid w:val="00043B69"/>
    <w:rsid w:val="00044E09"/>
    <w:rsid w:val="00044F8F"/>
    <w:rsid w:val="00044FDB"/>
    <w:rsid w:val="00045706"/>
    <w:rsid w:val="00045A2E"/>
    <w:rsid w:val="00050692"/>
    <w:rsid w:val="00050713"/>
    <w:rsid w:val="00050AF3"/>
    <w:rsid w:val="00050D60"/>
    <w:rsid w:val="0005109B"/>
    <w:rsid w:val="00051D5C"/>
    <w:rsid w:val="00052454"/>
    <w:rsid w:val="0005252A"/>
    <w:rsid w:val="00052756"/>
    <w:rsid w:val="00052A4B"/>
    <w:rsid w:val="00052CE3"/>
    <w:rsid w:val="0005301E"/>
    <w:rsid w:val="00053701"/>
    <w:rsid w:val="00054DFC"/>
    <w:rsid w:val="000550B9"/>
    <w:rsid w:val="00056D42"/>
    <w:rsid w:val="000574CC"/>
    <w:rsid w:val="00057ACD"/>
    <w:rsid w:val="000608DD"/>
    <w:rsid w:val="00060B55"/>
    <w:rsid w:val="00060B9F"/>
    <w:rsid w:val="00061C90"/>
    <w:rsid w:val="00061E0A"/>
    <w:rsid w:val="0006236E"/>
    <w:rsid w:val="00062F76"/>
    <w:rsid w:val="000634B5"/>
    <w:rsid w:val="000635DA"/>
    <w:rsid w:val="000642D2"/>
    <w:rsid w:val="00064683"/>
    <w:rsid w:val="00065A61"/>
    <w:rsid w:val="00065B1F"/>
    <w:rsid w:val="000665B5"/>
    <w:rsid w:val="00066707"/>
    <w:rsid w:val="00066710"/>
    <w:rsid w:val="00066A4B"/>
    <w:rsid w:val="00067645"/>
    <w:rsid w:val="000679A1"/>
    <w:rsid w:val="00067A55"/>
    <w:rsid w:val="00067E0F"/>
    <w:rsid w:val="00070500"/>
    <w:rsid w:val="000709D4"/>
    <w:rsid w:val="00071A2F"/>
    <w:rsid w:val="00071F31"/>
    <w:rsid w:val="000747C4"/>
    <w:rsid w:val="00074EF6"/>
    <w:rsid w:val="000764DD"/>
    <w:rsid w:val="00076CEC"/>
    <w:rsid w:val="000776FA"/>
    <w:rsid w:val="00077CD3"/>
    <w:rsid w:val="00082C02"/>
    <w:rsid w:val="00082CAC"/>
    <w:rsid w:val="0008387D"/>
    <w:rsid w:val="00084AC1"/>
    <w:rsid w:val="00085196"/>
    <w:rsid w:val="00085314"/>
    <w:rsid w:val="00085393"/>
    <w:rsid w:val="00086400"/>
    <w:rsid w:val="00086C5B"/>
    <w:rsid w:val="0008789E"/>
    <w:rsid w:val="000905D6"/>
    <w:rsid w:val="0009093C"/>
    <w:rsid w:val="00090D68"/>
    <w:rsid w:val="00090E4D"/>
    <w:rsid w:val="00090E6C"/>
    <w:rsid w:val="00091113"/>
    <w:rsid w:val="0009129D"/>
    <w:rsid w:val="00091378"/>
    <w:rsid w:val="00091630"/>
    <w:rsid w:val="00091E67"/>
    <w:rsid w:val="00091FE2"/>
    <w:rsid w:val="00092080"/>
    <w:rsid w:val="00092A3C"/>
    <w:rsid w:val="00092EBC"/>
    <w:rsid w:val="000935BE"/>
    <w:rsid w:val="000948CB"/>
    <w:rsid w:val="00094AE6"/>
    <w:rsid w:val="00095314"/>
    <w:rsid w:val="00095A3A"/>
    <w:rsid w:val="000968BE"/>
    <w:rsid w:val="000969DE"/>
    <w:rsid w:val="00097FC2"/>
    <w:rsid w:val="000A043A"/>
    <w:rsid w:val="000A055A"/>
    <w:rsid w:val="000A0D39"/>
    <w:rsid w:val="000A16D5"/>
    <w:rsid w:val="000A1998"/>
    <w:rsid w:val="000A1A10"/>
    <w:rsid w:val="000A1D36"/>
    <w:rsid w:val="000A1F48"/>
    <w:rsid w:val="000A2792"/>
    <w:rsid w:val="000A2A5F"/>
    <w:rsid w:val="000A3069"/>
    <w:rsid w:val="000A4DDA"/>
    <w:rsid w:val="000A50F3"/>
    <w:rsid w:val="000A561E"/>
    <w:rsid w:val="000A64D2"/>
    <w:rsid w:val="000A712A"/>
    <w:rsid w:val="000B0A4E"/>
    <w:rsid w:val="000B1E14"/>
    <w:rsid w:val="000B2413"/>
    <w:rsid w:val="000B26A4"/>
    <w:rsid w:val="000B35F1"/>
    <w:rsid w:val="000B36A7"/>
    <w:rsid w:val="000B492A"/>
    <w:rsid w:val="000B49AE"/>
    <w:rsid w:val="000B4AC7"/>
    <w:rsid w:val="000B5663"/>
    <w:rsid w:val="000B59CB"/>
    <w:rsid w:val="000B6475"/>
    <w:rsid w:val="000B65EE"/>
    <w:rsid w:val="000B6907"/>
    <w:rsid w:val="000B74F4"/>
    <w:rsid w:val="000B7A66"/>
    <w:rsid w:val="000C036C"/>
    <w:rsid w:val="000C043D"/>
    <w:rsid w:val="000C269E"/>
    <w:rsid w:val="000C28DF"/>
    <w:rsid w:val="000C2BCB"/>
    <w:rsid w:val="000C3390"/>
    <w:rsid w:val="000C3AA0"/>
    <w:rsid w:val="000C3DB5"/>
    <w:rsid w:val="000C48D6"/>
    <w:rsid w:val="000C48E8"/>
    <w:rsid w:val="000C4ED6"/>
    <w:rsid w:val="000C53D3"/>
    <w:rsid w:val="000C62D3"/>
    <w:rsid w:val="000C6942"/>
    <w:rsid w:val="000C7418"/>
    <w:rsid w:val="000C76B8"/>
    <w:rsid w:val="000C7BB4"/>
    <w:rsid w:val="000C7D7D"/>
    <w:rsid w:val="000D01DB"/>
    <w:rsid w:val="000D0232"/>
    <w:rsid w:val="000D024E"/>
    <w:rsid w:val="000D1DA0"/>
    <w:rsid w:val="000D34B6"/>
    <w:rsid w:val="000D36FC"/>
    <w:rsid w:val="000D3881"/>
    <w:rsid w:val="000D3AAE"/>
    <w:rsid w:val="000D3E4A"/>
    <w:rsid w:val="000D4049"/>
    <w:rsid w:val="000D42F2"/>
    <w:rsid w:val="000D4681"/>
    <w:rsid w:val="000D48F8"/>
    <w:rsid w:val="000D5967"/>
    <w:rsid w:val="000D5E74"/>
    <w:rsid w:val="000D66AF"/>
    <w:rsid w:val="000D7072"/>
    <w:rsid w:val="000D73BF"/>
    <w:rsid w:val="000D77B1"/>
    <w:rsid w:val="000E0068"/>
    <w:rsid w:val="000E0497"/>
    <w:rsid w:val="000E0775"/>
    <w:rsid w:val="000E0CB5"/>
    <w:rsid w:val="000E12BD"/>
    <w:rsid w:val="000E1770"/>
    <w:rsid w:val="000E1A47"/>
    <w:rsid w:val="000E2156"/>
    <w:rsid w:val="000E2CDC"/>
    <w:rsid w:val="000E2E35"/>
    <w:rsid w:val="000E2F22"/>
    <w:rsid w:val="000E32D8"/>
    <w:rsid w:val="000E3C49"/>
    <w:rsid w:val="000E4043"/>
    <w:rsid w:val="000E4B5B"/>
    <w:rsid w:val="000E4C86"/>
    <w:rsid w:val="000E53B5"/>
    <w:rsid w:val="000E5431"/>
    <w:rsid w:val="000E5739"/>
    <w:rsid w:val="000E5885"/>
    <w:rsid w:val="000E58F2"/>
    <w:rsid w:val="000E5A00"/>
    <w:rsid w:val="000E64A9"/>
    <w:rsid w:val="000E6DF0"/>
    <w:rsid w:val="000E752F"/>
    <w:rsid w:val="000E76D9"/>
    <w:rsid w:val="000F0B18"/>
    <w:rsid w:val="000F0DAC"/>
    <w:rsid w:val="000F0FCE"/>
    <w:rsid w:val="000F1017"/>
    <w:rsid w:val="000F15C6"/>
    <w:rsid w:val="000F17C0"/>
    <w:rsid w:val="000F1B74"/>
    <w:rsid w:val="000F3362"/>
    <w:rsid w:val="000F47F5"/>
    <w:rsid w:val="000F4910"/>
    <w:rsid w:val="000F4B3D"/>
    <w:rsid w:val="000F4BCB"/>
    <w:rsid w:val="000F4D26"/>
    <w:rsid w:val="000F59FB"/>
    <w:rsid w:val="000F5E55"/>
    <w:rsid w:val="000F5EA7"/>
    <w:rsid w:val="000F62C7"/>
    <w:rsid w:val="000F631C"/>
    <w:rsid w:val="000F6433"/>
    <w:rsid w:val="000F6CF6"/>
    <w:rsid w:val="000F73A9"/>
    <w:rsid w:val="000F7430"/>
    <w:rsid w:val="000F7466"/>
    <w:rsid w:val="000F7619"/>
    <w:rsid w:val="001016DA"/>
    <w:rsid w:val="00101883"/>
    <w:rsid w:val="001027B2"/>
    <w:rsid w:val="0010323E"/>
    <w:rsid w:val="001032AB"/>
    <w:rsid w:val="00103449"/>
    <w:rsid w:val="00103B3A"/>
    <w:rsid w:val="001042E1"/>
    <w:rsid w:val="00105B37"/>
    <w:rsid w:val="001065C1"/>
    <w:rsid w:val="001075A2"/>
    <w:rsid w:val="001075E7"/>
    <w:rsid w:val="00107742"/>
    <w:rsid w:val="00107A04"/>
    <w:rsid w:val="0011087C"/>
    <w:rsid w:val="001109A0"/>
    <w:rsid w:val="00111B94"/>
    <w:rsid w:val="00111BE5"/>
    <w:rsid w:val="00111CAD"/>
    <w:rsid w:val="00111D52"/>
    <w:rsid w:val="001122BF"/>
    <w:rsid w:val="001136AD"/>
    <w:rsid w:val="0011371C"/>
    <w:rsid w:val="00113D59"/>
    <w:rsid w:val="001141EF"/>
    <w:rsid w:val="00114377"/>
    <w:rsid w:val="001147D6"/>
    <w:rsid w:val="00115AD1"/>
    <w:rsid w:val="00115C53"/>
    <w:rsid w:val="00115DD5"/>
    <w:rsid w:val="00116264"/>
    <w:rsid w:val="001162AF"/>
    <w:rsid w:val="001165BB"/>
    <w:rsid w:val="00116683"/>
    <w:rsid w:val="00116B5E"/>
    <w:rsid w:val="00116D89"/>
    <w:rsid w:val="001176AC"/>
    <w:rsid w:val="0011772E"/>
    <w:rsid w:val="001206DB"/>
    <w:rsid w:val="00120706"/>
    <w:rsid w:val="001225B3"/>
    <w:rsid w:val="001230A0"/>
    <w:rsid w:val="00124191"/>
    <w:rsid w:val="00124CCE"/>
    <w:rsid w:val="00124D6D"/>
    <w:rsid w:val="001254E7"/>
    <w:rsid w:val="001255AA"/>
    <w:rsid w:val="001256E6"/>
    <w:rsid w:val="00125D09"/>
    <w:rsid w:val="001272A0"/>
    <w:rsid w:val="00127514"/>
    <w:rsid w:val="0013044E"/>
    <w:rsid w:val="00130604"/>
    <w:rsid w:val="00130BED"/>
    <w:rsid w:val="00131307"/>
    <w:rsid w:val="0013164E"/>
    <w:rsid w:val="001320DB"/>
    <w:rsid w:val="0013250D"/>
    <w:rsid w:val="001325B7"/>
    <w:rsid w:val="00133CEB"/>
    <w:rsid w:val="00135442"/>
    <w:rsid w:val="00135FD6"/>
    <w:rsid w:val="0013632A"/>
    <w:rsid w:val="0013672C"/>
    <w:rsid w:val="00137A08"/>
    <w:rsid w:val="00137A24"/>
    <w:rsid w:val="00137FAA"/>
    <w:rsid w:val="00140819"/>
    <w:rsid w:val="0014097B"/>
    <w:rsid w:val="00142351"/>
    <w:rsid w:val="00143946"/>
    <w:rsid w:val="0014403A"/>
    <w:rsid w:val="00146277"/>
    <w:rsid w:val="001466B3"/>
    <w:rsid w:val="0014683D"/>
    <w:rsid w:val="0014693E"/>
    <w:rsid w:val="00146947"/>
    <w:rsid w:val="00147079"/>
    <w:rsid w:val="0014710F"/>
    <w:rsid w:val="0014722D"/>
    <w:rsid w:val="00147AC8"/>
    <w:rsid w:val="001500D7"/>
    <w:rsid w:val="00150164"/>
    <w:rsid w:val="00150368"/>
    <w:rsid w:val="00150656"/>
    <w:rsid w:val="00150DF5"/>
    <w:rsid w:val="00151633"/>
    <w:rsid w:val="001516A1"/>
    <w:rsid w:val="001516EC"/>
    <w:rsid w:val="00151DA3"/>
    <w:rsid w:val="001522F8"/>
    <w:rsid w:val="001536B2"/>
    <w:rsid w:val="00153B23"/>
    <w:rsid w:val="00154B54"/>
    <w:rsid w:val="00155B41"/>
    <w:rsid w:val="00155D28"/>
    <w:rsid w:val="001571C1"/>
    <w:rsid w:val="001574A5"/>
    <w:rsid w:val="00157D57"/>
    <w:rsid w:val="00157D72"/>
    <w:rsid w:val="00157F04"/>
    <w:rsid w:val="001620E2"/>
    <w:rsid w:val="00162508"/>
    <w:rsid w:val="00162678"/>
    <w:rsid w:val="0016271B"/>
    <w:rsid w:val="00162997"/>
    <w:rsid w:val="00163259"/>
    <w:rsid w:val="0016371D"/>
    <w:rsid w:val="00164716"/>
    <w:rsid w:val="00164D13"/>
    <w:rsid w:val="00164E25"/>
    <w:rsid w:val="00164E55"/>
    <w:rsid w:val="00165E30"/>
    <w:rsid w:val="00166097"/>
    <w:rsid w:val="00166229"/>
    <w:rsid w:val="0016645E"/>
    <w:rsid w:val="001664D3"/>
    <w:rsid w:val="00166E6D"/>
    <w:rsid w:val="00170B5F"/>
    <w:rsid w:val="00171552"/>
    <w:rsid w:val="00171873"/>
    <w:rsid w:val="00171D16"/>
    <w:rsid w:val="0017251D"/>
    <w:rsid w:val="001726D4"/>
    <w:rsid w:val="00172B6D"/>
    <w:rsid w:val="00173326"/>
    <w:rsid w:val="0017370E"/>
    <w:rsid w:val="00173F1F"/>
    <w:rsid w:val="001750A0"/>
    <w:rsid w:val="001769C9"/>
    <w:rsid w:val="0018007A"/>
    <w:rsid w:val="00181EA9"/>
    <w:rsid w:val="001827CC"/>
    <w:rsid w:val="00182E10"/>
    <w:rsid w:val="0018347E"/>
    <w:rsid w:val="0018366A"/>
    <w:rsid w:val="00183780"/>
    <w:rsid w:val="0018426D"/>
    <w:rsid w:val="00184490"/>
    <w:rsid w:val="001844C6"/>
    <w:rsid w:val="001845EF"/>
    <w:rsid w:val="00184AA3"/>
    <w:rsid w:val="00184B22"/>
    <w:rsid w:val="00184C7E"/>
    <w:rsid w:val="001852F4"/>
    <w:rsid w:val="00185303"/>
    <w:rsid w:val="00185868"/>
    <w:rsid w:val="0018651F"/>
    <w:rsid w:val="00186661"/>
    <w:rsid w:val="001874D7"/>
    <w:rsid w:val="00187EBF"/>
    <w:rsid w:val="001903F1"/>
    <w:rsid w:val="0019042B"/>
    <w:rsid w:val="00190B97"/>
    <w:rsid w:val="0019286D"/>
    <w:rsid w:val="00192BFC"/>
    <w:rsid w:val="001933E1"/>
    <w:rsid w:val="0019490A"/>
    <w:rsid w:val="00194B60"/>
    <w:rsid w:val="00194D51"/>
    <w:rsid w:val="0019530F"/>
    <w:rsid w:val="00195D19"/>
    <w:rsid w:val="001970F0"/>
    <w:rsid w:val="00197B79"/>
    <w:rsid w:val="001A01A2"/>
    <w:rsid w:val="001A0A05"/>
    <w:rsid w:val="001A0BA7"/>
    <w:rsid w:val="001A0F9C"/>
    <w:rsid w:val="001A229B"/>
    <w:rsid w:val="001A22B7"/>
    <w:rsid w:val="001A2DE8"/>
    <w:rsid w:val="001A3352"/>
    <w:rsid w:val="001A3420"/>
    <w:rsid w:val="001A3695"/>
    <w:rsid w:val="001A41F2"/>
    <w:rsid w:val="001A443F"/>
    <w:rsid w:val="001A4EBF"/>
    <w:rsid w:val="001A5D57"/>
    <w:rsid w:val="001A6640"/>
    <w:rsid w:val="001A6E48"/>
    <w:rsid w:val="001A75BA"/>
    <w:rsid w:val="001B07A7"/>
    <w:rsid w:val="001B07E8"/>
    <w:rsid w:val="001B0E44"/>
    <w:rsid w:val="001B10E7"/>
    <w:rsid w:val="001B17B0"/>
    <w:rsid w:val="001B1992"/>
    <w:rsid w:val="001B1B2B"/>
    <w:rsid w:val="001B2323"/>
    <w:rsid w:val="001B2F9F"/>
    <w:rsid w:val="001B31DC"/>
    <w:rsid w:val="001B32B4"/>
    <w:rsid w:val="001B3C66"/>
    <w:rsid w:val="001B3FE6"/>
    <w:rsid w:val="001B40A3"/>
    <w:rsid w:val="001B41FC"/>
    <w:rsid w:val="001B453A"/>
    <w:rsid w:val="001B53D2"/>
    <w:rsid w:val="001B5836"/>
    <w:rsid w:val="001B5D15"/>
    <w:rsid w:val="001B5F84"/>
    <w:rsid w:val="001B6919"/>
    <w:rsid w:val="001B6D41"/>
    <w:rsid w:val="001B6E81"/>
    <w:rsid w:val="001B7DD8"/>
    <w:rsid w:val="001C145F"/>
    <w:rsid w:val="001C1CFF"/>
    <w:rsid w:val="001C248B"/>
    <w:rsid w:val="001C3916"/>
    <w:rsid w:val="001C3B0B"/>
    <w:rsid w:val="001C48E5"/>
    <w:rsid w:val="001C4EAC"/>
    <w:rsid w:val="001C53BB"/>
    <w:rsid w:val="001C6C42"/>
    <w:rsid w:val="001C77CB"/>
    <w:rsid w:val="001C7FC3"/>
    <w:rsid w:val="001D01A9"/>
    <w:rsid w:val="001D0C43"/>
    <w:rsid w:val="001D299E"/>
    <w:rsid w:val="001D3169"/>
    <w:rsid w:val="001D3500"/>
    <w:rsid w:val="001D39F8"/>
    <w:rsid w:val="001D3B02"/>
    <w:rsid w:val="001D3CB8"/>
    <w:rsid w:val="001D45BC"/>
    <w:rsid w:val="001D4B7A"/>
    <w:rsid w:val="001D4F12"/>
    <w:rsid w:val="001D57E1"/>
    <w:rsid w:val="001D5B01"/>
    <w:rsid w:val="001D6234"/>
    <w:rsid w:val="001D63D0"/>
    <w:rsid w:val="001D6E4A"/>
    <w:rsid w:val="001D7362"/>
    <w:rsid w:val="001D73C3"/>
    <w:rsid w:val="001D7831"/>
    <w:rsid w:val="001D79C1"/>
    <w:rsid w:val="001D7B5F"/>
    <w:rsid w:val="001D7D07"/>
    <w:rsid w:val="001E04BC"/>
    <w:rsid w:val="001E0C23"/>
    <w:rsid w:val="001E2259"/>
    <w:rsid w:val="001E2412"/>
    <w:rsid w:val="001E243D"/>
    <w:rsid w:val="001E2E95"/>
    <w:rsid w:val="001E3E6C"/>
    <w:rsid w:val="001E477D"/>
    <w:rsid w:val="001E524C"/>
    <w:rsid w:val="001E5BD6"/>
    <w:rsid w:val="001E6421"/>
    <w:rsid w:val="001E6674"/>
    <w:rsid w:val="001F0810"/>
    <w:rsid w:val="001F0E3C"/>
    <w:rsid w:val="001F186D"/>
    <w:rsid w:val="001F1C13"/>
    <w:rsid w:val="001F204F"/>
    <w:rsid w:val="001F28F7"/>
    <w:rsid w:val="001F2D5B"/>
    <w:rsid w:val="001F3AE9"/>
    <w:rsid w:val="001F44D3"/>
    <w:rsid w:val="001F5040"/>
    <w:rsid w:val="001F63C2"/>
    <w:rsid w:val="001F6A93"/>
    <w:rsid w:val="001F7290"/>
    <w:rsid w:val="001F797E"/>
    <w:rsid w:val="001F79F3"/>
    <w:rsid w:val="002004FD"/>
    <w:rsid w:val="00201DE9"/>
    <w:rsid w:val="00202C1A"/>
    <w:rsid w:val="00202D57"/>
    <w:rsid w:val="0020374C"/>
    <w:rsid w:val="00204594"/>
    <w:rsid w:val="00204710"/>
    <w:rsid w:val="002048E2"/>
    <w:rsid w:val="00204C97"/>
    <w:rsid w:val="00205D13"/>
    <w:rsid w:val="0020602F"/>
    <w:rsid w:val="00206B1D"/>
    <w:rsid w:val="002070C8"/>
    <w:rsid w:val="002071C2"/>
    <w:rsid w:val="00207596"/>
    <w:rsid w:val="002077EF"/>
    <w:rsid w:val="00210064"/>
    <w:rsid w:val="00211215"/>
    <w:rsid w:val="002119EB"/>
    <w:rsid w:val="00211B79"/>
    <w:rsid w:val="0021323E"/>
    <w:rsid w:val="00213319"/>
    <w:rsid w:val="0021348B"/>
    <w:rsid w:val="0021443A"/>
    <w:rsid w:val="002146AD"/>
    <w:rsid w:val="00214B0D"/>
    <w:rsid w:val="00214F01"/>
    <w:rsid w:val="00215567"/>
    <w:rsid w:val="00215C18"/>
    <w:rsid w:val="00216136"/>
    <w:rsid w:val="00216298"/>
    <w:rsid w:val="00216466"/>
    <w:rsid w:val="00216CEE"/>
    <w:rsid w:val="002171E0"/>
    <w:rsid w:val="00217ACA"/>
    <w:rsid w:val="00220698"/>
    <w:rsid w:val="00220A07"/>
    <w:rsid w:val="00221952"/>
    <w:rsid w:val="00222C12"/>
    <w:rsid w:val="00223245"/>
    <w:rsid w:val="0022372B"/>
    <w:rsid w:val="002239CD"/>
    <w:rsid w:val="00223CA0"/>
    <w:rsid w:val="002245BF"/>
    <w:rsid w:val="00224671"/>
    <w:rsid w:val="00224A4D"/>
    <w:rsid w:val="00224DF7"/>
    <w:rsid w:val="00225089"/>
    <w:rsid w:val="0022620F"/>
    <w:rsid w:val="00226225"/>
    <w:rsid w:val="0022637A"/>
    <w:rsid w:val="002263B7"/>
    <w:rsid w:val="00226459"/>
    <w:rsid w:val="00230925"/>
    <w:rsid w:val="002319CF"/>
    <w:rsid w:val="00232D3E"/>
    <w:rsid w:val="00232FA5"/>
    <w:rsid w:val="00233125"/>
    <w:rsid w:val="002331AE"/>
    <w:rsid w:val="00233319"/>
    <w:rsid w:val="00233571"/>
    <w:rsid w:val="002337E8"/>
    <w:rsid w:val="00235BC7"/>
    <w:rsid w:val="00235C4B"/>
    <w:rsid w:val="002360FC"/>
    <w:rsid w:val="0023622D"/>
    <w:rsid w:val="0023624D"/>
    <w:rsid w:val="002363CC"/>
    <w:rsid w:val="00237486"/>
    <w:rsid w:val="00240965"/>
    <w:rsid w:val="00240AF3"/>
    <w:rsid w:val="00240D37"/>
    <w:rsid w:val="00241092"/>
    <w:rsid w:val="00241729"/>
    <w:rsid w:val="00241D64"/>
    <w:rsid w:val="00242040"/>
    <w:rsid w:val="00243399"/>
    <w:rsid w:val="002436F7"/>
    <w:rsid w:val="00243EE2"/>
    <w:rsid w:val="0024465D"/>
    <w:rsid w:val="002448CB"/>
    <w:rsid w:val="00244AE8"/>
    <w:rsid w:val="0024643C"/>
    <w:rsid w:val="002464C4"/>
    <w:rsid w:val="002471B4"/>
    <w:rsid w:val="00247DAF"/>
    <w:rsid w:val="00247DB2"/>
    <w:rsid w:val="00251830"/>
    <w:rsid w:val="00251BAB"/>
    <w:rsid w:val="00252DBE"/>
    <w:rsid w:val="0025340F"/>
    <w:rsid w:val="002541C8"/>
    <w:rsid w:val="002545D2"/>
    <w:rsid w:val="00255443"/>
    <w:rsid w:val="00255E9A"/>
    <w:rsid w:val="0025626D"/>
    <w:rsid w:val="00256560"/>
    <w:rsid w:val="00256624"/>
    <w:rsid w:val="00256DDA"/>
    <w:rsid w:val="00257B24"/>
    <w:rsid w:val="00257F30"/>
    <w:rsid w:val="002600AD"/>
    <w:rsid w:val="00260896"/>
    <w:rsid w:val="00260CB3"/>
    <w:rsid w:val="00260FF7"/>
    <w:rsid w:val="002620C0"/>
    <w:rsid w:val="00262ACE"/>
    <w:rsid w:val="00263F0F"/>
    <w:rsid w:val="002647C1"/>
    <w:rsid w:val="00264E21"/>
    <w:rsid w:val="00265270"/>
    <w:rsid w:val="00265A7A"/>
    <w:rsid w:val="00265B4D"/>
    <w:rsid w:val="00265BC4"/>
    <w:rsid w:val="00265C0D"/>
    <w:rsid w:val="00266019"/>
    <w:rsid w:val="0026655E"/>
    <w:rsid w:val="00266ACC"/>
    <w:rsid w:val="00266D7C"/>
    <w:rsid w:val="0027144D"/>
    <w:rsid w:val="002714C2"/>
    <w:rsid w:val="0027173C"/>
    <w:rsid w:val="00271DE1"/>
    <w:rsid w:val="0027240B"/>
    <w:rsid w:val="002746B4"/>
    <w:rsid w:val="00274DED"/>
    <w:rsid w:val="0027536C"/>
    <w:rsid w:val="0027593C"/>
    <w:rsid w:val="00276040"/>
    <w:rsid w:val="002760EF"/>
    <w:rsid w:val="00276A82"/>
    <w:rsid w:val="0027759D"/>
    <w:rsid w:val="002778AD"/>
    <w:rsid w:val="00280745"/>
    <w:rsid w:val="0028076D"/>
    <w:rsid w:val="002823A6"/>
    <w:rsid w:val="00283444"/>
    <w:rsid w:val="00283518"/>
    <w:rsid w:val="0028351E"/>
    <w:rsid w:val="002839D3"/>
    <w:rsid w:val="00283A30"/>
    <w:rsid w:val="00283EA9"/>
    <w:rsid w:val="0028403A"/>
    <w:rsid w:val="00284A0E"/>
    <w:rsid w:val="00285129"/>
    <w:rsid w:val="002857D1"/>
    <w:rsid w:val="00285BBB"/>
    <w:rsid w:val="00287018"/>
    <w:rsid w:val="00290957"/>
    <w:rsid w:val="00290C34"/>
    <w:rsid w:val="00292826"/>
    <w:rsid w:val="00292E8C"/>
    <w:rsid w:val="0029372A"/>
    <w:rsid w:val="00293CCF"/>
    <w:rsid w:val="0029403A"/>
    <w:rsid w:val="00294804"/>
    <w:rsid w:val="00294DCA"/>
    <w:rsid w:val="00295115"/>
    <w:rsid w:val="002953E2"/>
    <w:rsid w:val="00295E80"/>
    <w:rsid w:val="00296A7A"/>
    <w:rsid w:val="00296D8F"/>
    <w:rsid w:val="00297C2D"/>
    <w:rsid w:val="002A0A44"/>
    <w:rsid w:val="002A0C1C"/>
    <w:rsid w:val="002A0CD6"/>
    <w:rsid w:val="002A11B8"/>
    <w:rsid w:val="002A120F"/>
    <w:rsid w:val="002A1613"/>
    <w:rsid w:val="002A175E"/>
    <w:rsid w:val="002A311D"/>
    <w:rsid w:val="002A34B7"/>
    <w:rsid w:val="002A3B81"/>
    <w:rsid w:val="002A440A"/>
    <w:rsid w:val="002A466D"/>
    <w:rsid w:val="002A5514"/>
    <w:rsid w:val="002A57C6"/>
    <w:rsid w:val="002A6205"/>
    <w:rsid w:val="002A662F"/>
    <w:rsid w:val="002A70F0"/>
    <w:rsid w:val="002A7D81"/>
    <w:rsid w:val="002B118F"/>
    <w:rsid w:val="002B1D6A"/>
    <w:rsid w:val="002B1DBC"/>
    <w:rsid w:val="002B23F8"/>
    <w:rsid w:val="002B2EB4"/>
    <w:rsid w:val="002B373F"/>
    <w:rsid w:val="002B3E5D"/>
    <w:rsid w:val="002B4A7C"/>
    <w:rsid w:val="002B4D58"/>
    <w:rsid w:val="002B4F61"/>
    <w:rsid w:val="002B4F97"/>
    <w:rsid w:val="002B5140"/>
    <w:rsid w:val="002B5F0A"/>
    <w:rsid w:val="002B60CE"/>
    <w:rsid w:val="002B64C9"/>
    <w:rsid w:val="002B6B22"/>
    <w:rsid w:val="002B6D00"/>
    <w:rsid w:val="002B71E0"/>
    <w:rsid w:val="002B742D"/>
    <w:rsid w:val="002B74CA"/>
    <w:rsid w:val="002B7B5A"/>
    <w:rsid w:val="002B7D2E"/>
    <w:rsid w:val="002B7F78"/>
    <w:rsid w:val="002C02B3"/>
    <w:rsid w:val="002C0D03"/>
    <w:rsid w:val="002C0EDF"/>
    <w:rsid w:val="002C1DC3"/>
    <w:rsid w:val="002C1F66"/>
    <w:rsid w:val="002C37A5"/>
    <w:rsid w:val="002C3AB1"/>
    <w:rsid w:val="002C3B36"/>
    <w:rsid w:val="002C40E2"/>
    <w:rsid w:val="002C4185"/>
    <w:rsid w:val="002C4B01"/>
    <w:rsid w:val="002C4EE5"/>
    <w:rsid w:val="002C4F15"/>
    <w:rsid w:val="002C6BC8"/>
    <w:rsid w:val="002C6C45"/>
    <w:rsid w:val="002C6CA2"/>
    <w:rsid w:val="002C7466"/>
    <w:rsid w:val="002C78DD"/>
    <w:rsid w:val="002C7E26"/>
    <w:rsid w:val="002D040A"/>
    <w:rsid w:val="002D079E"/>
    <w:rsid w:val="002D12E0"/>
    <w:rsid w:val="002D21C9"/>
    <w:rsid w:val="002D2577"/>
    <w:rsid w:val="002D2A80"/>
    <w:rsid w:val="002D2CBE"/>
    <w:rsid w:val="002D2D1D"/>
    <w:rsid w:val="002D2D90"/>
    <w:rsid w:val="002D2F00"/>
    <w:rsid w:val="002D3177"/>
    <w:rsid w:val="002D38A2"/>
    <w:rsid w:val="002D4010"/>
    <w:rsid w:val="002D5425"/>
    <w:rsid w:val="002D678C"/>
    <w:rsid w:val="002D697F"/>
    <w:rsid w:val="002D6A7C"/>
    <w:rsid w:val="002D6AAE"/>
    <w:rsid w:val="002D6B21"/>
    <w:rsid w:val="002D72B3"/>
    <w:rsid w:val="002D7AA5"/>
    <w:rsid w:val="002D7E94"/>
    <w:rsid w:val="002E00DA"/>
    <w:rsid w:val="002E0889"/>
    <w:rsid w:val="002E0ED2"/>
    <w:rsid w:val="002E1949"/>
    <w:rsid w:val="002E1DF4"/>
    <w:rsid w:val="002E22C2"/>
    <w:rsid w:val="002E2C77"/>
    <w:rsid w:val="002E2EA6"/>
    <w:rsid w:val="002E3000"/>
    <w:rsid w:val="002E32BD"/>
    <w:rsid w:val="002E34C5"/>
    <w:rsid w:val="002E368F"/>
    <w:rsid w:val="002E3829"/>
    <w:rsid w:val="002E3DA4"/>
    <w:rsid w:val="002E3F4B"/>
    <w:rsid w:val="002E4491"/>
    <w:rsid w:val="002E44C4"/>
    <w:rsid w:val="002E4E4D"/>
    <w:rsid w:val="002E5D90"/>
    <w:rsid w:val="002E5E0C"/>
    <w:rsid w:val="002E60A8"/>
    <w:rsid w:val="002E6506"/>
    <w:rsid w:val="002E6528"/>
    <w:rsid w:val="002E6550"/>
    <w:rsid w:val="002E70BF"/>
    <w:rsid w:val="002E716F"/>
    <w:rsid w:val="002E72DB"/>
    <w:rsid w:val="002E739D"/>
    <w:rsid w:val="002E75A8"/>
    <w:rsid w:val="002E7AA3"/>
    <w:rsid w:val="002E7CD2"/>
    <w:rsid w:val="002F01F1"/>
    <w:rsid w:val="002F0F9F"/>
    <w:rsid w:val="002F2D2E"/>
    <w:rsid w:val="002F2ECF"/>
    <w:rsid w:val="002F3731"/>
    <w:rsid w:val="002F38DA"/>
    <w:rsid w:val="002F495B"/>
    <w:rsid w:val="002F4E15"/>
    <w:rsid w:val="002F5BC8"/>
    <w:rsid w:val="002F680A"/>
    <w:rsid w:val="002F74EF"/>
    <w:rsid w:val="00300022"/>
    <w:rsid w:val="0030139E"/>
    <w:rsid w:val="00301484"/>
    <w:rsid w:val="00301647"/>
    <w:rsid w:val="003019FB"/>
    <w:rsid w:val="0030259D"/>
    <w:rsid w:val="0030427C"/>
    <w:rsid w:val="00305BB8"/>
    <w:rsid w:val="003062EF"/>
    <w:rsid w:val="00306892"/>
    <w:rsid w:val="00306BBB"/>
    <w:rsid w:val="00306F48"/>
    <w:rsid w:val="00307143"/>
    <w:rsid w:val="00307881"/>
    <w:rsid w:val="00310890"/>
    <w:rsid w:val="00310968"/>
    <w:rsid w:val="00310B00"/>
    <w:rsid w:val="00310B88"/>
    <w:rsid w:val="00310B91"/>
    <w:rsid w:val="00311788"/>
    <w:rsid w:val="0031211F"/>
    <w:rsid w:val="00313209"/>
    <w:rsid w:val="0031429A"/>
    <w:rsid w:val="0031470D"/>
    <w:rsid w:val="00315198"/>
    <w:rsid w:val="003154DB"/>
    <w:rsid w:val="003165F4"/>
    <w:rsid w:val="00316883"/>
    <w:rsid w:val="003172A7"/>
    <w:rsid w:val="00317665"/>
    <w:rsid w:val="00317857"/>
    <w:rsid w:val="00317B7C"/>
    <w:rsid w:val="00317D2D"/>
    <w:rsid w:val="003201BC"/>
    <w:rsid w:val="00321B2F"/>
    <w:rsid w:val="00323279"/>
    <w:rsid w:val="003233DC"/>
    <w:rsid w:val="003237B6"/>
    <w:rsid w:val="00323CC0"/>
    <w:rsid w:val="00323F19"/>
    <w:rsid w:val="003241BE"/>
    <w:rsid w:val="00325018"/>
    <w:rsid w:val="00325069"/>
    <w:rsid w:val="00325136"/>
    <w:rsid w:val="003255DA"/>
    <w:rsid w:val="00325E0A"/>
    <w:rsid w:val="00326432"/>
    <w:rsid w:val="00326B30"/>
    <w:rsid w:val="00326E64"/>
    <w:rsid w:val="003277C5"/>
    <w:rsid w:val="00327C8E"/>
    <w:rsid w:val="003301EC"/>
    <w:rsid w:val="003312AE"/>
    <w:rsid w:val="00331625"/>
    <w:rsid w:val="00331922"/>
    <w:rsid w:val="00331931"/>
    <w:rsid w:val="00331DB4"/>
    <w:rsid w:val="00332132"/>
    <w:rsid w:val="00332B93"/>
    <w:rsid w:val="003337C6"/>
    <w:rsid w:val="00333A7B"/>
    <w:rsid w:val="00333DA0"/>
    <w:rsid w:val="003347F7"/>
    <w:rsid w:val="00334D2D"/>
    <w:rsid w:val="003355A5"/>
    <w:rsid w:val="00335F33"/>
    <w:rsid w:val="00336596"/>
    <w:rsid w:val="00336D45"/>
    <w:rsid w:val="00337017"/>
    <w:rsid w:val="0033761F"/>
    <w:rsid w:val="00337DDB"/>
    <w:rsid w:val="00340488"/>
    <w:rsid w:val="00340CE6"/>
    <w:rsid w:val="00340E07"/>
    <w:rsid w:val="00340F88"/>
    <w:rsid w:val="00341D4C"/>
    <w:rsid w:val="003425C3"/>
    <w:rsid w:val="00343100"/>
    <w:rsid w:val="00343D29"/>
    <w:rsid w:val="00343F93"/>
    <w:rsid w:val="0034455C"/>
    <w:rsid w:val="00344DAB"/>
    <w:rsid w:val="003457C5"/>
    <w:rsid w:val="00346ADF"/>
    <w:rsid w:val="00347812"/>
    <w:rsid w:val="00347E5F"/>
    <w:rsid w:val="003501BE"/>
    <w:rsid w:val="003505C4"/>
    <w:rsid w:val="00350E40"/>
    <w:rsid w:val="003511E3"/>
    <w:rsid w:val="0035206E"/>
    <w:rsid w:val="00352841"/>
    <w:rsid w:val="00353FA1"/>
    <w:rsid w:val="003544A7"/>
    <w:rsid w:val="003547A1"/>
    <w:rsid w:val="0035563B"/>
    <w:rsid w:val="00356162"/>
    <w:rsid w:val="00356A63"/>
    <w:rsid w:val="003576A1"/>
    <w:rsid w:val="00361ECA"/>
    <w:rsid w:val="00362583"/>
    <w:rsid w:val="0036258B"/>
    <w:rsid w:val="00362B0F"/>
    <w:rsid w:val="00362BEA"/>
    <w:rsid w:val="00362D62"/>
    <w:rsid w:val="00363B33"/>
    <w:rsid w:val="00365367"/>
    <w:rsid w:val="003657BB"/>
    <w:rsid w:val="00365C71"/>
    <w:rsid w:val="00366E1B"/>
    <w:rsid w:val="00370000"/>
    <w:rsid w:val="00370341"/>
    <w:rsid w:val="00370A18"/>
    <w:rsid w:val="00371E13"/>
    <w:rsid w:val="003720F7"/>
    <w:rsid w:val="003721CD"/>
    <w:rsid w:val="0037233C"/>
    <w:rsid w:val="00372CAF"/>
    <w:rsid w:val="00373C41"/>
    <w:rsid w:val="003756A1"/>
    <w:rsid w:val="003756C4"/>
    <w:rsid w:val="00375CCA"/>
    <w:rsid w:val="00375D48"/>
    <w:rsid w:val="003763C4"/>
    <w:rsid w:val="00376458"/>
    <w:rsid w:val="0037738A"/>
    <w:rsid w:val="003777C0"/>
    <w:rsid w:val="00380138"/>
    <w:rsid w:val="003803CA"/>
    <w:rsid w:val="00380B3B"/>
    <w:rsid w:val="0038160D"/>
    <w:rsid w:val="00382121"/>
    <w:rsid w:val="003824AA"/>
    <w:rsid w:val="003837E3"/>
    <w:rsid w:val="00383E80"/>
    <w:rsid w:val="003842C5"/>
    <w:rsid w:val="00384E82"/>
    <w:rsid w:val="003853A3"/>
    <w:rsid w:val="00386110"/>
    <w:rsid w:val="003863CD"/>
    <w:rsid w:val="00386AAD"/>
    <w:rsid w:val="0038770D"/>
    <w:rsid w:val="00387811"/>
    <w:rsid w:val="003879E7"/>
    <w:rsid w:val="00391071"/>
    <w:rsid w:val="003913A4"/>
    <w:rsid w:val="003917B2"/>
    <w:rsid w:val="00391E23"/>
    <w:rsid w:val="003920BA"/>
    <w:rsid w:val="00392534"/>
    <w:rsid w:val="00394641"/>
    <w:rsid w:val="0039477E"/>
    <w:rsid w:val="0039484E"/>
    <w:rsid w:val="00395439"/>
    <w:rsid w:val="003960ED"/>
    <w:rsid w:val="003972DF"/>
    <w:rsid w:val="003976B4"/>
    <w:rsid w:val="00397B30"/>
    <w:rsid w:val="00397FA2"/>
    <w:rsid w:val="003A0279"/>
    <w:rsid w:val="003A03C3"/>
    <w:rsid w:val="003A076D"/>
    <w:rsid w:val="003A0C77"/>
    <w:rsid w:val="003A1806"/>
    <w:rsid w:val="003A270F"/>
    <w:rsid w:val="003A3A56"/>
    <w:rsid w:val="003A416A"/>
    <w:rsid w:val="003A4633"/>
    <w:rsid w:val="003A4666"/>
    <w:rsid w:val="003A4FE8"/>
    <w:rsid w:val="003A59A6"/>
    <w:rsid w:val="003A5D86"/>
    <w:rsid w:val="003A615C"/>
    <w:rsid w:val="003A690E"/>
    <w:rsid w:val="003A6993"/>
    <w:rsid w:val="003A6B52"/>
    <w:rsid w:val="003A7785"/>
    <w:rsid w:val="003A7E6D"/>
    <w:rsid w:val="003B06D8"/>
    <w:rsid w:val="003B10F6"/>
    <w:rsid w:val="003B159D"/>
    <w:rsid w:val="003B18A0"/>
    <w:rsid w:val="003B1932"/>
    <w:rsid w:val="003B1D62"/>
    <w:rsid w:val="003B2C65"/>
    <w:rsid w:val="003B2E0D"/>
    <w:rsid w:val="003B32D3"/>
    <w:rsid w:val="003B3812"/>
    <w:rsid w:val="003B3BAA"/>
    <w:rsid w:val="003B3DAA"/>
    <w:rsid w:val="003B442D"/>
    <w:rsid w:val="003B46F8"/>
    <w:rsid w:val="003B4729"/>
    <w:rsid w:val="003B5342"/>
    <w:rsid w:val="003B53BD"/>
    <w:rsid w:val="003B6692"/>
    <w:rsid w:val="003B6B57"/>
    <w:rsid w:val="003B6C0C"/>
    <w:rsid w:val="003B6CE2"/>
    <w:rsid w:val="003B74BE"/>
    <w:rsid w:val="003C0BC8"/>
    <w:rsid w:val="003C25F9"/>
    <w:rsid w:val="003C2C0D"/>
    <w:rsid w:val="003C2C66"/>
    <w:rsid w:val="003C300B"/>
    <w:rsid w:val="003C3B57"/>
    <w:rsid w:val="003C3C7D"/>
    <w:rsid w:val="003C3FC9"/>
    <w:rsid w:val="003C40B1"/>
    <w:rsid w:val="003C567D"/>
    <w:rsid w:val="003C58D9"/>
    <w:rsid w:val="003C61B6"/>
    <w:rsid w:val="003C6C8E"/>
    <w:rsid w:val="003C757A"/>
    <w:rsid w:val="003C7DAD"/>
    <w:rsid w:val="003D03E3"/>
    <w:rsid w:val="003D0F60"/>
    <w:rsid w:val="003D13D0"/>
    <w:rsid w:val="003D1B61"/>
    <w:rsid w:val="003D1B6E"/>
    <w:rsid w:val="003D1B95"/>
    <w:rsid w:val="003D2562"/>
    <w:rsid w:val="003D2AD2"/>
    <w:rsid w:val="003D2B02"/>
    <w:rsid w:val="003D306C"/>
    <w:rsid w:val="003D3CF5"/>
    <w:rsid w:val="003D4747"/>
    <w:rsid w:val="003D48B7"/>
    <w:rsid w:val="003D48F3"/>
    <w:rsid w:val="003D4DAC"/>
    <w:rsid w:val="003D4E10"/>
    <w:rsid w:val="003D55E4"/>
    <w:rsid w:val="003D62AC"/>
    <w:rsid w:val="003D70B4"/>
    <w:rsid w:val="003D70C8"/>
    <w:rsid w:val="003D74F7"/>
    <w:rsid w:val="003D759B"/>
    <w:rsid w:val="003D784C"/>
    <w:rsid w:val="003E1BAD"/>
    <w:rsid w:val="003E1D34"/>
    <w:rsid w:val="003E27BA"/>
    <w:rsid w:val="003E329B"/>
    <w:rsid w:val="003E376A"/>
    <w:rsid w:val="003E41DD"/>
    <w:rsid w:val="003E4616"/>
    <w:rsid w:val="003E46F0"/>
    <w:rsid w:val="003E4715"/>
    <w:rsid w:val="003E4809"/>
    <w:rsid w:val="003E5011"/>
    <w:rsid w:val="003E51CD"/>
    <w:rsid w:val="003E549F"/>
    <w:rsid w:val="003E55A4"/>
    <w:rsid w:val="003E578E"/>
    <w:rsid w:val="003E5F52"/>
    <w:rsid w:val="003E629A"/>
    <w:rsid w:val="003E667A"/>
    <w:rsid w:val="003F0473"/>
    <w:rsid w:val="003F04C9"/>
    <w:rsid w:val="003F0C6C"/>
    <w:rsid w:val="003F0D00"/>
    <w:rsid w:val="003F1271"/>
    <w:rsid w:val="003F176B"/>
    <w:rsid w:val="003F1A32"/>
    <w:rsid w:val="003F1B96"/>
    <w:rsid w:val="003F1FE5"/>
    <w:rsid w:val="003F38A2"/>
    <w:rsid w:val="003F49AD"/>
    <w:rsid w:val="003F4E97"/>
    <w:rsid w:val="003F5238"/>
    <w:rsid w:val="003F56D8"/>
    <w:rsid w:val="003F63ED"/>
    <w:rsid w:val="003F6F63"/>
    <w:rsid w:val="003F705B"/>
    <w:rsid w:val="003F73A2"/>
    <w:rsid w:val="003F782D"/>
    <w:rsid w:val="003F7DDE"/>
    <w:rsid w:val="004002BF"/>
    <w:rsid w:val="00400AC3"/>
    <w:rsid w:val="00400B30"/>
    <w:rsid w:val="004012F5"/>
    <w:rsid w:val="00402105"/>
    <w:rsid w:val="0040292D"/>
    <w:rsid w:val="00402F91"/>
    <w:rsid w:val="00403099"/>
    <w:rsid w:val="00404230"/>
    <w:rsid w:val="00404DB2"/>
    <w:rsid w:val="00405202"/>
    <w:rsid w:val="00405F8A"/>
    <w:rsid w:val="00406AA0"/>
    <w:rsid w:val="0040743E"/>
    <w:rsid w:val="004076E7"/>
    <w:rsid w:val="00407885"/>
    <w:rsid w:val="00407AFB"/>
    <w:rsid w:val="00410077"/>
    <w:rsid w:val="004100F3"/>
    <w:rsid w:val="0041023F"/>
    <w:rsid w:val="00410766"/>
    <w:rsid w:val="00411440"/>
    <w:rsid w:val="00412820"/>
    <w:rsid w:val="00412ABA"/>
    <w:rsid w:val="00412C9E"/>
    <w:rsid w:val="00412CD3"/>
    <w:rsid w:val="004130F7"/>
    <w:rsid w:val="004141F0"/>
    <w:rsid w:val="00414809"/>
    <w:rsid w:val="00414878"/>
    <w:rsid w:val="00414C7D"/>
    <w:rsid w:val="00414F10"/>
    <w:rsid w:val="004158D2"/>
    <w:rsid w:val="00415BD4"/>
    <w:rsid w:val="00415D38"/>
    <w:rsid w:val="00415DDD"/>
    <w:rsid w:val="004168F9"/>
    <w:rsid w:val="00416EF3"/>
    <w:rsid w:val="00417333"/>
    <w:rsid w:val="004178B0"/>
    <w:rsid w:val="004178C7"/>
    <w:rsid w:val="00417AB7"/>
    <w:rsid w:val="00417EBE"/>
    <w:rsid w:val="00417FBC"/>
    <w:rsid w:val="00422E70"/>
    <w:rsid w:val="00423DE7"/>
    <w:rsid w:val="00424EB0"/>
    <w:rsid w:val="00424FD2"/>
    <w:rsid w:val="00425553"/>
    <w:rsid w:val="0042566E"/>
    <w:rsid w:val="0042567A"/>
    <w:rsid w:val="0042583F"/>
    <w:rsid w:val="00425A7C"/>
    <w:rsid w:val="004270D3"/>
    <w:rsid w:val="00427784"/>
    <w:rsid w:val="004302DE"/>
    <w:rsid w:val="00430AF0"/>
    <w:rsid w:val="00430B7C"/>
    <w:rsid w:val="004311DB"/>
    <w:rsid w:val="00431A80"/>
    <w:rsid w:val="004325C6"/>
    <w:rsid w:val="00432617"/>
    <w:rsid w:val="004328FB"/>
    <w:rsid w:val="00433266"/>
    <w:rsid w:val="00433528"/>
    <w:rsid w:val="004335DB"/>
    <w:rsid w:val="00433F43"/>
    <w:rsid w:val="004340F6"/>
    <w:rsid w:val="00434606"/>
    <w:rsid w:val="004348BF"/>
    <w:rsid w:val="00435176"/>
    <w:rsid w:val="004356B5"/>
    <w:rsid w:val="00435B02"/>
    <w:rsid w:val="00436175"/>
    <w:rsid w:val="004361A8"/>
    <w:rsid w:val="004363EC"/>
    <w:rsid w:val="004371BD"/>
    <w:rsid w:val="00437468"/>
    <w:rsid w:val="00437842"/>
    <w:rsid w:val="00437EA6"/>
    <w:rsid w:val="00440AEA"/>
    <w:rsid w:val="004410F1"/>
    <w:rsid w:val="0044145F"/>
    <w:rsid w:val="004421F1"/>
    <w:rsid w:val="004423A6"/>
    <w:rsid w:val="00442495"/>
    <w:rsid w:val="0044315F"/>
    <w:rsid w:val="00443305"/>
    <w:rsid w:val="004435BE"/>
    <w:rsid w:val="00443753"/>
    <w:rsid w:val="00443D56"/>
    <w:rsid w:val="00444185"/>
    <w:rsid w:val="0044492F"/>
    <w:rsid w:val="00444E5D"/>
    <w:rsid w:val="0044504D"/>
    <w:rsid w:val="0044582B"/>
    <w:rsid w:val="00445B59"/>
    <w:rsid w:val="004460A8"/>
    <w:rsid w:val="00446745"/>
    <w:rsid w:val="0044693C"/>
    <w:rsid w:val="00446E25"/>
    <w:rsid w:val="00446F34"/>
    <w:rsid w:val="00447256"/>
    <w:rsid w:val="0044784E"/>
    <w:rsid w:val="004478E0"/>
    <w:rsid w:val="00447BDB"/>
    <w:rsid w:val="00447FE6"/>
    <w:rsid w:val="0045025E"/>
    <w:rsid w:val="004503C9"/>
    <w:rsid w:val="00450486"/>
    <w:rsid w:val="00450A19"/>
    <w:rsid w:val="00450DBA"/>
    <w:rsid w:val="00451E05"/>
    <w:rsid w:val="00452294"/>
    <w:rsid w:val="00452568"/>
    <w:rsid w:val="004537ED"/>
    <w:rsid w:val="004540F0"/>
    <w:rsid w:val="004543BE"/>
    <w:rsid w:val="004547DD"/>
    <w:rsid w:val="004548A6"/>
    <w:rsid w:val="00454A8F"/>
    <w:rsid w:val="004556C8"/>
    <w:rsid w:val="004556FE"/>
    <w:rsid w:val="00455994"/>
    <w:rsid w:val="00457412"/>
    <w:rsid w:val="0045796F"/>
    <w:rsid w:val="00457E48"/>
    <w:rsid w:val="00457F6F"/>
    <w:rsid w:val="00460472"/>
    <w:rsid w:val="00460495"/>
    <w:rsid w:val="00460B70"/>
    <w:rsid w:val="00461991"/>
    <w:rsid w:val="004620C7"/>
    <w:rsid w:val="00462353"/>
    <w:rsid w:val="00462464"/>
    <w:rsid w:val="00462AF0"/>
    <w:rsid w:val="00463BBC"/>
    <w:rsid w:val="00463E1E"/>
    <w:rsid w:val="00464013"/>
    <w:rsid w:val="00464273"/>
    <w:rsid w:val="0046529F"/>
    <w:rsid w:val="004652B7"/>
    <w:rsid w:val="00466199"/>
    <w:rsid w:val="0046621E"/>
    <w:rsid w:val="004664F8"/>
    <w:rsid w:val="00467742"/>
    <w:rsid w:val="00470069"/>
    <w:rsid w:val="00470736"/>
    <w:rsid w:val="004726B7"/>
    <w:rsid w:val="004726CE"/>
    <w:rsid w:val="004735EC"/>
    <w:rsid w:val="00473D89"/>
    <w:rsid w:val="0047410F"/>
    <w:rsid w:val="004744DC"/>
    <w:rsid w:val="00474A0B"/>
    <w:rsid w:val="00474C5F"/>
    <w:rsid w:val="00475145"/>
    <w:rsid w:val="00475624"/>
    <w:rsid w:val="00475670"/>
    <w:rsid w:val="0047727F"/>
    <w:rsid w:val="00480149"/>
    <w:rsid w:val="0048036E"/>
    <w:rsid w:val="004804A6"/>
    <w:rsid w:val="00481819"/>
    <w:rsid w:val="00481855"/>
    <w:rsid w:val="00481A08"/>
    <w:rsid w:val="00482072"/>
    <w:rsid w:val="0048263F"/>
    <w:rsid w:val="00483651"/>
    <w:rsid w:val="0048370C"/>
    <w:rsid w:val="00483CE2"/>
    <w:rsid w:val="00483D17"/>
    <w:rsid w:val="00484F7A"/>
    <w:rsid w:val="00485C23"/>
    <w:rsid w:val="004865D6"/>
    <w:rsid w:val="0048667B"/>
    <w:rsid w:val="00486789"/>
    <w:rsid w:val="00487817"/>
    <w:rsid w:val="0048783D"/>
    <w:rsid w:val="00487DFB"/>
    <w:rsid w:val="004900DF"/>
    <w:rsid w:val="00490510"/>
    <w:rsid w:val="004908FE"/>
    <w:rsid w:val="00490AEC"/>
    <w:rsid w:val="00491BD0"/>
    <w:rsid w:val="0049219A"/>
    <w:rsid w:val="0049294B"/>
    <w:rsid w:val="004929C1"/>
    <w:rsid w:val="0049336C"/>
    <w:rsid w:val="00493712"/>
    <w:rsid w:val="0049389F"/>
    <w:rsid w:val="0049425D"/>
    <w:rsid w:val="00494330"/>
    <w:rsid w:val="0049484B"/>
    <w:rsid w:val="00494D37"/>
    <w:rsid w:val="0049574E"/>
    <w:rsid w:val="00495EE8"/>
    <w:rsid w:val="00496200"/>
    <w:rsid w:val="00496481"/>
    <w:rsid w:val="004964D5"/>
    <w:rsid w:val="004A0789"/>
    <w:rsid w:val="004A0E3E"/>
    <w:rsid w:val="004A12A0"/>
    <w:rsid w:val="004A1C00"/>
    <w:rsid w:val="004A2220"/>
    <w:rsid w:val="004A25B5"/>
    <w:rsid w:val="004A2F0F"/>
    <w:rsid w:val="004A395E"/>
    <w:rsid w:val="004A3C61"/>
    <w:rsid w:val="004A3CBE"/>
    <w:rsid w:val="004A40B7"/>
    <w:rsid w:val="004A4B11"/>
    <w:rsid w:val="004A669D"/>
    <w:rsid w:val="004A7033"/>
    <w:rsid w:val="004A752F"/>
    <w:rsid w:val="004A7844"/>
    <w:rsid w:val="004A7F3E"/>
    <w:rsid w:val="004B0722"/>
    <w:rsid w:val="004B1854"/>
    <w:rsid w:val="004B1F0E"/>
    <w:rsid w:val="004B229C"/>
    <w:rsid w:val="004B2721"/>
    <w:rsid w:val="004B335F"/>
    <w:rsid w:val="004B3D51"/>
    <w:rsid w:val="004B3D6E"/>
    <w:rsid w:val="004B3F0E"/>
    <w:rsid w:val="004B40AB"/>
    <w:rsid w:val="004B4486"/>
    <w:rsid w:val="004B4640"/>
    <w:rsid w:val="004B46F1"/>
    <w:rsid w:val="004B5875"/>
    <w:rsid w:val="004B5C8D"/>
    <w:rsid w:val="004B668D"/>
    <w:rsid w:val="004B6F19"/>
    <w:rsid w:val="004B6F45"/>
    <w:rsid w:val="004B77B6"/>
    <w:rsid w:val="004B7C73"/>
    <w:rsid w:val="004C00BE"/>
    <w:rsid w:val="004C08A2"/>
    <w:rsid w:val="004C095F"/>
    <w:rsid w:val="004C14A6"/>
    <w:rsid w:val="004C2263"/>
    <w:rsid w:val="004C23C4"/>
    <w:rsid w:val="004C3117"/>
    <w:rsid w:val="004C313A"/>
    <w:rsid w:val="004C3A25"/>
    <w:rsid w:val="004C4381"/>
    <w:rsid w:val="004C490A"/>
    <w:rsid w:val="004C4A5D"/>
    <w:rsid w:val="004C5A70"/>
    <w:rsid w:val="004C6049"/>
    <w:rsid w:val="004C62AE"/>
    <w:rsid w:val="004C6B7E"/>
    <w:rsid w:val="004C6E0D"/>
    <w:rsid w:val="004D018C"/>
    <w:rsid w:val="004D074B"/>
    <w:rsid w:val="004D085E"/>
    <w:rsid w:val="004D24CD"/>
    <w:rsid w:val="004D2852"/>
    <w:rsid w:val="004D2DAF"/>
    <w:rsid w:val="004D2F50"/>
    <w:rsid w:val="004D4FAB"/>
    <w:rsid w:val="004D5708"/>
    <w:rsid w:val="004D5882"/>
    <w:rsid w:val="004D5A8C"/>
    <w:rsid w:val="004D5AA8"/>
    <w:rsid w:val="004D7494"/>
    <w:rsid w:val="004D7661"/>
    <w:rsid w:val="004E11E5"/>
    <w:rsid w:val="004E17C4"/>
    <w:rsid w:val="004E1FBF"/>
    <w:rsid w:val="004E22A0"/>
    <w:rsid w:val="004E25AF"/>
    <w:rsid w:val="004E2684"/>
    <w:rsid w:val="004E3015"/>
    <w:rsid w:val="004E3310"/>
    <w:rsid w:val="004E36D4"/>
    <w:rsid w:val="004E522A"/>
    <w:rsid w:val="004E53F9"/>
    <w:rsid w:val="004E60F4"/>
    <w:rsid w:val="004E61FB"/>
    <w:rsid w:val="004E663A"/>
    <w:rsid w:val="004E68E7"/>
    <w:rsid w:val="004E6D67"/>
    <w:rsid w:val="004E6DF8"/>
    <w:rsid w:val="004E7714"/>
    <w:rsid w:val="004E78B5"/>
    <w:rsid w:val="004F003E"/>
    <w:rsid w:val="004F0137"/>
    <w:rsid w:val="004F03F3"/>
    <w:rsid w:val="004F06F2"/>
    <w:rsid w:val="004F1BB7"/>
    <w:rsid w:val="004F310F"/>
    <w:rsid w:val="004F374B"/>
    <w:rsid w:val="004F37D8"/>
    <w:rsid w:val="004F3D20"/>
    <w:rsid w:val="004F3EAF"/>
    <w:rsid w:val="004F408D"/>
    <w:rsid w:val="004F54C9"/>
    <w:rsid w:val="004F550E"/>
    <w:rsid w:val="004F575B"/>
    <w:rsid w:val="004F5D37"/>
    <w:rsid w:val="004F7C08"/>
    <w:rsid w:val="00500192"/>
    <w:rsid w:val="00500318"/>
    <w:rsid w:val="00500589"/>
    <w:rsid w:val="005008CD"/>
    <w:rsid w:val="00500C6B"/>
    <w:rsid w:val="005019B4"/>
    <w:rsid w:val="00501E14"/>
    <w:rsid w:val="00501EF4"/>
    <w:rsid w:val="005021BD"/>
    <w:rsid w:val="00502382"/>
    <w:rsid w:val="00503592"/>
    <w:rsid w:val="00503A1B"/>
    <w:rsid w:val="00503F8E"/>
    <w:rsid w:val="00504037"/>
    <w:rsid w:val="005040D3"/>
    <w:rsid w:val="00504364"/>
    <w:rsid w:val="00504664"/>
    <w:rsid w:val="005047D7"/>
    <w:rsid w:val="00505A9A"/>
    <w:rsid w:val="00506ECB"/>
    <w:rsid w:val="005070A9"/>
    <w:rsid w:val="005074FD"/>
    <w:rsid w:val="00507966"/>
    <w:rsid w:val="00507FA9"/>
    <w:rsid w:val="005105F5"/>
    <w:rsid w:val="0051132A"/>
    <w:rsid w:val="00511349"/>
    <w:rsid w:val="005116B3"/>
    <w:rsid w:val="0051273F"/>
    <w:rsid w:val="00512CB3"/>
    <w:rsid w:val="00513013"/>
    <w:rsid w:val="0051306A"/>
    <w:rsid w:val="00513214"/>
    <w:rsid w:val="00513B6A"/>
    <w:rsid w:val="00513D22"/>
    <w:rsid w:val="00514861"/>
    <w:rsid w:val="00514900"/>
    <w:rsid w:val="0051528D"/>
    <w:rsid w:val="00515548"/>
    <w:rsid w:val="00516AC3"/>
    <w:rsid w:val="00516B48"/>
    <w:rsid w:val="005175A0"/>
    <w:rsid w:val="00517FDF"/>
    <w:rsid w:val="0052020C"/>
    <w:rsid w:val="005215A0"/>
    <w:rsid w:val="00521875"/>
    <w:rsid w:val="00521AEA"/>
    <w:rsid w:val="0052256A"/>
    <w:rsid w:val="005234B7"/>
    <w:rsid w:val="00524800"/>
    <w:rsid w:val="005257FF"/>
    <w:rsid w:val="0052587E"/>
    <w:rsid w:val="00526CA4"/>
    <w:rsid w:val="005276A9"/>
    <w:rsid w:val="00531BE4"/>
    <w:rsid w:val="00532004"/>
    <w:rsid w:val="005327B9"/>
    <w:rsid w:val="00533C2E"/>
    <w:rsid w:val="00534E67"/>
    <w:rsid w:val="00535A2E"/>
    <w:rsid w:val="00535A55"/>
    <w:rsid w:val="005366E7"/>
    <w:rsid w:val="00536878"/>
    <w:rsid w:val="00536921"/>
    <w:rsid w:val="005369AC"/>
    <w:rsid w:val="005369E0"/>
    <w:rsid w:val="00536AD2"/>
    <w:rsid w:val="00536B92"/>
    <w:rsid w:val="0053703D"/>
    <w:rsid w:val="0053722A"/>
    <w:rsid w:val="0053773E"/>
    <w:rsid w:val="00537910"/>
    <w:rsid w:val="0054054C"/>
    <w:rsid w:val="00540929"/>
    <w:rsid w:val="00540A8B"/>
    <w:rsid w:val="00540EE4"/>
    <w:rsid w:val="005418BA"/>
    <w:rsid w:val="00541973"/>
    <w:rsid w:val="00541E16"/>
    <w:rsid w:val="00542301"/>
    <w:rsid w:val="005423F5"/>
    <w:rsid w:val="0054259E"/>
    <w:rsid w:val="005439D6"/>
    <w:rsid w:val="00543C20"/>
    <w:rsid w:val="00544349"/>
    <w:rsid w:val="00544D97"/>
    <w:rsid w:val="00545FEE"/>
    <w:rsid w:val="00546933"/>
    <w:rsid w:val="0054701B"/>
    <w:rsid w:val="00547998"/>
    <w:rsid w:val="00547FF4"/>
    <w:rsid w:val="00550005"/>
    <w:rsid w:val="0055034B"/>
    <w:rsid w:val="00550D70"/>
    <w:rsid w:val="005516A4"/>
    <w:rsid w:val="005524B8"/>
    <w:rsid w:val="00552F3A"/>
    <w:rsid w:val="00553057"/>
    <w:rsid w:val="005535AA"/>
    <w:rsid w:val="005542F9"/>
    <w:rsid w:val="00554A12"/>
    <w:rsid w:val="00554D69"/>
    <w:rsid w:val="005568FF"/>
    <w:rsid w:val="00556D96"/>
    <w:rsid w:val="00560199"/>
    <w:rsid w:val="0056070C"/>
    <w:rsid w:val="005608C3"/>
    <w:rsid w:val="00560B95"/>
    <w:rsid w:val="00561337"/>
    <w:rsid w:val="00561B2B"/>
    <w:rsid w:val="00561C3A"/>
    <w:rsid w:val="00563040"/>
    <w:rsid w:val="00563325"/>
    <w:rsid w:val="00563779"/>
    <w:rsid w:val="00563AA1"/>
    <w:rsid w:val="00563C7C"/>
    <w:rsid w:val="005641FC"/>
    <w:rsid w:val="00564AA6"/>
    <w:rsid w:val="00565168"/>
    <w:rsid w:val="00565462"/>
    <w:rsid w:val="005654D6"/>
    <w:rsid w:val="005664B7"/>
    <w:rsid w:val="00566E04"/>
    <w:rsid w:val="00566EED"/>
    <w:rsid w:val="005706A6"/>
    <w:rsid w:val="00570A1A"/>
    <w:rsid w:val="00570A9D"/>
    <w:rsid w:val="0057113C"/>
    <w:rsid w:val="0057171E"/>
    <w:rsid w:val="0057191E"/>
    <w:rsid w:val="00572133"/>
    <w:rsid w:val="005724BE"/>
    <w:rsid w:val="00572F4C"/>
    <w:rsid w:val="00573BD1"/>
    <w:rsid w:val="00573E71"/>
    <w:rsid w:val="00574F1B"/>
    <w:rsid w:val="005752C5"/>
    <w:rsid w:val="00575663"/>
    <w:rsid w:val="00575C54"/>
    <w:rsid w:val="00576068"/>
    <w:rsid w:val="005767AE"/>
    <w:rsid w:val="00576D2D"/>
    <w:rsid w:val="00577A6A"/>
    <w:rsid w:val="005808C1"/>
    <w:rsid w:val="00580A62"/>
    <w:rsid w:val="00580F4E"/>
    <w:rsid w:val="00581033"/>
    <w:rsid w:val="005817B4"/>
    <w:rsid w:val="00581807"/>
    <w:rsid w:val="0058237E"/>
    <w:rsid w:val="00582406"/>
    <w:rsid w:val="00582B69"/>
    <w:rsid w:val="005832F2"/>
    <w:rsid w:val="0058379D"/>
    <w:rsid w:val="0058385F"/>
    <w:rsid w:val="005845E6"/>
    <w:rsid w:val="0058460E"/>
    <w:rsid w:val="0058503F"/>
    <w:rsid w:val="00585131"/>
    <w:rsid w:val="005854E5"/>
    <w:rsid w:val="00586DB2"/>
    <w:rsid w:val="00586F4D"/>
    <w:rsid w:val="0058705F"/>
    <w:rsid w:val="00587167"/>
    <w:rsid w:val="0058786F"/>
    <w:rsid w:val="00590444"/>
    <w:rsid w:val="005904A1"/>
    <w:rsid w:val="005918D9"/>
    <w:rsid w:val="005918EC"/>
    <w:rsid w:val="00592C13"/>
    <w:rsid w:val="00592D23"/>
    <w:rsid w:val="005931D2"/>
    <w:rsid w:val="00593334"/>
    <w:rsid w:val="0059378B"/>
    <w:rsid w:val="00593DC6"/>
    <w:rsid w:val="00593EF8"/>
    <w:rsid w:val="00595C8A"/>
    <w:rsid w:val="0059600E"/>
    <w:rsid w:val="00596FEE"/>
    <w:rsid w:val="00596FF9"/>
    <w:rsid w:val="005978C0"/>
    <w:rsid w:val="005A03FB"/>
    <w:rsid w:val="005A047A"/>
    <w:rsid w:val="005A05FC"/>
    <w:rsid w:val="005A0847"/>
    <w:rsid w:val="005A09FD"/>
    <w:rsid w:val="005A0A0D"/>
    <w:rsid w:val="005A1C45"/>
    <w:rsid w:val="005A20E0"/>
    <w:rsid w:val="005A2B15"/>
    <w:rsid w:val="005A406D"/>
    <w:rsid w:val="005A46E2"/>
    <w:rsid w:val="005A4966"/>
    <w:rsid w:val="005A49EC"/>
    <w:rsid w:val="005A580B"/>
    <w:rsid w:val="005A61F0"/>
    <w:rsid w:val="005A62F9"/>
    <w:rsid w:val="005A69F2"/>
    <w:rsid w:val="005A7544"/>
    <w:rsid w:val="005A799E"/>
    <w:rsid w:val="005B040B"/>
    <w:rsid w:val="005B04F6"/>
    <w:rsid w:val="005B10A6"/>
    <w:rsid w:val="005B1749"/>
    <w:rsid w:val="005B1FB7"/>
    <w:rsid w:val="005B212A"/>
    <w:rsid w:val="005B3F6B"/>
    <w:rsid w:val="005B538F"/>
    <w:rsid w:val="005B595C"/>
    <w:rsid w:val="005B5EA5"/>
    <w:rsid w:val="005B5F7F"/>
    <w:rsid w:val="005B6B04"/>
    <w:rsid w:val="005B6B22"/>
    <w:rsid w:val="005C087F"/>
    <w:rsid w:val="005C0DAF"/>
    <w:rsid w:val="005C1E38"/>
    <w:rsid w:val="005C237E"/>
    <w:rsid w:val="005C26E2"/>
    <w:rsid w:val="005C3386"/>
    <w:rsid w:val="005C3EF5"/>
    <w:rsid w:val="005C3F9D"/>
    <w:rsid w:val="005C437A"/>
    <w:rsid w:val="005C43D5"/>
    <w:rsid w:val="005C4602"/>
    <w:rsid w:val="005C542F"/>
    <w:rsid w:val="005C639B"/>
    <w:rsid w:val="005C66D0"/>
    <w:rsid w:val="005C6CB1"/>
    <w:rsid w:val="005D0D40"/>
    <w:rsid w:val="005D12CC"/>
    <w:rsid w:val="005D21B8"/>
    <w:rsid w:val="005D24E9"/>
    <w:rsid w:val="005D2700"/>
    <w:rsid w:val="005D28DD"/>
    <w:rsid w:val="005D2B32"/>
    <w:rsid w:val="005D2E74"/>
    <w:rsid w:val="005D3322"/>
    <w:rsid w:val="005D35DA"/>
    <w:rsid w:val="005D3BC1"/>
    <w:rsid w:val="005D3BC3"/>
    <w:rsid w:val="005D3C93"/>
    <w:rsid w:val="005D3D13"/>
    <w:rsid w:val="005D3E6F"/>
    <w:rsid w:val="005D44D5"/>
    <w:rsid w:val="005D6218"/>
    <w:rsid w:val="005E2173"/>
    <w:rsid w:val="005E2AA8"/>
    <w:rsid w:val="005E304F"/>
    <w:rsid w:val="005E46F8"/>
    <w:rsid w:val="005E4923"/>
    <w:rsid w:val="005E4AD3"/>
    <w:rsid w:val="005E625E"/>
    <w:rsid w:val="005E652D"/>
    <w:rsid w:val="005E69D4"/>
    <w:rsid w:val="005E71CD"/>
    <w:rsid w:val="005E77ED"/>
    <w:rsid w:val="005E7992"/>
    <w:rsid w:val="005F0030"/>
    <w:rsid w:val="005F04BD"/>
    <w:rsid w:val="005F0649"/>
    <w:rsid w:val="005F1263"/>
    <w:rsid w:val="005F1675"/>
    <w:rsid w:val="005F1C89"/>
    <w:rsid w:val="005F20F6"/>
    <w:rsid w:val="005F224B"/>
    <w:rsid w:val="005F242A"/>
    <w:rsid w:val="005F2FD2"/>
    <w:rsid w:val="005F30C1"/>
    <w:rsid w:val="005F3BFD"/>
    <w:rsid w:val="005F4284"/>
    <w:rsid w:val="005F455E"/>
    <w:rsid w:val="005F4A5C"/>
    <w:rsid w:val="005F4B8E"/>
    <w:rsid w:val="005F4F76"/>
    <w:rsid w:val="005F4FE9"/>
    <w:rsid w:val="005F545F"/>
    <w:rsid w:val="005F62F2"/>
    <w:rsid w:val="005F672A"/>
    <w:rsid w:val="005F6924"/>
    <w:rsid w:val="006007EC"/>
    <w:rsid w:val="0060081E"/>
    <w:rsid w:val="006008BD"/>
    <w:rsid w:val="00600E41"/>
    <w:rsid w:val="00600F0D"/>
    <w:rsid w:val="00601411"/>
    <w:rsid w:val="006022E5"/>
    <w:rsid w:val="006026E0"/>
    <w:rsid w:val="006039AA"/>
    <w:rsid w:val="006039DD"/>
    <w:rsid w:val="00603CE8"/>
    <w:rsid w:val="00603F52"/>
    <w:rsid w:val="00604B4C"/>
    <w:rsid w:val="00605ECF"/>
    <w:rsid w:val="0060670F"/>
    <w:rsid w:val="00606A7D"/>
    <w:rsid w:val="00606F9A"/>
    <w:rsid w:val="00607178"/>
    <w:rsid w:val="00607B66"/>
    <w:rsid w:val="00607CFE"/>
    <w:rsid w:val="00607DAC"/>
    <w:rsid w:val="00610636"/>
    <w:rsid w:val="00610646"/>
    <w:rsid w:val="00610E40"/>
    <w:rsid w:val="0061169F"/>
    <w:rsid w:val="00611D35"/>
    <w:rsid w:val="00612169"/>
    <w:rsid w:val="006135E3"/>
    <w:rsid w:val="0061394B"/>
    <w:rsid w:val="006141A3"/>
    <w:rsid w:val="006142DD"/>
    <w:rsid w:val="00615B73"/>
    <w:rsid w:val="00616561"/>
    <w:rsid w:val="00616D97"/>
    <w:rsid w:val="006177D0"/>
    <w:rsid w:val="00617CFB"/>
    <w:rsid w:val="00620B5C"/>
    <w:rsid w:val="00620F20"/>
    <w:rsid w:val="0062191D"/>
    <w:rsid w:val="00621E6D"/>
    <w:rsid w:val="00622747"/>
    <w:rsid w:val="00622A6A"/>
    <w:rsid w:val="00622C6D"/>
    <w:rsid w:val="00622CE8"/>
    <w:rsid w:val="00622F73"/>
    <w:rsid w:val="006231E2"/>
    <w:rsid w:val="00623492"/>
    <w:rsid w:val="00623A50"/>
    <w:rsid w:val="00623BA8"/>
    <w:rsid w:val="006255B2"/>
    <w:rsid w:val="00625E40"/>
    <w:rsid w:val="0062674A"/>
    <w:rsid w:val="00626A54"/>
    <w:rsid w:val="00626FFB"/>
    <w:rsid w:val="00630A96"/>
    <w:rsid w:val="006317E4"/>
    <w:rsid w:val="006318B4"/>
    <w:rsid w:val="00632211"/>
    <w:rsid w:val="006327D2"/>
    <w:rsid w:val="00632F36"/>
    <w:rsid w:val="006349B3"/>
    <w:rsid w:val="00635742"/>
    <w:rsid w:val="00635A49"/>
    <w:rsid w:val="00636043"/>
    <w:rsid w:val="006364F7"/>
    <w:rsid w:val="00636BED"/>
    <w:rsid w:val="0063726A"/>
    <w:rsid w:val="00637609"/>
    <w:rsid w:val="00637B2A"/>
    <w:rsid w:val="00637D7C"/>
    <w:rsid w:val="00637D83"/>
    <w:rsid w:val="00637E93"/>
    <w:rsid w:val="006407EF"/>
    <w:rsid w:val="00641511"/>
    <w:rsid w:val="0064191E"/>
    <w:rsid w:val="006419C0"/>
    <w:rsid w:val="00641ED0"/>
    <w:rsid w:val="0064242F"/>
    <w:rsid w:val="00642811"/>
    <w:rsid w:val="006443E1"/>
    <w:rsid w:val="006448F4"/>
    <w:rsid w:val="006451D0"/>
    <w:rsid w:val="006505A6"/>
    <w:rsid w:val="00650CDB"/>
    <w:rsid w:val="00650F8A"/>
    <w:rsid w:val="00651FA5"/>
    <w:rsid w:val="00651FE4"/>
    <w:rsid w:val="00653B1B"/>
    <w:rsid w:val="0065460F"/>
    <w:rsid w:val="00655E96"/>
    <w:rsid w:val="006568DC"/>
    <w:rsid w:val="00657E9B"/>
    <w:rsid w:val="0066034F"/>
    <w:rsid w:val="0066072A"/>
    <w:rsid w:val="0066136E"/>
    <w:rsid w:val="006620F9"/>
    <w:rsid w:val="0066236C"/>
    <w:rsid w:val="00662B04"/>
    <w:rsid w:val="00662B32"/>
    <w:rsid w:val="00662CF9"/>
    <w:rsid w:val="00662DCB"/>
    <w:rsid w:val="00664075"/>
    <w:rsid w:val="006657CA"/>
    <w:rsid w:val="006658F8"/>
    <w:rsid w:val="00665B44"/>
    <w:rsid w:val="00665C8E"/>
    <w:rsid w:val="006662CC"/>
    <w:rsid w:val="00667C65"/>
    <w:rsid w:val="00667E68"/>
    <w:rsid w:val="00670115"/>
    <w:rsid w:val="00670295"/>
    <w:rsid w:val="00670EBB"/>
    <w:rsid w:val="0067129B"/>
    <w:rsid w:val="00671BE5"/>
    <w:rsid w:val="00672F1B"/>
    <w:rsid w:val="006730D3"/>
    <w:rsid w:val="006740CC"/>
    <w:rsid w:val="00674584"/>
    <w:rsid w:val="0067478C"/>
    <w:rsid w:val="006749B7"/>
    <w:rsid w:val="006757AD"/>
    <w:rsid w:val="0067582F"/>
    <w:rsid w:val="006762A6"/>
    <w:rsid w:val="006763CF"/>
    <w:rsid w:val="00677476"/>
    <w:rsid w:val="00677CF9"/>
    <w:rsid w:val="00680A54"/>
    <w:rsid w:val="00680DF3"/>
    <w:rsid w:val="006813DB"/>
    <w:rsid w:val="00681EC1"/>
    <w:rsid w:val="00682009"/>
    <w:rsid w:val="00682A1C"/>
    <w:rsid w:val="00682B0F"/>
    <w:rsid w:val="00682CDC"/>
    <w:rsid w:val="00682DED"/>
    <w:rsid w:val="006838F2"/>
    <w:rsid w:val="00684B88"/>
    <w:rsid w:val="00684FB8"/>
    <w:rsid w:val="00685CEE"/>
    <w:rsid w:val="00686324"/>
    <w:rsid w:val="00686476"/>
    <w:rsid w:val="00686BD6"/>
    <w:rsid w:val="00686CD1"/>
    <w:rsid w:val="00687B5E"/>
    <w:rsid w:val="0069016E"/>
    <w:rsid w:val="0069039B"/>
    <w:rsid w:val="00690990"/>
    <w:rsid w:val="00690A83"/>
    <w:rsid w:val="00691348"/>
    <w:rsid w:val="00691F19"/>
    <w:rsid w:val="006920FF"/>
    <w:rsid w:val="00692A2E"/>
    <w:rsid w:val="00693D35"/>
    <w:rsid w:val="00693E7D"/>
    <w:rsid w:val="00695B88"/>
    <w:rsid w:val="006962C8"/>
    <w:rsid w:val="00697192"/>
    <w:rsid w:val="0069763A"/>
    <w:rsid w:val="00697923"/>
    <w:rsid w:val="006A0A53"/>
    <w:rsid w:val="006A0D0D"/>
    <w:rsid w:val="006A0EE1"/>
    <w:rsid w:val="006A14B0"/>
    <w:rsid w:val="006A1504"/>
    <w:rsid w:val="006A1974"/>
    <w:rsid w:val="006A1BCD"/>
    <w:rsid w:val="006A2453"/>
    <w:rsid w:val="006A2592"/>
    <w:rsid w:val="006A2F67"/>
    <w:rsid w:val="006A3600"/>
    <w:rsid w:val="006A384C"/>
    <w:rsid w:val="006A457C"/>
    <w:rsid w:val="006A487D"/>
    <w:rsid w:val="006A5094"/>
    <w:rsid w:val="006A6D18"/>
    <w:rsid w:val="006A70C2"/>
    <w:rsid w:val="006B0408"/>
    <w:rsid w:val="006B0A1D"/>
    <w:rsid w:val="006B0AFA"/>
    <w:rsid w:val="006B286A"/>
    <w:rsid w:val="006B36BE"/>
    <w:rsid w:val="006B37D9"/>
    <w:rsid w:val="006B424D"/>
    <w:rsid w:val="006B4337"/>
    <w:rsid w:val="006B45FE"/>
    <w:rsid w:val="006B488E"/>
    <w:rsid w:val="006B4CED"/>
    <w:rsid w:val="006B5022"/>
    <w:rsid w:val="006B511E"/>
    <w:rsid w:val="006B57A7"/>
    <w:rsid w:val="006B5D0D"/>
    <w:rsid w:val="006B5F5F"/>
    <w:rsid w:val="006B69DC"/>
    <w:rsid w:val="006B6A6F"/>
    <w:rsid w:val="006B7008"/>
    <w:rsid w:val="006B772C"/>
    <w:rsid w:val="006B7764"/>
    <w:rsid w:val="006B7F71"/>
    <w:rsid w:val="006B7FB7"/>
    <w:rsid w:val="006B7FE3"/>
    <w:rsid w:val="006C0989"/>
    <w:rsid w:val="006C0B33"/>
    <w:rsid w:val="006C197E"/>
    <w:rsid w:val="006C208E"/>
    <w:rsid w:val="006C20B6"/>
    <w:rsid w:val="006C287F"/>
    <w:rsid w:val="006C35A0"/>
    <w:rsid w:val="006C3AA3"/>
    <w:rsid w:val="006C3D43"/>
    <w:rsid w:val="006C3F38"/>
    <w:rsid w:val="006C4464"/>
    <w:rsid w:val="006C4547"/>
    <w:rsid w:val="006C5030"/>
    <w:rsid w:val="006C5FC0"/>
    <w:rsid w:val="006C6F24"/>
    <w:rsid w:val="006C76DD"/>
    <w:rsid w:val="006D0193"/>
    <w:rsid w:val="006D0973"/>
    <w:rsid w:val="006D1319"/>
    <w:rsid w:val="006D147C"/>
    <w:rsid w:val="006D155E"/>
    <w:rsid w:val="006D170D"/>
    <w:rsid w:val="006D1AE2"/>
    <w:rsid w:val="006D2456"/>
    <w:rsid w:val="006D2896"/>
    <w:rsid w:val="006D28B1"/>
    <w:rsid w:val="006D35DB"/>
    <w:rsid w:val="006D44AB"/>
    <w:rsid w:val="006D51BE"/>
    <w:rsid w:val="006D52EA"/>
    <w:rsid w:val="006D613F"/>
    <w:rsid w:val="006D6823"/>
    <w:rsid w:val="006D698F"/>
    <w:rsid w:val="006D6CCB"/>
    <w:rsid w:val="006D6F9A"/>
    <w:rsid w:val="006E0FAB"/>
    <w:rsid w:val="006E11DF"/>
    <w:rsid w:val="006E1708"/>
    <w:rsid w:val="006E1972"/>
    <w:rsid w:val="006E1B78"/>
    <w:rsid w:val="006E1CCE"/>
    <w:rsid w:val="006E1EA3"/>
    <w:rsid w:val="006E2604"/>
    <w:rsid w:val="006E2988"/>
    <w:rsid w:val="006E2B0D"/>
    <w:rsid w:val="006E2F4F"/>
    <w:rsid w:val="006E37AA"/>
    <w:rsid w:val="006E468E"/>
    <w:rsid w:val="006E5BD3"/>
    <w:rsid w:val="006E624D"/>
    <w:rsid w:val="006E6C03"/>
    <w:rsid w:val="006E6D63"/>
    <w:rsid w:val="006E6FF1"/>
    <w:rsid w:val="006E72AB"/>
    <w:rsid w:val="006E774A"/>
    <w:rsid w:val="006F04BD"/>
    <w:rsid w:val="006F122B"/>
    <w:rsid w:val="006F1656"/>
    <w:rsid w:val="006F1DED"/>
    <w:rsid w:val="006F20CC"/>
    <w:rsid w:val="006F27DA"/>
    <w:rsid w:val="006F28BA"/>
    <w:rsid w:val="006F329C"/>
    <w:rsid w:val="006F351E"/>
    <w:rsid w:val="006F4220"/>
    <w:rsid w:val="006F46E0"/>
    <w:rsid w:val="006F5054"/>
    <w:rsid w:val="006F5319"/>
    <w:rsid w:val="006F5B92"/>
    <w:rsid w:val="006F6E65"/>
    <w:rsid w:val="006F7104"/>
    <w:rsid w:val="006F7674"/>
    <w:rsid w:val="006F7B71"/>
    <w:rsid w:val="00701020"/>
    <w:rsid w:val="007011CA"/>
    <w:rsid w:val="007027E1"/>
    <w:rsid w:val="00702F99"/>
    <w:rsid w:val="00703455"/>
    <w:rsid w:val="00703CB5"/>
    <w:rsid w:val="007043C0"/>
    <w:rsid w:val="00704956"/>
    <w:rsid w:val="00704BD1"/>
    <w:rsid w:val="00704C1B"/>
    <w:rsid w:val="00704F98"/>
    <w:rsid w:val="007052FB"/>
    <w:rsid w:val="007058A5"/>
    <w:rsid w:val="00706656"/>
    <w:rsid w:val="00706D14"/>
    <w:rsid w:val="00707AAB"/>
    <w:rsid w:val="00707DBC"/>
    <w:rsid w:val="007113ED"/>
    <w:rsid w:val="00712234"/>
    <w:rsid w:val="0071228A"/>
    <w:rsid w:val="00712433"/>
    <w:rsid w:val="00712852"/>
    <w:rsid w:val="007128BF"/>
    <w:rsid w:val="00712B34"/>
    <w:rsid w:val="00712FDF"/>
    <w:rsid w:val="007130EE"/>
    <w:rsid w:val="007131BA"/>
    <w:rsid w:val="00714635"/>
    <w:rsid w:val="00714715"/>
    <w:rsid w:val="00715037"/>
    <w:rsid w:val="00715639"/>
    <w:rsid w:val="00715904"/>
    <w:rsid w:val="00715DF2"/>
    <w:rsid w:val="00716B9E"/>
    <w:rsid w:val="007173B3"/>
    <w:rsid w:val="00717478"/>
    <w:rsid w:val="0071798A"/>
    <w:rsid w:val="0072228E"/>
    <w:rsid w:val="00722328"/>
    <w:rsid w:val="007226E6"/>
    <w:rsid w:val="00722BDB"/>
    <w:rsid w:val="00723635"/>
    <w:rsid w:val="00723AC6"/>
    <w:rsid w:val="00723CA8"/>
    <w:rsid w:val="00724623"/>
    <w:rsid w:val="0072483E"/>
    <w:rsid w:val="00724D9D"/>
    <w:rsid w:val="00724E16"/>
    <w:rsid w:val="007255F7"/>
    <w:rsid w:val="007257E3"/>
    <w:rsid w:val="0072597A"/>
    <w:rsid w:val="0072597D"/>
    <w:rsid w:val="00725A9A"/>
    <w:rsid w:val="00727446"/>
    <w:rsid w:val="00727F09"/>
    <w:rsid w:val="007308CC"/>
    <w:rsid w:val="0073144F"/>
    <w:rsid w:val="00731776"/>
    <w:rsid w:val="00731DF4"/>
    <w:rsid w:val="00731F7D"/>
    <w:rsid w:val="00732488"/>
    <w:rsid w:val="00732912"/>
    <w:rsid w:val="007336AA"/>
    <w:rsid w:val="00734391"/>
    <w:rsid w:val="0073533A"/>
    <w:rsid w:val="00735520"/>
    <w:rsid w:val="00735607"/>
    <w:rsid w:val="0073629D"/>
    <w:rsid w:val="0073663C"/>
    <w:rsid w:val="00736989"/>
    <w:rsid w:val="00737138"/>
    <w:rsid w:val="00737F14"/>
    <w:rsid w:val="0074001F"/>
    <w:rsid w:val="00740AE3"/>
    <w:rsid w:val="007413AC"/>
    <w:rsid w:val="00741E10"/>
    <w:rsid w:val="007421C1"/>
    <w:rsid w:val="0074248E"/>
    <w:rsid w:val="00743042"/>
    <w:rsid w:val="00744138"/>
    <w:rsid w:val="00745781"/>
    <w:rsid w:val="00745894"/>
    <w:rsid w:val="00746BBD"/>
    <w:rsid w:val="00747095"/>
    <w:rsid w:val="007474FC"/>
    <w:rsid w:val="007475B7"/>
    <w:rsid w:val="00747643"/>
    <w:rsid w:val="007477EF"/>
    <w:rsid w:val="00747E21"/>
    <w:rsid w:val="00747E43"/>
    <w:rsid w:val="00750067"/>
    <w:rsid w:val="00750254"/>
    <w:rsid w:val="0075029C"/>
    <w:rsid w:val="007508B8"/>
    <w:rsid w:val="00751956"/>
    <w:rsid w:val="00751F02"/>
    <w:rsid w:val="007534D5"/>
    <w:rsid w:val="00753CBF"/>
    <w:rsid w:val="00753D27"/>
    <w:rsid w:val="007543DC"/>
    <w:rsid w:val="00754D80"/>
    <w:rsid w:val="00755053"/>
    <w:rsid w:val="00755800"/>
    <w:rsid w:val="0075649A"/>
    <w:rsid w:val="00756864"/>
    <w:rsid w:val="007573D4"/>
    <w:rsid w:val="007601A9"/>
    <w:rsid w:val="007602F1"/>
    <w:rsid w:val="00760D0A"/>
    <w:rsid w:val="00761BD3"/>
    <w:rsid w:val="00762020"/>
    <w:rsid w:val="00762184"/>
    <w:rsid w:val="007624C2"/>
    <w:rsid w:val="00762550"/>
    <w:rsid w:val="007626FC"/>
    <w:rsid w:val="00762921"/>
    <w:rsid w:val="00763314"/>
    <w:rsid w:val="00763900"/>
    <w:rsid w:val="00764BC6"/>
    <w:rsid w:val="00764D97"/>
    <w:rsid w:val="007661B9"/>
    <w:rsid w:val="007663EC"/>
    <w:rsid w:val="00766410"/>
    <w:rsid w:val="00766446"/>
    <w:rsid w:val="00766D74"/>
    <w:rsid w:val="00766E5F"/>
    <w:rsid w:val="00767614"/>
    <w:rsid w:val="00767FF2"/>
    <w:rsid w:val="007702B4"/>
    <w:rsid w:val="007706BC"/>
    <w:rsid w:val="007709F0"/>
    <w:rsid w:val="00770AC6"/>
    <w:rsid w:val="00770F17"/>
    <w:rsid w:val="00771558"/>
    <w:rsid w:val="00771584"/>
    <w:rsid w:val="00774105"/>
    <w:rsid w:val="00774803"/>
    <w:rsid w:val="00775245"/>
    <w:rsid w:val="00775688"/>
    <w:rsid w:val="00777014"/>
    <w:rsid w:val="0078053C"/>
    <w:rsid w:val="00780A83"/>
    <w:rsid w:val="00781783"/>
    <w:rsid w:val="00781974"/>
    <w:rsid w:val="00781B08"/>
    <w:rsid w:val="00781C55"/>
    <w:rsid w:val="00782A2E"/>
    <w:rsid w:val="00782D54"/>
    <w:rsid w:val="007834DB"/>
    <w:rsid w:val="007837DE"/>
    <w:rsid w:val="00783A4B"/>
    <w:rsid w:val="00783A6A"/>
    <w:rsid w:val="00784B6A"/>
    <w:rsid w:val="00785AF5"/>
    <w:rsid w:val="00786068"/>
    <w:rsid w:val="00787561"/>
    <w:rsid w:val="00787BEB"/>
    <w:rsid w:val="007907CC"/>
    <w:rsid w:val="00790876"/>
    <w:rsid w:val="007908AC"/>
    <w:rsid w:val="007909A5"/>
    <w:rsid w:val="007909BF"/>
    <w:rsid w:val="00790ADF"/>
    <w:rsid w:val="007918B6"/>
    <w:rsid w:val="007921AF"/>
    <w:rsid w:val="007925C8"/>
    <w:rsid w:val="00792D28"/>
    <w:rsid w:val="00793149"/>
    <w:rsid w:val="00793DAC"/>
    <w:rsid w:val="007945B4"/>
    <w:rsid w:val="0079481F"/>
    <w:rsid w:val="007950E2"/>
    <w:rsid w:val="007960BA"/>
    <w:rsid w:val="00796FB4"/>
    <w:rsid w:val="00797CE1"/>
    <w:rsid w:val="00797DBF"/>
    <w:rsid w:val="007A018D"/>
    <w:rsid w:val="007A07EA"/>
    <w:rsid w:val="007A17DE"/>
    <w:rsid w:val="007A1C19"/>
    <w:rsid w:val="007A2527"/>
    <w:rsid w:val="007A368A"/>
    <w:rsid w:val="007A3AAE"/>
    <w:rsid w:val="007A45EF"/>
    <w:rsid w:val="007A5009"/>
    <w:rsid w:val="007A51FA"/>
    <w:rsid w:val="007A5E90"/>
    <w:rsid w:val="007A5FAA"/>
    <w:rsid w:val="007A6E62"/>
    <w:rsid w:val="007A78DE"/>
    <w:rsid w:val="007A7944"/>
    <w:rsid w:val="007A7E72"/>
    <w:rsid w:val="007B026E"/>
    <w:rsid w:val="007B0A4E"/>
    <w:rsid w:val="007B0DE6"/>
    <w:rsid w:val="007B1032"/>
    <w:rsid w:val="007B19CD"/>
    <w:rsid w:val="007B1BF9"/>
    <w:rsid w:val="007B4C34"/>
    <w:rsid w:val="007B4E32"/>
    <w:rsid w:val="007B51D7"/>
    <w:rsid w:val="007B5789"/>
    <w:rsid w:val="007B5DA9"/>
    <w:rsid w:val="007B63AA"/>
    <w:rsid w:val="007B6808"/>
    <w:rsid w:val="007B6906"/>
    <w:rsid w:val="007B6929"/>
    <w:rsid w:val="007B6990"/>
    <w:rsid w:val="007B6CCE"/>
    <w:rsid w:val="007B71B3"/>
    <w:rsid w:val="007B720C"/>
    <w:rsid w:val="007B724E"/>
    <w:rsid w:val="007B7E75"/>
    <w:rsid w:val="007C0465"/>
    <w:rsid w:val="007C136F"/>
    <w:rsid w:val="007C13ED"/>
    <w:rsid w:val="007C1951"/>
    <w:rsid w:val="007C1A66"/>
    <w:rsid w:val="007C1D14"/>
    <w:rsid w:val="007C22E7"/>
    <w:rsid w:val="007C27E1"/>
    <w:rsid w:val="007C2F9D"/>
    <w:rsid w:val="007C36D3"/>
    <w:rsid w:val="007C36EB"/>
    <w:rsid w:val="007C42C1"/>
    <w:rsid w:val="007C6D10"/>
    <w:rsid w:val="007C7F12"/>
    <w:rsid w:val="007D0738"/>
    <w:rsid w:val="007D1150"/>
    <w:rsid w:val="007D12BE"/>
    <w:rsid w:val="007D2498"/>
    <w:rsid w:val="007D296C"/>
    <w:rsid w:val="007D30E1"/>
    <w:rsid w:val="007D3270"/>
    <w:rsid w:val="007D33B3"/>
    <w:rsid w:val="007D51EF"/>
    <w:rsid w:val="007D5653"/>
    <w:rsid w:val="007D59C9"/>
    <w:rsid w:val="007D59F2"/>
    <w:rsid w:val="007D6B92"/>
    <w:rsid w:val="007D70EA"/>
    <w:rsid w:val="007D76DB"/>
    <w:rsid w:val="007E04AA"/>
    <w:rsid w:val="007E16E5"/>
    <w:rsid w:val="007E2484"/>
    <w:rsid w:val="007E2632"/>
    <w:rsid w:val="007E399B"/>
    <w:rsid w:val="007E47BE"/>
    <w:rsid w:val="007E4B1B"/>
    <w:rsid w:val="007E4BE8"/>
    <w:rsid w:val="007E5C38"/>
    <w:rsid w:val="007E5C89"/>
    <w:rsid w:val="007E5DD3"/>
    <w:rsid w:val="007E6584"/>
    <w:rsid w:val="007E66E9"/>
    <w:rsid w:val="007F1526"/>
    <w:rsid w:val="007F17D1"/>
    <w:rsid w:val="007F1A74"/>
    <w:rsid w:val="007F1C50"/>
    <w:rsid w:val="007F20DB"/>
    <w:rsid w:val="007F2736"/>
    <w:rsid w:val="007F2AD9"/>
    <w:rsid w:val="007F2BAE"/>
    <w:rsid w:val="007F360E"/>
    <w:rsid w:val="007F4B53"/>
    <w:rsid w:val="007F4BB3"/>
    <w:rsid w:val="007F5502"/>
    <w:rsid w:val="007F5A22"/>
    <w:rsid w:val="007F62CF"/>
    <w:rsid w:val="007F6354"/>
    <w:rsid w:val="007F6490"/>
    <w:rsid w:val="007F65C0"/>
    <w:rsid w:val="007F663B"/>
    <w:rsid w:val="007F77A0"/>
    <w:rsid w:val="00800D8B"/>
    <w:rsid w:val="00800F6D"/>
    <w:rsid w:val="00801064"/>
    <w:rsid w:val="00801D6C"/>
    <w:rsid w:val="00801D97"/>
    <w:rsid w:val="00801DBE"/>
    <w:rsid w:val="008026F0"/>
    <w:rsid w:val="00802F43"/>
    <w:rsid w:val="00803466"/>
    <w:rsid w:val="00803778"/>
    <w:rsid w:val="00803C87"/>
    <w:rsid w:val="00804507"/>
    <w:rsid w:val="00804525"/>
    <w:rsid w:val="00804B41"/>
    <w:rsid w:val="00804C3E"/>
    <w:rsid w:val="00804FC0"/>
    <w:rsid w:val="00805BCE"/>
    <w:rsid w:val="0080657B"/>
    <w:rsid w:val="008065F9"/>
    <w:rsid w:val="008075DA"/>
    <w:rsid w:val="008078A9"/>
    <w:rsid w:val="0081044C"/>
    <w:rsid w:val="00810B75"/>
    <w:rsid w:val="00810FB0"/>
    <w:rsid w:val="00811423"/>
    <w:rsid w:val="0081324A"/>
    <w:rsid w:val="0081400D"/>
    <w:rsid w:val="008145A3"/>
    <w:rsid w:val="008145DD"/>
    <w:rsid w:val="008147A4"/>
    <w:rsid w:val="00814DED"/>
    <w:rsid w:val="008157CE"/>
    <w:rsid w:val="008168FB"/>
    <w:rsid w:val="00816A14"/>
    <w:rsid w:val="00816C04"/>
    <w:rsid w:val="008177C6"/>
    <w:rsid w:val="00817B01"/>
    <w:rsid w:val="00820342"/>
    <w:rsid w:val="00820B05"/>
    <w:rsid w:val="00821612"/>
    <w:rsid w:val="008218FB"/>
    <w:rsid w:val="00822ECE"/>
    <w:rsid w:val="00823223"/>
    <w:rsid w:val="0082323C"/>
    <w:rsid w:val="00823D50"/>
    <w:rsid w:val="00824915"/>
    <w:rsid w:val="00824C66"/>
    <w:rsid w:val="008250A6"/>
    <w:rsid w:val="00825266"/>
    <w:rsid w:val="00825A3E"/>
    <w:rsid w:val="008261C9"/>
    <w:rsid w:val="008307FE"/>
    <w:rsid w:val="00830DD9"/>
    <w:rsid w:val="0083163B"/>
    <w:rsid w:val="0083197C"/>
    <w:rsid w:val="00831C65"/>
    <w:rsid w:val="00834167"/>
    <w:rsid w:val="008346EA"/>
    <w:rsid w:val="0083516E"/>
    <w:rsid w:val="008352A6"/>
    <w:rsid w:val="00835367"/>
    <w:rsid w:val="00835C6A"/>
    <w:rsid w:val="0083723C"/>
    <w:rsid w:val="00837BBE"/>
    <w:rsid w:val="00837F6A"/>
    <w:rsid w:val="00840261"/>
    <w:rsid w:val="008408FB"/>
    <w:rsid w:val="00840ED1"/>
    <w:rsid w:val="00840F2D"/>
    <w:rsid w:val="00840F7F"/>
    <w:rsid w:val="00843DAC"/>
    <w:rsid w:val="008442C3"/>
    <w:rsid w:val="008449E5"/>
    <w:rsid w:val="00844AB7"/>
    <w:rsid w:val="00844BB9"/>
    <w:rsid w:val="00844F6E"/>
    <w:rsid w:val="0084576B"/>
    <w:rsid w:val="008457A7"/>
    <w:rsid w:val="00845C91"/>
    <w:rsid w:val="00845E41"/>
    <w:rsid w:val="00845EE5"/>
    <w:rsid w:val="008473E4"/>
    <w:rsid w:val="008475F3"/>
    <w:rsid w:val="00850007"/>
    <w:rsid w:val="00850BF8"/>
    <w:rsid w:val="00850D70"/>
    <w:rsid w:val="00851301"/>
    <w:rsid w:val="0085145C"/>
    <w:rsid w:val="00851B83"/>
    <w:rsid w:val="00852D2C"/>
    <w:rsid w:val="008532A5"/>
    <w:rsid w:val="00853475"/>
    <w:rsid w:val="00853AD6"/>
    <w:rsid w:val="008544B8"/>
    <w:rsid w:val="00855F77"/>
    <w:rsid w:val="00856C4E"/>
    <w:rsid w:val="008601EE"/>
    <w:rsid w:val="0086086E"/>
    <w:rsid w:val="00860EAD"/>
    <w:rsid w:val="00861FF4"/>
    <w:rsid w:val="008625C9"/>
    <w:rsid w:val="00862A50"/>
    <w:rsid w:val="00862D31"/>
    <w:rsid w:val="00862EEB"/>
    <w:rsid w:val="00864874"/>
    <w:rsid w:val="00864900"/>
    <w:rsid w:val="0086499C"/>
    <w:rsid w:val="00864D16"/>
    <w:rsid w:val="00865653"/>
    <w:rsid w:val="00865BF6"/>
    <w:rsid w:val="00865C7B"/>
    <w:rsid w:val="00865C94"/>
    <w:rsid w:val="00865E5C"/>
    <w:rsid w:val="0086623A"/>
    <w:rsid w:val="00867C88"/>
    <w:rsid w:val="00867D73"/>
    <w:rsid w:val="008709AD"/>
    <w:rsid w:val="00870A00"/>
    <w:rsid w:val="00870E47"/>
    <w:rsid w:val="008717E0"/>
    <w:rsid w:val="0087183B"/>
    <w:rsid w:val="008719A5"/>
    <w:rsid w:val="00872555"/>
    <w:rsid w:val="0087261E"/>
    <w:rsid w:val="00872C37"/>
    <w:rsid w:val="00873796"/>
    <w:rsid w:val="00873815"/>
    <w:rsid w:val="0087382A"/>
    <w:rsid w:val="0087411A"/>
    <w:rsid w:val="008742B5"/>
    <w:rsid w:val="0087433D"/>
    <w:rsid w:val="00874ACC"/>
    <w:rsid w:val="008751C6"/>
    <w:rsid w:val="00875986"/>
    <w:rsid w:val="00875FDF"/>
    <w:rsid w:val="0087751E"/>
    <w:rsid w:val="008802BE"/>
    <w:rsid w:val="00880E76"/>
    <w:rsid w:val="00881922"/>
    <w:rsid w:val="00881B58"/>
    <w:rsid w:val="008820EE"/>
    <w:rsid w:val="00882D81"/>
    <w:rsid w:val="00883217"/>
    <w:rsid w:val="0088443D"/>
    <w:rsid w:val="00885038"/>
    <w:rsid w:val="00885579"/>
    <w:rsid w:val="00885586"/>
    <w:rsid w:val="008857B7"/>
    <w:rsid w:val="00885D54"/>
    <w:rsid w:val="00885E50"/>
    <w:rsid w:val="00886434"/>
    <w:rsid w:val="00887329"/>
    <w:rsid w:val="00887B46"/>
    <w:rsid w:val="00890263"/>
    <w:rsid w:val="00890814"/>
    <w:rsid w:val="00891758"/>
    <w:rsid w:val="008918BF"/>
    <w:rsid w:val="00891FE0"/>
    <w:rsid w:val="00892A05"/>
    <w:rsid w:val="00892DE9"/>
    <w:rsid w:val="00892F5D"/>
    <w:rsid w:val="008937DE"/>
    <w:rsid w:val="00893EC2"/>
    <w:rsid w:val="00894679"/>
    <w:rsid w:val="00894DB9"/>
    <w:rsid w:val="00894E61"/>
    <w:rsid w:val="0089568B"/>
    <w:rsid w:val="008956E9"/>
    <w:rsid w:val="00895D15"/>
    <w:rsid w:val="0089608D"/>
    <w:rsid w:val="0089691D"/>
    <w:rsid w:val="00897519"/>
    <w:rsid w:val="0089760C"/>
    <w:rsid w:val="00897621"/>
    <w:rsid w:val="008A0187"/>
    <w:rsid w:val="008A04EC"/>
    <w:rsid w:val="008A0940"/>
    <w:rsid w:val="008A0F6E"/>
    <w:rsid w:val="008A1045"/>
    <w:rsid w:val="008A14A4"/>
    <w:rsid w:val="008A2279"/>
    <w:rsid w:val="008A2445"/>
    <w:rsid w:val="008A25BD"/>
    <w:rsid w:val="008A2AB5"/>
    <w:rsid w:val="008A2D24"/>
    <w:rsid w:val="008A3FF3"/>
    <w:rsid w:val="008A4B37"/>
    <w:rsid w:val="008A4CED"/>
    <w:rsid w:val="008A5124"/>
    <w:rsid w:val="008A6083"/>
    <w:rsid w:val="008A67A7"/>
    <w:rsid w:val="008A68AA"/>
    <w:rsid w:val="008A6DD8"/>
    <w:rsid w:val="008A7EC1"/>
    <w:rsid w:val="008B04CC"/>
    <w:rsid w:val="008B0627"/>
    <w:rsid w:val="008B06F6"/>
    <w:rsid w:val="008B10A3"/>
    <w:rsid w:val="008B1247"/>
    <w:rsid w:val="008B1F1B"/>
    <w:rsid w:val="008B2E8E"/>
    <w:rsid w:val="008B34DD"/>
    <w:rsid w:val="008B4508"/>
    <w:rsid w:val="008B56FC"/>
    <w:rsid w:val="008B5897"/>
    <w:rsid w:val="008B5A88"/>
    <w:rsid w:val="008B5F9D"/>
    <w:rsid w:val="008B6155"/>
    <w:rsid w:val="008B7C85"/>
    <w:rsid w:val="008C04BE"/>
    <w:rsid w:val="008C0606"/>
    <w:rsid w:val="008C2002"/>
    <w:rsid w:val="008C2659"/>
    <w:rsid w:val="008C3627"/>
    <w:rsid w:val="008C3B14"/>
    <w:rsid w:val="008C4AEE"/>
    <w:rsid w:val="008C4EDA"/>
    <w:rsid w:val="008C4FA6"/>
    <w:rsid w:val="008C7855"/>
    <w:rsid w:val="008C7D8D"/>
    <w:rsid w:val="008D118E"/>
    <w:rsid w:val="008D2A7D"/>
    <w:rsid w:val="008D2B75"/>
    <w:rsid w:val="008D2D7B"/>
    <w:rsid w:val="008D311E"/>
    <w:rsid w:val="008D4375"/>
    <w:rsid w:val="008D53CB"/>
    <w:rsid w:val="008D5739"/>
    <w:rsid w:val="008D6CEE"/>
    <w:rsid w:val="008D7458"/>
    <w:rsid w:val="008D781C"/>
    <w:rsid w:val="008E0065"/>
    <w:rsid w:val="008E0AAD"/>
    <w:rsid w:val="008E0C94"/>
    <w:rsid w:val="008E0E58"/>
    <w:rsid w:val="008E141E"/>
    <w:rsid w:val="008E1714"/>
    <w:rsid w:val="008E1A05"/>
    <w:rsid w:val="008E2261"/>
    <w:rsid w:val="008E3B77"/>
    <w:rsid w:val="008E3F88"/>
    <w:rsid w:val="008E42C9"/>
    <w:rsid w:val="008E4978"/>
    <w:rsid w:val="008E4B5F"/>
    <w:rsid w:val="008E4F32"/>
    <w:rsid w:val="008E4F7C"/>
    <w:rsid w:val="008E5B72"/>
    <w:rsid w:val="008E5D49"/>
    <w:rsid w:val="008E624D"/>
    <w:rsid w:val="008E6505"/>
    <w:rsid w:val="008E6956"/>
    <w:rsid w:val="008E6DB5"/>
    <w:rsid w:val="008E726C"/>
    <w:rsid w:val="008E75A8"/>
    <w:rsid w:val="008E7A78"/>
    <w:rsid w:val="008E7E66"/>
    <w:rsid w:val="008F02F2"/>
    <w:rsid w:val="008F03DB"/>
    <w:rsid w:val="008F1B21"/>
    <w:rsid w:val="008F1BD6"/>
    <w:rsid w:val="008F2377"/>
    <w:rsid w:val="008F26AE"/>
    <w:rsid w:val="008F2B26"/>
    <w:rsid w:val="008F2FF0"/>
    <w:rsid w:val="008F43C7"/>
    <w:rsid w:val="008F5D39"/>
    <w:rsid w:val="008F5E63"/>
    <w:rsid w:val="008F69BF"/>
    <w:rsid w:val="008F7BF2"/>
    <w:rsid w:val="009005C0"/>
    <w:rsid w:val="00900B23"/>
    <w:rsid w:val="00900C0C"/>
    <w:rsid w:val="00901A3A"/>
    <w:rsid w:val="009024F2"/>
    <w:rsid w:val="00902C6B"/>
    <w:rsid w:val="0090364D"/>
    <w:rsid w:val="00904115"/>
    <w:rsid w:val="00904AF0"/>
    <w:rsid w:val="00905EC4"/>
    <w:rsid w:val="00906B58"/>
    <w:rsid w:val="00906C40"/>
    <w:rsid w:val="00907F21"/>
    <w:rsid w:val="0091073A"/>
    <w:rsid w:val="00910879"/>
    <w:rsid w:val="00910DE4"/>
    <w:rsid w:val="0091181D"/>
    <w:rsid w:val="00912521"/>
    <w:rsid w:val="009126A1"/>
    <w:rsid w:val="00914F1D"/>
    <w:rsid w:val="00915CD4"/>
    <w:rsid w:val="009164FB"/>
    <w:rsid w:val="00916674"/>
    <w:rsid w:val="009166C2"/>
    <w:rsid w:val="00917AD4"/>
    <w:rsid w:val="00917FC4"/>
    <w:rsid w:val="00920029"/>
    <w:rsid w:val="00920056"/>
    <w:rsid w:val="0092092F"/>
    <w:rsid w:val="0092118D"/>
    <w:rsid w:val="00921282"/>
    <w:rsid w:val="00921846"/>
    <w:rsid w:val="00922BC8"/>
    <w:rsid w:val="009232A6"/>
    <w:rsid w:val="00923608"/>
    <w:rsid w:val="009236FB"/>
    <w:rsid w:val="0092410A"/>
    <w:rsid w:val="009243AD"/>
    <w:rsid w:val="0092562A"/>
    <w:rsid w:val="00925C53"/>
    <w:rsid w:val="00925EFD"/>
    <w:rsid w:val="0092696A"/>
    <w:rsid w:val="00927ACA"/>
    <w:rsid w:val="00927E9A"/>
    <w:rsid w:val="00930C22"/>
    <w:rsid w:val="00931227"/>
    <w:rsid w:val="009314CD"/>
    <w:rsid w:val="00931DEF"/>
    <w:rsid w:val="00932645"/>
    <w:rsid w:val="009326E7"/>
    <w:rsid w:val="0093292E"/>
    <w:rsid w:val="00932CD7"/>
    <w:rsid w:val="00932DA4"/>
    <w:rsid w:val="0093313E"/>
    <w:rsid w:val="009337AC"/>
    <w:rsid w:val="00933967"/>
    <w:rsid w:val="0093454C"/>
    <w:rsid w:val="00934885"/>
    <w:rsid w:val="009351CA"/>
    <w:rsid w:val="0093576A"/>
    <w:rsid w:val="00935DA7"/>
    <w:rsid w:val="009367F7"/>
    <w:rsid w:val="00936C9E"/>
    <w:rsid w:val="009377A2"/>
    <w:rsid w:val="00937AB0"/>
    <w:rsid w:val="00937CFC"/>
    <w:rsid w:val="00937DD6"/>
    <w:rsid w:val="009400CE"/>
    <w:rsid w:val="00940261"/>
    <w:rsid w:val="009403A4"/>
    <w:rsid w:val="00940A90"/>
    <w:rsid w:val="00940B1D"/>
    <w:rsid w:val="00942051"/>
    <w:rsid w:val="00942131"/>
    <w:rsid w:val="009427F0"/>
    <w:rsid w:val="009435EC"/>
    <w:rsid w:val="00943D1A"/>
    <w:rsid w:val="00944DEA"/>
    <w:rsid w:val="0094550E"/>
    <w:rsid w:val="00946277"/>
    <w:rsid w:val="0094658C"/>
    <w:rsid w:val="00946694"/>
    <w:rsid w:val="009475B2"/>
    <w:rsid w:val="00947707"/>
    <w:rsid w:val="009504EA"/>
    <w:rsid w:val="00950682"/>
    <w:rsid w:val="0095088C"/>
    <w:rsid w:val="00950955"/>
    <w:rsid w:val="00951124"/>
    <w:rsid w:val="00951648"/>
    <w:rsid w:val="009516CE"/>
    <w:rsid w:val="00951C06"/>
    <w:rsid w:val="00952061"/>
    <w:rsid w:val="00952478"/>
    <w:rsid w:val="009528AC"/>
    <w:rsid w:val="00952E11"/>
    <w:rsid w:val="00952E73"/>
    <w:rsid w:val="00952FC1"/>
    <w:rsid w:val="00953333"/>
    <w:rsid w:val="00953D57"/>
    <w:rsid w:val="00954163"/>
    <w:rsid w:val="00955E58"/>
    <w:rsid w:val="00956430"/>
    <w:rsid w:val="00956D18"/>
    <w:rsid w:val="00956EE2"/>
    <w:rsid w:val="0095719A"/>
    <w:rsid w:val="0095777D"/>
    <w:rsid w:val="00957D95"/>
    <w:rsid w:val="00960473"/>
    <w:rsid w:val="00960AF9"/>
    <w:rsid w:val="009612B6"/>
    <w:rsid w:val="00962F87"/>
    <w:rsid w:val="0096305E"/>
    <w:rsid w:val="00963A83"/>
    <w:rsid w:val="00964840"/>
    <w:rsid w:val="00964BBF"/>
    <w:rsid w:val="00964E76"/>
    <w:rsid w:val="00965A70"/>
    <w:rsid w:val="009665F7"/>
    <w:rsid w:val="00967069"/>
    <w:rsid w:val="00967962"/>
    <w:rsid w:val="00970331"/>
    <w:rsid w:val="00970AD9"/>
    <w:rsid w:val="00971624"/>
    <w:rsid w:val="0097248E"/>
    <w:rsid w:val="009734B7"/>
    <w:rsid w:val="0097369A"/>
    <w:rsid w:val="00973701"/>
    <w:rsid w:val="00973EB7"/>
    <w:rsid w:val="0097401B"/>
    <w:rsid w:val="0097473E"/>
    <w:rsid w:val="00974879"/>
    <w:rsid w:val="009749F0"/>
    <w:rsid w:val="00974B09"/>
    <w:rsid w:val="00975B1E"/>
    <w:rsid w:val="00975EE7"/>
    <w:rsid w:val="0097651A"/>
    <w:rsid w:val="00976EBE"/>
    <w:rsid w:val="00977293"/>
    <w:rsid w:val="009773C9"/>
    <w:rsid w:val="00977AB7"/>
    <w:rsid w:val="00977B76"/>
    <w:rsid w:val="009804E0"/>
    <w:rsid w:val="00980559"/>
    <w:rsid w:val="009816BA"/>
    <w:rsid w:val="00982785"/>
    <w:rsid w:val="00982CAD"/>
    <w:rsid w:val="009832DC"/>
    <w:rsid w:val="009840C0"/>
    <w:rsid w:val="00984118"/>
    <w:rsid w:val="00984322"/>
    <w:rsid w:val="009848DE"/>
    <w:rsid w:val="00984F99"/>
    <w:rsid w:val="009851B1"/>
    <w:rsid w:val="0098537C"/>
    <w:rsid w:val="00985D85"/>
    <w:rsid w:val="0098678C"/>
    <w:rsid w:val="00986BD9"/>
    <w:rsid w:val="00987412"/>
    <w:rsid w:val="009878B8"/>
    <w:rsid w:val="0099056D"/>
    <w:rsid w:val="00990AAF"/>
    <w:rsid w:val="00990B18"/>
    <w:rsid w:val="00990EE2"/>
    <w:rsid w:val="009919C9"/>
    <w:rsid w:val="00991C36"/>
    <w:rsid w:val="00991D70"/>
    <w:rsid w:val="009932F0"/>
    <w:rsid w:val="00993BCF"/>
    <w:rsid w:val="00993EF6"/>
    <w:rsid w:val="0099409A"/>
    <w:rsid w:val="0099437F"/>
    <w:rsid w:val="00994806"/>
    <w:rsid w:val="00994BE2"/>
    <w:rsid w:val="009956BE"/>
    <w:rsid w:val="00995F5D"/>
    <w:rsid w:val="009966C3"/>
    <w:rsid w:val="0099747D"/>
    <w:rsid w:val="00997D1D"/>
    <w:rsid w:val="00997FF3"/>
    <w:rsid w:val="009A047A"/>
    <w:rsid w:val="009A065A"/>
    <w:rsid w:val="009A0750"/>
    <w:rsid w:val="009A1D3E"/>
    <w:rsid w:val="009A2569"/>
    <w:rsid w:val="009A271D"/>
    <w:rsid w:val="009A2C7E"/>
    <w:rsid w:val="009A3A01"/>
    <w:rsid w:val="009A3C1D"/>
    <w:rsid w:val="009A4954"/>
    <w:rsid w:val="009A5630"/>
    <w:rsid w:val="009A5A0E"/>
    <w:rsid w:val="009A661A"/>
    <w:rsid w:val="009A6D1E"/>
    <w:rsid w:val="009A7007"/>
    <w:rsid w:val="009A718E"/>
    <w:rsid w:val="009A7701"/>
    <w:rsid w:val="009A78D4"/>
    <w:rsid w:val="009A7C1B"/>
    <w:rsid w:val="009B0898"/>
    <w:rsid w:val="009B0FBD"/>
    <w:rsid w:val="009B18E7"/>
    <w:rsid w:val="009B1DCC"/>
    <w:rsid w:val="009B244F"/>
    <w:rsid w:val="009B2ECE"/>
    <w:rsid w:val="009B3A3A"/>
    <w:rsid w:val="009B3B6E"/>
    <w:rsid w:val="009B3D56"/>
    <w:rsid w:val="009B5207"/>
    <w:rsid w:val="009B577D"/>
    <w:rsid w:val="009B62F0"/>
    <w:rsid w:val="009B64CE"/>
    <w:rsid w:val="009B6723"/>
    <w:rsid w:val="009B681E"/>
    <w:rsid w:val="009B797E"/>
    <w:rsid w:val="009B7BAA"/>
    <w:rsid w:val="009C0469"/>
    <w:rsid w:val="009C058E"/>
    <w:rsid w:val="009C1305"/>
    <w:rsid w:val="009C1699"/>
    <w:rsid w:val="009C207D"/>
    <w:rsid w:val="009C27D3"/>
    <w:rsid w:val="009C2BA2"/>
    <w:rsid w:val="009C2D26"/>
    <w:rsid w:val="009C32AE"/>
    <w:rsid w:val="009C3A08"/>
    <w:rsid w:val="009C3E54"/>
    <w:rsid w:val="009C45E4"/>
    <w:rsid w:val="009C4967"/>
    <w:rsid w:val="009C6625"/>
    <w:rsid w:val="009C71D8"/>
    <w:rsid w:val="009C76BC"/>
    <w:rsid w:val="009C7A56"/>
    <w:rsid w:val="009D01DD"/>
    <w:rsid w:val="009D02E6"/>
    <w:rsid w:val="009D0FDC"/>
    <w:rsid w:val="009D246B"/>
    <w:rsid w:val="009D260B"/>
    <w:rsid w:val="009D27EE"/>
    <w:rsid w:val="009D2819"/>
    <w:rsid w:val="009D2878"/>
    <w:rsid w:val="009D355F"/>
    <w:rsid w:val="009D436F"/>
    <w:rsid w:val="009D4706"/>
    <w:rsid w:val="009D4F77"/>
    <w:rsid w:val="009D50D2"/>
    <w:rsid w:val="009D51D5"/>
    <w:rsid w:val="009D5366"/>
    <w:rsid w:val="009D56E8"/>
    <w:rsid w:val="009D5B36"/>
    <w:rsid w:val="009D67FA"/>
    <w:rsid w:val="009D7324"/>
    <w:rsid w:val="009D75DC"/>
    <w:rsid w:val="009E033E"/>
    <w:rsid w:val="009E0460"/>
    <w:rsid w:val="009E0CA4"/>
    <w:rsid w:val="009E1AD0"/>
    <w:rsid w:val="009E25D8"/>
    <w:rsid w:val="009E2EA2"/>
    <w:rsid w:val="009E2F92"/>
    <w:rsid w:val="009E401F"/>
    <w:rsid w:val="009E4838"/>
    <w:rsid w:val="009E4DF3"/>
    <w:rsid w:val="009E51E9"/>
    <w:rsid w:val="009E53D3"/>
    <w:rsid w:val="009E54D9"/>
    <w:rsid w:val="009E6310"/>
    <w:rsid w:val="009E6B22"/>
    <w:rsid w:val="009E6E7B"/>
    <w:rsid w:val="009E6F06"/>
    <w:rsid w:val="009E7348"/>
    <w:rsid w:val="009E7587"/>
    <w:rsid w:val="009E75D2"/>
    <w:rsid w:val="009F1D8A"/>
    <w:rsid w:val="009F1EBB"/>
    <w:rsid w:val="009F24E4"/>
    <w:rsid w:val="009F28C7"/>
    <w:rsid w:val="009F2909"/>
    <w:rsid w:val="009F2EFC"/>
    <w:rsid w:val="009F3366"/>
    <w:rsid w:val="009F56B2"/>
    <w:rsid w:val="009F57E0"/>
    <w:rsid w:val="009F5ED7"/>
    <w:rsid w:val="009F624B"/>
    <w:rsid w:val="009F6AD5"/>
    <w:rsid w:val="009F705E"/>
    <w:rsid w:val="009F7843"/>
    <w:rsid w:val="009F7F58"/>
    <w:rsid w:val="00A00AA6"/>
    <w:rsid w:val="00A00F74"/>
    <w:rsid w:val="00A01009"/>
    <w:rsid w:val="00A015FE"/>
    <w:rsid w:val="00A01C8C"/>
    <w:rsid w:val="00A037E2"/>
    <w:rsid w:val="00A040D9"/>
    <w:rsid w:val="00A049A7"/>
    <w:rsid w:val="00A04CEF"/>
    <w:rsid w:val="00A05270"/>
    <w:rsid w:val="00A053C9"/>
    <w:rsid w:val="00A05B0B"/>
    <w:rsid w:val="00A05DA9"/>
    <w:rsid w:val="00A05E59"/>
    <w:rsid w:val="00A05FDC"/>
    <w:rsid w:val="00A06A8A"/>
    <w:rsid w:val="00A06DBE"/>
    <w:rsid w:val="00A07BD1"/>
    <w:rsid w:val="00A07F05"/>
    <w:rsid w:val="00A11014"/>
    <w:rsid w:val="00A11046"/>
    <w:rsid w:val="00A1138E"/>
    <w:rsid w:val="00A11B64"/>
    <w:rsid w:val="00A11BDB"/>
    <w:rsid w:val="00A12B6E"/>
    <w:rsid w:val="00A12FB8"/>
    <w:rsid w:val="00A132FD"/>
    <w:rsid w:val="00A1391C"/>
    <w:rsid w:val="00A1398C"/>
    <w:rsid w:val="00A13A74"/>
    <w:rsid w:val="00A13BA1"/>
    <w:rsid w:val="00A14916"/>
    <w:rsid w:val="00A14C0D"/>
    <w:rsid w:val="00A158EC"/>
    <w:rsid w:val="00A15978"/>
    <w:rsid w:val="00A15B9F"/>
    <w:rsid w:val="00A1680C"/>
    <w:rsid w:val="00A16D2E"/>
    <w:rsid w:val="00A176B6"/>
    <w:rsid w:val="00A20266"/>
    <w:rsid w:val="00A20C70"/>
    <w:rsid w:val="00A20D7A"/>
    <w:rsid w:val="00A21E94"/>
    <w:rsid w:val="00A2213E"/>
    <w:rsid w:val="00A22B67"/>
    <w:rsid w:val="00A22D3C"/>
    <w:rsid w:val="00A23A5B"/>
    <w:rsid w:val="00A2489A"/>
    <w:rsid w:val="00A24C5F"/>
    <w:rsid w:val="00A2568B"/>
    <w:rsid w:val="00A257F9"/>
    <w:rsid w:val="00A2587F"/>
    <w:rsid w:val="00A25E4B"/>
    <w:rsid w:val="00A25FD2"/>
    <w:rsid w:val="00A265B5"/>
    <w:rsid w:val="00A26AD8"/>
    <w:rsid w:val="00A26E47"/>
    <w:rsid w:val="00A272A7"/>
    <w:rsid w:val="00A273E8"/>
    <w:rsid w:val="00A27851"/>
    <w:rsid w:val="00A27ED1"/>
    <w:rsid w:val="00A303B9"/>
    <w:rsid w:val="00A304C8"/>
    <w:rsid w:val="00A30C5B"/>
    <w:rsid w:val="00A31879"/>
    <w:rsid w:val="00A3191F"/>
    <w:rsid w:val="00A31C0F"/>
    <w:rsid w:val="00A32392"/>
    <w:rsid w:val="00A32C09"/>
    <w:rsid w:val="00A33520"/>
    <w:rsid w:val="00A33ECF"/>
    <w:rsid w:val="00A35392"/>
    <w:rsid w:val="00A35D0A"/>
    <w:rsid w:val="00A3604A"/>
    <w:rsid w:val="00A3606E"/>
    <w:rsid w:val="00A36966"/>
    <w:rsid w:val="00A379B6"/>
    <w:rsid w:val="00A37B56"/>
    <w:rsid w:val="00A37B98"/>
    <w:rsid w:val="00A37E39"/>
    <w:rsid w:val="00A4080F"/>
    <w:rsid w:val="00A40C5A"/>
    <w:rsid w:val="00A418B0"/>
    <w:rsid w:val="00A42043"/>
    <w:rsid w:val="00A4218A"/>
    <w:rsid w:val="00A422BD"/>
    <w:rsid w:val="00A42481"/>
    <w:rsid w:val="00A42651"/>
    <w:rsid w:val="00A42B29"/>
    <w:rsid w:val="00A42CEA"/>
    <w:rsid w:val="00A43259"/>
    <w:rsid w:val="00A44132"/>
    <w:rsid w:val="00A451A2"/>
    <w:rsid w:val="00A45571"/>
    <w:rsid w:val="00A45803"/>
    <w:rsid w:val="00A45B93"/>
    <w:rsid w:val="00A46307"/>
    <w:rsid w:val="00A4652F"/>
    <w:rsid w:val="00A46ADD"/>
    <w:rsid w:val="00A46F6D"/>
    <w:rsid w:val="00A50B8E"/>
    <w:rsid w:val="00A50E00"/>
    <w:rsid w:val="00A51A13"/>
    <w:rsid w:val="00A51E51"/>
    <w:rsid w:val="00A52DBD"/>
    <w:rsid w:val="00A5376B"/>
    <w:rsid w:val="00A53818"/>
    <w:rsid w:val="00A5392E"/>
    <w:rsid w:val="00A547B3"/>
    <w:rsid w:val="00A54990"/>
    <w:rsid w:val="00A54D64"/>
    <w:rsid w:val="00A5575A"/>
    <w:rsid w:val="00A55970"/>
    <w:rsid w:val="00A55AB3"/>
    <w:rsid w:val="00A579CA"/>
    <w:rsid w:val="00A57CF2"/>
    <w:rsid w:val="00A60BE2"/>
    <w:rsid w:val="00A61A2B"/>
    <w:rsid w:val="00A61AA8"/>
    <w:rsid w:val="00A62983"/>
    <w:rsid w:val="00A62989"/>
    <w:rsid w:val="00A62B9A"/>
    <w:rsid w:val="00A63094"/>
    <w:rsid w:val="00A6324E"/>
    <w:rsid w:val="00A6371A"/>
    <w:rsid w:val="00A63D6D"/>
    <w:rsid w:val="00A648A0"/>
    <w:rsid w:val="00A64A28"/>
    <w:rsid w:val="00A64E52"/>
    <w:rsid w:val="00A66404"/>
    <w:rsid w:val="00A6660D"/>
    <w:rsid w:val="00A66DEF"/>
    <w:rsid w:val="00A677D1"/>
    <w:rsid w:val="00A679FF"/>
    <w:rsid w:val="00A67A2C"/>
    <w:rsid w:val="00A67EB1"/>
    <w:rsid w:val="00A70024"/>
    <w:rsid w:val="00A71973"/>
    <w:rsid w:val="00A71D1D"/>
    <w:rsid w:val="00A72BAC"/>
    <w:rsid w:val="00A72CF2"/>
    <w:rsid w:val="00A72F04"/>
    <w:rsid w:val="00A734A4"/>
    <w:rsid w:val="00A7351D"/>
    <w:rsid w:val="00A735E6"/>
    <w:rsid w:val="00A736A5"/>
    <w:rsid w:val="00A73AA4"/>
    <w:rsid w:val="00A73B37"/>
    <w:rsid w:val="00A74A3C"/>
    <w:rsid w:val="00A74ACD"/>
    <w:rsid w:val="00A75122"/>
    <w:rsid w:val="00A76776"/>
    <w:rsid w:val="00A769E9"/>
    <w:rsid w:val="00A77788"/>
    <w:rsid w:val="00A80509"/>
    <w:rsid w:val="00A813D0"/>
    <w:rsid w:val="00A81A99"/>
    <w:rsid w:val="00A81D5F"/>
    <w:rsid w:val="00A81E4E"/>
    <w:rsid w:val="00A81F09"/>
    <w:rsid w:val="00A82DC0"/>
    <w:rsid w:val="00A83DDB"/>
    <w:rsid w:val="00A849AE"/>
    <w:rsid w:val="00A84B22"/>
    <w:rsid w:val="00A85619"/>
    <w:rsid w:val="00A85F7C"/>
    <w:rsid w:val="00A8699D"/>
    <w:rsid w:val="00A869A6"/>
    <w:rsid w:val="00A86D5D"/>
    <w:rsid w:val="00A8719E"/>
    <w:rsid w:val="00A87C9D"/>
    <w:rsid w:val="00A90982"/>
    <w:rsid w:val="00A910F1"/>
    <w:rsid w:val="00A91763"/>
    <w:rsid w:val="00A9302C"/>
    <w:rsid w:val="00A93552"/>
    <w:rsid w:val="00A951DF"/>
    <w:rsid w:val="00A95648"/>
    <w:rsid w:val="00A963FA"/>
    <w:rsid w:val="00A96555"/>
    <w:rsid w:val="00A967D4"/>
    <w:rsid w:val="00A97491"/>
    <w:rsid w:val="00A97ABA"/>
    <w:rsid w:val="00AA02F9"/>
    <w:rsid w:val="00AA2000"/>
    <w:rsid w:val="00AA3026"/>
    <w:rsid w:val="00AA318A"/>
    <w:rsid w:val="00AA3F07"/>
    <w:rsid w:val="00AA411B"/>
    <w:rsid w:val="00AA44E6"/>
    <w:rsid w:val="00AA4598"/>
    <w:rsid w:val="00AA48D4"/>
    <w:rsid w:val="00AA4D61"/>
    <w:rsid w:val="00AA52D1"/>
    <w:rsid w:val="00AA54E2"/>
    <w:rsid w:val="00AA582B"/>
    <w:rsid w:val="00AA5BA7"/>
    <w:rsid w:val="00AA636E"/>
    <w:rsid w:val="00AA6D3D"/>
    <w:rsid w:val="00AB36A1"/>
    <w:rsid w:val="00AB3D21"/>
    <w:rsid w:val="00AB420F"/>
    <w:rsid w:val="00AB4830"/>
    <w:rsid w:val="00AB4EC0"/>
    <w:rsid w:val="00AB4FB9"/>
    <w:rsid w:val="00AB5A6B"/>
    <w:rsid w:val="00AB5C4C"/>
    <w:rsid w:val="00AB6FF9"/>
    <w:rsid w:val="00AB70A6"/>
    <w:rsid w:val="00AB716D"/>
    <w:rsid w:val="00AB764D"/>
    <w:rsid w:val="00AB7F3E"/>
    <w:rsid w:val="00AC001C"/>
    <w:rsid w:val="00AC0585"/>
    <w:rsid w:val="00AC1FFC"/>
    <w:rsid w:val="00AC277F"/>
    <w:rsid w:val="00AC2917"/>
    <w:rsid w:val="00AC2C62"/>
    <w:rsid w:val="00AC394F"/>
    <w:rsid w:val="00AC3B9D"/>
    <w:rsid w:val="00AC3E42"/>
    <w:rsid w:val="00AC3EBE"/>
    <w:rsid w:val="00AC40A1"/>
    <w:rsid w:val="00AC4245"/>
    <w:rsid w:val="00AC459D"/>
    <w:rsid w:val="00AC5F92"/>
    <w:rsid w:val="00AC6489"/>
    <w:rsid w:val="00AC6A9B"/>
    <w:rsid w:val="00AC6B20"/>
    <w:rsid w:val="00AC6CB0"/>
    <w:rsid w:val="00AC6ED5"/>
    <w:rsid w:val="00AD09AB"/>
    <w:rsid w:val="00AD0BF2"/>
    <w:rsid w:val="00AD1B5F"/>
    <w:rsid w:val="00AD2483"/>
    <w:rsid w:val="00AD275A"/>
    <w:rsid w:val="00AD28F7"/>
    <w:rsid w:val="00AD2E53"/>
    <w:rsid w:val="00AD3168"/>
    <w:rsid w:val="00AD3E50"/>
    <w:rsid w:val="00AD4021"/>
    <w:rsid w:val="00AD4843"/>
    <w:rsid w:val="00AD4BBB"/>
    <w:rsid w:val="00AD4C1A"/>
    <w:rsid w:val="00AD5316"/>
    <w:rsid w:val="00AD57A8"/>
    <w:rsid w:val="00AD59D1"/>
    <w:rsid w:val="00AD5DA4"/>
    <w:rsid w:val="00AD617B"/>
    <w:rsid w:val="00AD62A7"/>
    <w:rsid w:val="00AD62B4"/>
    <w:rsid w:val="00AD69E1"/>
    <w:rsid w:val="00AD7BFF"/>
    <w:rsid w:val="00AE0102"/>
    <w:rsid w:val="00AE09BF"/>
    <w:rsid w:val="00AE0EA3"/>
    <w:rsid w:val="00AE1158"/>
    <w:rsid w:val="00AE11FA"/>
    <w:rsid w:val="00AE1642"/>
    <w:rsid w:val="00AE1838"/>
    <w:rsid w:val="00AE4ABE"/>
    <w:rsid w:val="00AE4D23"/>
    <w:rsid w:val="00AE55A3"/>
    <w:rsid w:val="00AE5749"/>
    <w:rsid w:val="00AE58A2"/>
    <w:rsid w:val="00AE5B8B"/>
    <w:rsid w:val="00AE5D71"/>
    <w:rsid w:val="00AE60A1"/>
    <w:rsid w:val="00AE6682"/>
    <w:rsid w:val="00AE6AA3"/>
    <w:rsid w:val="00AE6FD4"/>
    <w:rsid w:val="00AE752E"/>
    <w:rsid w:val="00AE7943"/>
    <w:rsid w:val="00AE7AC6"/>
    <w:rsid w:val="00AF01FE"/>
    <w:rsid w:val="00AF0236"/>
    <w:rsid w:val="00AF0888"/>
    <w:rsid w:val="00AF1064"/>
    <w:rsid w:val="00AF154C"/>
    <w:rsid w:val="00AF1E3A"/>
    <w:rsid w:val="00AF1F43"/>
    <w:rsid w:val="00AF21E8"/>
    <w:rsid w:val="00AF275C"/>
    <w:rsid w:val="00AF28CA"/>
    <w:rsid w:val="00AF2BDD"/>
    <w:rsid w:val="00AF3501"/>
    <w:rsid w:val="00AF35E2"/>
    <w:rsid w:val="00AF3A52"/>
    <w:rsid w:val="00AF3ED6"/>
    <w:rsid w:val="00AF55A5"/>
    <w:rsid w:val="00AF7687"/>
    <w:rsid w:val="00AF7D27"/>
    <w:rsid w:val="00AF7E27"/>
    <w:rsid w:val="00B00BAC"/>
    <w:rsid w:val="00B0138D"/>
    <w:rsid w:val="00B01604"/>
    <w:rsid w:val="00B01999"/>
    <w:rsid w:val="00B01BA9"/>
    <w:rsid w:val="00B01BE0"/>
    <w:rsid w:val="00B01D36"/>
    <w:rsid w:val="00B01D66"/>
    <w:rsid w:val="00B027CE"/>
    <w:rsid w:val="00B0288F"/>
    <w:rsid w:val="00B03019"/>
    <w:rsid w:val="00B0317A"/>
    <w:rsid w:val="00B03AF7"/>
    <w:rsid w:val="00B04224"/>
    <w:rsid w:val="00B05725"/>
    <w:rsid w:val="00B057F0"/>
    <w:rsid w:val="00B05879"/>
    <w:rsid w:val="00B06ACB"/>
    <w:rsid w:val="00B07309"/>
    <w:rsid w:val="00B07469"/>
    <w:rsid w:val="00B10ED1"/>
    <w:rsid w:val="00B11874"/>
    <w:rsid w:val="00B119D0"/>
    <w:rsid w:val="00B119D7"/>
    <w:rsid w:val="00B11F0D"/>
    <w:rsid w:val="00B11FDD"/>
    <w:rsid w:val="00B12B89"/>
    <w:rsid w:val="00B13C64"/>
    <w:rsid w:val="00B145C7"/>
    <w:rsid w:val="00B149D2"/>
    <w:rsid w:val="00B15630"/>
    <w:rsid w:val="00B15919"/>
    <w:rsid w:val="00B15C15"/>
    <w:rsid w:val="00B16D88"/>
    <w:rsid w:val="00B16E6E"/>
    <w:rsid w:val="00B16E92"/>
    <w:rsid w:val="00B16F16"/>
    <w:rsid w:val="00B1750A"/>
    <w:rsid w:val="00B17E68"/>
    <w:rsid w:val="00B17ED4"/>
    <w:rsid w:val="00B202A1"/>
    <w:rsid w:val="00B202C6"/>
    <w:rsid w:val="00B20487"/>
    <w:rsid w:val="00B213F2"/>
    <w:rsid w:val="00B2153F"/>
    <w:rsid w:val="00B219B9"/>
    <w:rsid w:val="00B21A14"/>
    <w:rsid w:val="00B2208D"/>
    <w:rsid w:val="00B22B64"/>
    <w:rsid w:val="00B2307F"/>
    <w:rsid w:val="00B24728"/>
    <w:rsid w:val="00B24AD0"/>
    <w:rsid w:val="00B24EEF"/>
    <w:rsid w:val="00B25684"/>
    <w:rsid w:val="00B25A6A"/>
    <w:rsid w:val="00B25B13"/>
    <w:rsid w:val="00B25E56"/>
    <w:rsid w:val="00B26540"/>
    <w:rsid w:val="00B268F7"/>
    <w:rsid w:val="00B26AFE"/>
    <w:rsid w:val="00B26D3A"/>
    <w:rsid w:val="00B2704D"/>
    <w:rsid w:val="00B2734B"/>
    <w:rsid w:val="00B27546"/>
    <w:rsid w:val="00B303CD"/>
    <w:rsid w:val="00B30B56"/>
    <w:rsid w:val="00B316A1"/>
    <w:rsid w:val="00B31CCA"/>
    <w:rsid w:val="00B32458"/>
    <w:rsid w:val="00B337D3"/>
    <w:rsid w:val="00B33B65"/>
    <w:rsid w:val="00B34327"/>
    <w:rsid w:val="00B34F72"/>
    <w:rsid w:val="00B35B06"/>
    <w:rsid w:val="00B36308"/>
    <w:rsid w:val="00B36966"/>
    <w:rsid w:val="00B36FC9"/>
    <w:rsid w:val="00B37056"/>
    <w:rsid w:val="00B37969"/>
    <w:rsid w:val="00B40860"/>
    <w:rsid w:val="00B4269D"/>
    <w:rsid w:val="00B4280D"/>
    <w:rsid w:val="00B43659"/>
    <w:rsid w:val="00B43B1A"/>
    <w:rsid w:val="00B43CAD"/>
    <w:rsid w:val="00B44220"/>
    <w:rsid w:val="00B44AF1"/>
    <w:rsid w:val="00B46020"/>
    <w:rsid w:val="00B46483"/>
    <w:rsid w:val="00B46E13"/>
    <w:rsid w:val="00B46E82"/>
    <w:rsid w:val="00B4714D"/>
    <w:rsid w:val="00B47508"/>
    <w:rsid w:val="00B47D6F"/>
    <w:rsid w:val="00B47DEE"/>
    <w:rsid w:val="00B508CD"/>
    <w:rsid w:val="00B50B42"/>
    <w:rsid w:val="00B51236"/>
    <w:rsid w:val="00B51789"/>
    <w:rsid w:val="00B518D4"/>
    <w:rsid w:val="00B51DB1"/>
    <w:rsid w:val="00B51E7B"/>
    <w:rsid w:val="00B52A44"/>
    <w:rsid w:val="00B531EB"/>
    <w:rsid w:val="00B53B47"/>
    <w:rsid w:val="00B54DEE"/>
    <w:rsid w:val="00B557E1"/>
    <w:rsid w:val="00B5597E"/>
    <w:rsid w:val="00B56A58"/>
    <w:rsid w:val="00B57880"/>
    <w:rsid w:val="00B57ACE"/>
    <w:rsid w:val="00B60235"/>
    <w:rsid w:val="00B60C9E"/>
    <w:rsid w:val="00B60D6C"/>
    <w:rsid w:val="00B612D2"/>
    <w:rsid w:val="00B6147C"/>
    <w:rsid w:val="00B616BC"/>
    <w:rsid w:val="00B616CD"/>
    <w:rsid w:val="00B617FF"/>
    <w:rsid w:val="00B61AF0"/>
    <w:rsid w:val="00B61CF5"/>
    <w:rsid w:val="00B620F0"/>
    <w:rsid w:val="00B62876"/>
    <w:rsid w:val="00B62B01"/>
    <w:rsid w:val="00B62FD5"/>
    <w:rsid w:val="00B630C0"/>
    <w:rsid w:val="00B63C05"/>
    <w:rsid w:val="00B63EF2"/>
    <w:rsid w:val="00B63F5E"/>
    <w:rsid w:val="00B647AF"/>
    <w:rsid w:val="00B64F42"/>
    <w:rsid w:val="00B651D5"/>
    <w:rsid w:val="00B655D6"/>
    <w:rsid w:val="00B65B86"/>
    <w:rsid w:val="00B664A7"/>
    <w:rsid w:val="00B66B79"/>
    <w:rsid w:val="00B66FF4"/>
    <w:rsid w:val="00B671EA"/>
    <w:rsid w:val="00B6768B"/>
    <w:rsid w:val="00B6778A"/>
    <w:rsid w:val="00B679A2"/>
    <w:rsid w:val="00B70B77"/>
    <w:rsid w:val="00B713CB"/>
    <w:rsid w:val="00B71861"/>
    <w:rsid w:val="00B71976"/>
    <w:rsid w:val="00B71AA3"/>
    <w:rsid w:val="00B7215D"/>
    <w:rsid w:val="00B72882"/>
    <w:rsid w:val="00B747CF"/>
    <w:rsid w:val="00B74889"/>
    <w:rsid w:val="00B74959"/>
    <w:rsid w:val="00B74F4D"/>
    <w:rsid w:val="00B74FD9"/>
    <w:rsid w:val="00B7543E"/>
    <w:rsid w:val="00B75890"/>
    <w:rsid w:val="00B75E4F"/>
    <w:rsid w:val="00B7647A"/>
    <w:rsid w:val="00B7721F"/>
    <w:rsid w:val="00B77897"/>
    <w:rsid w:val="00B77F47"/>
    <w:rsid w:val="00B803CA"/>
    <w:rsid w:val="00B81BF2"/>
    <w:rsid w:val="00B81F26"/>
    <w:rsid w:val="00B82A97"/>
    <w:rsid w:val="00B82DC2"/>
    <w:rsid w:val="00B83F3A"/>
    <w:rsid w:val="00B84BDB"/>
    <w:rsid w:val="00B84FDB"/>
    <w:rsid w:val="00B85707"/>
    <w:rsid w:val="00B85A44"/>
    <w:rsid w:val="00B85B75"/>
    <w:rsid w:val="00B85F57"/>
    <w:rsid w:val="00B86E7A"/>
    <w:rsid w:val="00B86E85"/>
    <w:rsid w:val="00B906D3"/>
    <w:rsid w:val="00B9204D"/>
    <w:rsid w:val="00B923C2"/>
    <w:rsid w:val="00B92E5F"/>
    <w:rsid w:val="00B93130"/>
    <w:rsid w:val="00B931D1"/>
    <w:rsid w:val="00B93653"/>
    <w:rsid w:val="00B936B4"/>
    <w:rsid w:val="00B93ADF"/>
    <w:rsid w:val="00B93DAB"/>
    <w:rsid w:val="00B93DE3"/>
    <w:rsid w:val="00B94298"/>
    <w:rsid w:val="00B9613F"/>
    <w:rsid w:val="00B96973"/>
    <w:rsid w:val="00B96986"/>
    <w:rsid w:val="00BA0431"/>
    <w:rsid w:val="00BA10EC"/>
    <w:rsid w:val="00BA1296"/>
    <w:rsid w:val="00BA1355"/>
    <w:rsid w:val="00BA14CB"/>
    <w:rsid w:val="00BA2073"/>
    <w:rsid w:val="00BA2220"/>
    <w:rsid w:val="00BA2314"/>
    <w:rsid w:val="00BA2926"/>
    <w:rsid w:val="00BA37F1"/>
    <w:rsid w:val="00BA396F"/>
    <w:rsid w:val="00BA40D4"/>
    <w:rsid w:val="00BA4ED5"/>
    <w:rsid w:val="00BA5386"/>
    <w:rsid w:val="00BA5833"/>
    <w:rsid w:val="00BA6525"/>
    <w:rsid w:val="00BA6CF1"/>
    <w:rsid w:val="00BA70B3"/>
    <w:rsid w:val="00BB1294"/>
    <w:rsid w:val="00BB1B3A"/>
    <w:rsid w:val="00BB241E"/>
    <w:rsid w:val="00BB2B03"/>
    <w:rsid w:val="00BB3969"/>
    <w:rsid w:val="00BB47AD"/>
    <w:rsid w:val="00BB51B9"/>
    <w:rsid w:val="00BB5D49"/>
    <w:rsid w:val="00BB75D1"/>
    <w:rsid w:val="00BB78B1"/>
    <w:rsid w:val="00BC10DC"/>
    <w:rsid w:val="00BC148D"/>
    <w:rsid w:val="00BC1595"/>
    <w:rsid w:val="00BC1B43"/>
    <w:rsid w:val="00BC1F16"/>
    <w:rsid w:val="00BC2751"/>
    <w:rsid w:val="00BC276F"/>
    <w:rsid w:val="00BC31DF"/>
    <w:rsid w:val="00BC3459"/>
    <w:rsid w:val="00BC3466"/>
    <w:rsid w:val="00BC3A68"/>
    <w:rsid w:val="00BC3C14"/>
    <w:rsid w:val="00BC3D85"/>
    <w:rsid w:val="00BC4409"/>
    <w:rsid w:val="00BC488F"/>
    <w:rsid w:val="00BC4B04"/>
    <w:rsid w:val="00BC5275"/>
    <w:rsid w:val="00BC5397"/>
    <w:rsid w:val="00BC674F"/>
    <w:rsid w:val="00BC69FC"/>
    <w:rsid w:val="00BC6D91"/>
    <w:rsid w:val="00BC7417"/>
    <w:rsid w:val="00BC75DC"/>
    <w:rsid w:val="00BC76A0"/>
    <w:rsid w:val="00BC7D09"/>
    <w:rsid w:val="00BD0BA1"/>
    <w:rsid w:val="00BD17E8"/>
    <w:rsid w:val="00BD18E4"/>
    <w:rsid w:val="00BD1CDF"/>
    <w:rsid w:val="00BD2BE9"/>
    <w:rsid w:val="00BD348A"/>
    <w:rsid w:val="00BD3E0D"/>
    <w:rsid w:val="00BD4379"/>
    <w:rsid w:val="00BD4B25"/>
    <w:rsid w:val="00BD51B5"/>
    <w:rsid w:val="00BD5F23"/>
    <w:rsid w:val="00BD62BB"/>
    <w:rsid w:val="00BD6394"/>
    <w:rsid w:val="00BD64BE"/>
    <w:rsid w:val="00BD67DB"/>
    <w:rsid w:val="00BD6E7B"/>
    <w:rsid w:val="00BD7311"/>
    <w:rsid w:val="00BD74FE"/>
    <w:rsid w:val="00BD76DA"/>
    <w:rsid w:val="00BD77E8"/>
    <w:rsid w:val="00BD79DE"/>
    <w:rsid w:val="00BE1193"/>
    <w:rsid w:val="00BE174A"/>
    <w:rsid w:val="00BE2275"/>
    <w:rsid w:val="00BE2300"/>
    <w:rsid w:val="00BE265A"/>
    <w:rsid w:val="00BE2BB9"/>
    <w:rsid w:val="00BE3426"/>
    <w:rsid w:val="00BE489A"/>
    <w:rsid w:val="00BE4DBD"/>
    <w:rsid w:val="00BE516F"/>
    <w:rsid w:val="00BE5933"/>
    <w:rsid w:val="00BE61DF"/>
    <w:rsid w:val="00BE69FC"/>
    <w:rsid w:val="00BE73FF"/>
    <w:rsid w:val="00BE7753"/>
    <w:rsid w:val="00BE7822"/>
    <w:rsid w:val="00BF0301"/>
    <w:rsid w:val="00BF0BFA"/>
    <w:rsid w:val="00BF1DF3"/>
    <w:rsid w:val="00BF1E50"/>
    <w:rsid w:val="00BF1F6B"/>
    <w:rsid w:val="00BF2799"/>
    <w:rsid w:val="00BF315D"/>
    <w:rsid w:val="00BF3908"/>
    <w:rsid w:val="00BF4427"/>
    <w:rsid w:val="00BF478A"/>
    <w:rsid w:val="00BF4EC1"/>
    <w:rsid w:val="00BF51D7"/>
    <w:rsid w:val="00BF56F0"/>
    <w:rsid w:val="00BF5962"/>
    <w:rsid w:val="00BF6B7F"/>
    <w:rsid w:val="00BF7673"/>
    <w:rsid w:val="00BF775B"/>
    <w:rsid w:val="00BF7A91"/>
    <w:rsid w:val="00BF7E14"/>
    <w:rsid w:val="00C02F28"/>
    <w:rsid w:val="00C04BBA"/>
    <w:rsid w:val="00C04F4F"/>
    <w:rsid w:val="00C05478"/>
    <w:rsid w:val="00C058EB"/>
    <w:rsid w:val="00C05F50"/>
    <w:rsid w:val="00C063E1"/>
    <w:rsid w:val="00C06464"/>
    <w:rsid w:val="00C06848"/>
    <w:rsid w:val="00C06AAF"/>
    <w:rsid w:val="00C07040"/>
    <w:rsid w:val="00C10140"/>
    <w:rsid w:val="00C103BC"/>
    <w:rsid w:val="00C119D3"/>
    <w:rsid w:val="00C11F23"/>
    <w:rsid w:val="00C12DDA"/>
    <w:rsid w:val="00C138B4"/>
    <w:rsid w:val="00C13EFF"/>
    <w:rsid w:val="00C144B1"/>
    <w:rsid w:val="00C14DF9"/>
    <w:rsid w:val="00C15C6A"/>
    <w:rsid w:val="00C162DB"/>
    <w:rsid w:val="00C1654B"/>
    <w:rsid w:val="00C16896"/>
    <w:rsid w:val="00C16ACF"/>
    <w:rsid w:val="00C1706C"/>
    <w:rsid w:val="00C1762F"/>
    <w:rsid w:val="00C179BA"/>
    <w:rsid w:val="00C2098C"/>
    <w:rsid w:val="00C20DFF"/>
    <w:rsid w:val="00C21467"/>
    <w:rsid w:val="00C23299"/>
    <w:rsid w:val="00C23881"/>
    <w:rsid w:val="00C248A0"/>
    <w:rsid w:val="00C2594F"/>
    <w:rsid w:val="00C25EC4"/>
    <w:rsid w:val="00C26A04"/>
    <w:rsid w:val="00C26BA5"/>
    <w:rsid w:val="00C26D60"/>
    <w:rsid w:val="00C26EDB"/>
    <w:rsid w:val="00C27679"/>
    <w:rsid w:val="00C27E35"/>
    <w:rsid w:val="00C30827"/>
    <w:rsid w:val="00C30AD4"/>
    <w:rsid w:val="00C30B6D"/>
    <w:rsid w:val="00C317C6"/>
    <w:rsid w:val="00C32F65"/>
    <w:rsid w:val="00C33139"/>
    <w:rsid w:val="00C33620"/>
    <w:rsid w:val="00C339C7"/>
    <w:rsid w:val="00C35029"/>
    <w:rsid w:val="00C354B1"/>
    <w:rsid w:val="00C36166"/>
    <w:rsid w:val="00C3642D"/>
    <w:rsid w:val="00C367D9"/>
    <w:rsid w:val="00C37A09"/>
    <w:rsid w:val="00C37B2A"/>
    <w:rsid w:val="00C37D44"/>
    <w:rsid w:val="00C37DCF"/>
    <w:rsid w:val="00C42A26"/>
    <w:rsid w:val="00C43706"/>
    <w:rsid w:val="00C44559"/>
    <w:rsid w:val="00C446FD"/>
    <w:rsid w:val="00C44908"/>
    <w:rsid w:val="00C44F84"/>
    <w:rsid w:val="00C4552A"/>
    <w:rsid w:val="00C4597D"/>
    <w:rsid w:val="00C45B15"/>
    <w:rsid w:val="00C46147"/>
    <w:rsid w:val="00C464A3"/>
    <w:rsid w:val="00C464F4"/>
    <w:rsid w:val="00C47974"/>
    <w:rsid w:val="00C50355"/>
    <w:rsid w:val="00C51111"/>
    <w:rsid w:val="00C5138C"/>
    <w:rsid w:val="00C51824"/>
    <w:rsid w:val="00C52376"/>
    <w:rsid w:val="00C5262E"/>
    <w:rsid w:val="00C52E77"/>
    <w:rsid w:val="00C549B8"/>
    <w:rsid w:val="00C55251"/>
    <w:rsid w:val="00C55340"/>
    <w:rsid w:val="00C5547B"/>
    <w:rsid w:val="00C554B5"/>
    <w:rsid w:val="00C56195"/>
    <w:rsid w:val="00C56432"/>
    <w:rsid w:val="00C56DE7"/>
    <w:rsid w:val="00C5718B"/>
    <w:rsid w:val="00C57964"/>
    <w:rsid w:val="00C57A78"/>
    <w:rsid w:val="00C57ED0"/>
    <w:rsid w:val="00C60330"/>
    <w:rsid w:val="00C60783"/>
    <w:rsid w:val="00C60822"/>
    <w:rsid w:val="00C6084A"/>
    <w:rsid w:val="00C60D29"/>
    <w:rsid w:val="00C6118F"/>
    <w:rsid w:val="00C61A13"/>
    <w:rsid w:val="00C62227"/>
    <w:rsid w:val="00C62FE7"/>
    <w:rsid w:val="00C646D3"/>
    <w:rsid w:val="00C64890"/>
    <w:rsid w:val="00C65275"/>
    <w:rsid w:val="00C6535E"/>
    <w:rsid w:val="00C6552F"/>
    <w:rsid w:val="00C65A09"/>
    <w:rsid w:val="00C66C37"/>
    <w:rsid w:val="00C70886"/>
    <w:rsid w:val="00C70F76"/>
    <w:rsid w:val="00C71C9E"/>
    <w:rsid w:val="00C725CF"/>
    <w:rsid w:val="00C72E08"/>
    <w:rsid w:val="00C733BC"/>
    <w:rsid w:val="00C73FC6"/>
    <w:rsid w:val="00C740B3"/>
    <w:rsid w:val="00C74214"/>
    <w:rsid w:val="00C74225"/>
    <w:rsid w:val="00C743EE"/>
    <w:rsid w:val="00C74888"/>
    <w:rsid w:val="00C74954"/>
    <w:rsid w:val="00C74C47"/>
    <w:rsid w:val="00C751A7"/>
    <w:rsid w:val="00C764BE"/>
    <w:rsid w:val="00C76C09"/>
    <w:rsid w:val="00C76D90"/>
    <w:rsid w:val="00C8014A"/>
    <w:rsid w:val="00C8043D"/>
    <w:rsid w:val="00C80953"/>
    <w:rsid w:val="00C80B1A"/>
    <w:rsid w:val="00C81BD4"/>
    <w:rsid w:val="00C82B99"/>
    <w:rsid w:val="00C82D8F"/>
    <w:rsid w:val="00C84519"/>
    <w:rsid w:val="00C847FA"/>
    <w:rsid w:val="00C85847"/>
    <w:rsid w:val="00C85B74"/>
    <w:rsid w:val="00C8647A"/>
    <w:rsid w:val="00C86516"/>
    <w:rsid w:val="00C87977"/>
    <w:rsid w:val="00C91510"/>
    <w:rsid w:val="00C9198F"/>
    <w:rsid w:val="00C93C07"/>
    <w:rsid w:val="00C94492"/>
    <w:rsid w:val="00C94844"/>
    <w:rsid w:val="00C95035"/>
    <w:rsid w:val="00C95503"/>
    <w:rsid w:val="00C95B18"/>
    <w:rsid w:val="00C95D31"/>
    <w:rsid w:val="00C96170"/>
    <w:rsid w:val="00C969FE"/>
    <w:rsid w:val="00C96B45"/>
    <w:rsid w:val="00C96D79"/>
    <w:rsid w:val="00C96FF1"/>
    <w:rsid w:val="00C97076"/>
    <w:rsid w:val="00C973BE"/>
    <w:rsid w:val="00C977BB"/>
    <w:rsid w:val="00C978DE"/>
    <w:rsid w:val="00C97FB3"/>
    <w:rsid w:val="00CA0885"/>
    <w:rsid w:val="00CA0A50"/>
    <w:rsid w:val="00CA1244"/>
    <w:rsid w:val="00CA128A"/>
    <w:rsid w:val="00CA12F4"/>
    <w:rsid w:val="00CA22C3"/>
    <w:rsid w:val="00CA2515"/>
    <w:rsid w:val="00CA25CF"/>
    <w:rsid w:val="00CA2FD4"/>
    <w:rsid w:val="00CA359A"/>
    <w:rsid w:val="00CA44E4"/>
    <w:rsid w:val="00CA4B34"/>
    <w:rsid w:val="00CA6044"/>
    <w:rsid w:val="00CA6D11"/>
    <w:rsid w:val="00CA74E0"/>
    <w:rsid w:val="00CA7B39"/>
    <w:rsid w:val="00CB0DE0"/>
    <w:rsid w:val="00CB10E1"/>
    <w:rsid w:val="00CB1B6C"/>
    <w:rsid w:val="00CB1F28"/>
    <w:rsid w:val="00CB2F0A"/>
    <w:rsid w:val="00CB3F43"/>
    <w:rsid w:val="00CB430F"/>
    <w:rsid w:val="00CB5047"/>
    <w:rsid w:val="00CB57B5"/>
    <w:rsid w:val="00CB63E8"/>
    <w:rsid w:val="00CB7E92"/>
    <w:rsid w:val="00CC0235"/>
    <w:rsid w:val="00CC045A"/>
    <w:rsid w:val="00CC0B68"/>
    <w:rsid w:val="00CC16A4"/>
    <w:rsid w:val="00CC1D8B"/>
    <w:rsid w:val="00CC2746"/>
    <w:rsid w:val="00CC3E26"/>
    <w:rsid w:val="00CC4175"/>
    <w:rsid w:val="00CC47F7"/>
    <w:rsid w:val="00CC51C0"/>
    <w:rsid w:val="00CC5633"/>
    <w:rsid w:val="00CC5E04"/>
    <w:rsid w:val="00CC6662"/>
    <w:rsid w:val="00CC6734"/>
    <w:rsid w:val="00CC730B"/>
    <w:rsid w:val="00CD097E"/>
    <w:rsid w:val="00CD0980"/>
    <w:rsid w:val="00CD1FA7"/>
    <w:rsid w:val="00CD2BF8"/>
    <w:rsid w:val="00CD2E5A"/>
    <w:rsid w:val="00CD33EC"/>
    <w:rsid w:val="00CD3F5C"/>
    <w:rsid w:val="00CD4402"/>
    <w:rsid w:val="00CD53F9"/>
    <w:rsid w:val="00CD6538"/>
    <w:rsid w:val="00CD65B4"/>
    <w:rsid w:val="00CD708C"/>
    <w:rsid w:val="00CD7E51"/>
    <w:rsid w:val="00CE0268"/>
    <w:rsid w:val="00CE0671"/>
    <w:rsid w:val="00CE06DF"/>
    <w:rsid w:val="00CE0C16"/>
    <w:rsid w:val="00CE156E"/>
    <w:rsid w:val="00CE17F8"/>
    <w:rsid w:val="00CE18CC"/>
    <w:rsid w:val="00CE2BB8"/>
    <w:rsid w:val="00CE2E86"/>
    <w:rsid w:val="00CE418B"/>
    <w:rsid w:val="00CE4C6C"/>
    <w:rsid w:val="00CE4DD7"/>
    <w:rsid w:val="00CE74C1"/>
    <w:rsid w:val="00CF00EB"/>
    <w:rsid w:val="00CF28EE"/>
    <w:rsid w:val="00CF2AF1"/>
    <w:rsid w:val="00CF2EDC"/>
    <w:rsid w:val="00CF466F"/>
    <w:rsid w:val="00CF46AF"/>
    <w:rsid w:val="00CF56FA"/>
    <w:rsid w:val="00CF58FE"/>
    <w:rsid w:val="00CF5C6E"/>
    <w:rsid w:val="00CF6281"/>
    <w:rsid w:val="00CF6373"/>
    <w:rsid w:val="00CF67C6"/>
    <w:rsid w:val="00CF6A86"/>
    <w:rsid w:val="00CF6CC7"/>
    <w:rsid w:val="00CF6D69"/>
    <w:rsid w:val="00CF776C"/>
    <w:rsid w:val="00CF785C"/>
    <w:rsid w:val="00D0038F"/>
    <w:rsid w:val="00D00560"/>
    <w:rsid w:val="00D01584"/>
    <w:rsid w:val="00D01BE0"/>
    <w:rsid w:val="00D01C38"/>
    <w:rsid w:val="00D0206E"/>
    <w:rsid w:val="00D02203"/>
    <w:rsid w:val="00D03926"/>
    <w:rsid w:val="00D04112"/>
    <w:rsid w:val="00D048F6"/>
    <w:rsid w:val="00D04B65"/>
    <w:rsid w:val="00D05169"/>
    <w:rsid w:val="00D06726"/>
    <w:rsid w:val="00D06D1A"/>
    <w:rsid w:val="00D06EA8"/>
    <w:rsid w:val="00D06F6C"/>
    <w:rsid w:val="00D1071D"/>
    <w:rsid w:val="00D10CCF"/>
    <w:rsid w:val="00D11297"/>
    <w:rsid w:val="00D1145F"/>
    <w:rsid w:val="00D126AE"/>
    <w:rsid w:val="00D13148"/>
    <w:rsid w:val="00D1318A"/>
    <w:rsid w:val="00D13B54"/>
    <w:rsid w:val="00D140E6"/>
    <w:rsid w:val="00D1420F"/>
    <w:rsid w:val="00D15798"/>
    <w:rsid w:val="00D15927"/>
    <w:rsid w:val="00D16526"/>
    <w:rsid w:val="00D16994"/>
    <w:rsid w:val="00D16F53"/>
    <w:rsid w:val="00D17349"/>
    <w:rsid w:val="00D17564"/>
    <w:rsid w:val="00D1782E"/>
    <w:rsid w:val="00D20F1B"/>
    <w:rsid w:val="00D21231"/>
    <w:rsid w:val="00D213A5"/>
    <w:rsid w:val="00D21666"/>
    <w:rsid w:val="00D2185F"/>
    <w:rsid w:val="00D22581"/>
    <w:rsid w:val="00D22B9D"/>
    <w:rsid w:val="00D22BDD"/>
    <w:rsid w:val="00D22D37"/>
    <w:rsid w:val="00D22E4F"/>
    <w:rsid w:val="00D2321D"/>
    <w:rsid w:val="00D2427A"/>
    <w:rsid w:val="00D25858"/>
    <w:rsid w:val="00D258B6"/>
    <w:rsid w:val="00D2687A"/>
    <w:rsid w:val="00D2694F"/>
    <w:rsid w:val="00D26C3C"/>
    <w:rsid w:val="00D27718"/>
    <w:rsid w:val="00D27831"/>
    <w:rsid w:val="00D30678"/>
    <w:rsid w:val="00D30E18"/>
    <w:rsid w:val="00D31696"/>
    <w:rsid w:val="00D31742"/>
    <w:rsid w:val="00D32095"/>
    <w:rsid w:val="00D327FA"/>
    <w:rsid w:val="00D32833"/>
    <w:rsid w:val="00D3295B"/>
    <w:rsid w:val="00D329B4"/>
    <w:rsid w:val="00D329F3"/>
    <w:rsid w:val="00D333B0"/>
    <w:rsid w:val="00D33449"/>
    <w:rsid w:val="00D33937"/>
    <w:rsid w:val="00D340CA"/>
    <w:rsid w:val="00D345BA"/>
    <w:rsid w:val="00D36644"/>
    <w:rsid w:val="00D3669C"/>
    <w:rsid w:val="00D36924"/>
    <w:rsid w:val="00D37DD6"/>
    <w:rsid w:val="00D40174"/>
    <w:rsid w:val="00D40826"/>
    <w:rsid w:val="00D40EE7"/>
    <w:rsid w:val="00D41767"/>
    <w:rsid w:val="00D43639"/>
    <w:rsid w:val="00D4364B"/>
    <w:rsid w:val="00D437EF"/>
    <w:rsid w:val="00D43B4B"/>
    <w:rsid w:val="00D43D10"/>
    <w:rsid w:val="00D43D78"/>
    <w:rsid w:val="00D43DEC"/>
    <w:rsid w:val="00D44164"/>
    <w:rsid w:val="00D44758"/>
    <w:rsid w:val="00D449C3"/>
    <w:rsid w:val="00D4516F"/>
    <w:rsid w:val="00D4578A"/>
    <w:rsid w:val="00D458F5"/>
    <w:rsid w:val="00D46AAA"/>
    <w:rsid w:val="00D4707E"/>
    <w:rsid w:val="00D4710B"/>
    <w:rsid w:val="00D474C0"/>
    <w:rsid w:val="00D47BDF"/>
    <w:rsid w:val="00D50145"/>
    <w:rsid w:val="00D50DBB"/>
    <w:rsid w:val="00D51123"/>
    <w:rsid w:val="00D5184A"/>
    <w:rsid w:val="00D5189E"/>
    <w:rsid w:val="00D51E2C"/>
    <w:rsid w:val="00D530D8"/>
    <w:rsid w:val="00D53A61"/>
    <w:rsid w:val="00D5425B"/>
    <w:rsid w:val="00D54A9E"/>
    <w:rsid w:val="00D5552D"/>
    <w:rsid w:val="00D55721"/>
    <w:rsid w:val="00D55F3E"/>
    <w:rsid w:val="00D56491"/>
    <w:rsid w:val="00D56EBA"/>
    <w:rsid w:val="00D570AD"/>
    <w:rsid w:val="00D572CC"/>
    <w:rsid w:val="00D5772F"/>
    <w:rsid w:val="00D57DDF"/>
    <w:rsid w:val="00D57F97"/>
    <w:rsid w:val="00D603A3"/>
    <w:rsid w:val="00D6042D"/>
    <w:rsid w:val="00D60DDC"/>
    <w:rsid w:val="00D60F2E"/>
    <w:rsid w:val="00D61979"/>
    <w:rsid w:val="00D61B03"/>
    <w:rsid w:val="00D62144"/>
    <w:rsid w:val="00D6248A"/>
    <w:rsid w:val="00D62EC2"/>
    <w:rsid w:val="00D62F7A"/>
    <w:rsid w:val="00D63DB2"/>
    <w:rsid w:val="00D6459E"/>
    <w:rsid w:val="00D64759"/>
    <w:rsid w:val="00D64B6E"/>
    <w:rsid w:val="00D65BBF"/>
    <w:rsid w:val="00D66028"/>
    <w:rsid w:val="00D672F5"/>
    <w:rsid w:val="00D6757B"/>
    <w:rsid w:val="00D701C3"/>
    <w:rsid w:val="00D70D88"/>
    <w:rsid w:val="00D70EDD"/>
    <w:rsid w:val="00D712CE"/>
    <w:rsid w:val="00D71EDB"/>
    <w:rsid w:val="00D7283A"/>
    <w:rsid w:val="00D72DAB"/>
    <w:rsid w:val="00D72F4B"/>
    <w:rsid w:val="00D73180"/>
    <w:rsid w:val="00D73503"/>
    <w:rsid w:val="00D73BBB"/>
    <w:rsid w:val="00D741BC"/>
    <w:rsid w:val="00D74522"/>
    <w:rsid w:val="00D74FC3"/>
    <w:rsid w:val="00D7527F"/>
    <w:rsid w:val="00D758B1"/>
    <w:rsid w:val="00D8005D"/>
    <w:rsid w:val="00D80CB1"/>
    <w:rsid w:val="00D80D4B"/>
    <w:rsid w:val="00D80EF3"/>
    <w:rsid w:val="00D8133B"/>
    <w:rsid w:val="00D8195F"/>
    <w:rsid w:val="00D81C1E"/>
    <w:rsid w:val="00D8256C"/>
    <w:rsid w:val="00D827FA"/>
    <w:rsid w:val="00D82F4D"/>
    <w:rsid w:val="00D8387E"/>
    <w:rsid w:val="00D83FA3"/>
    <w:rsid w:val="00D84290"/>
    <w:rsid w:val="00D84BC5"/>
    <w:rsid w:val="00D84EE9"/>
    <w:rsid w:val="00D85895"/>
    <w:rsid w:val="00D85B09"/>
    <w:rsid w:val="00D870B7"/>
    <w:rsid w:val="00D9145B"/>
    <w:rsid w:val="00D917B5"/>
    <w:rsid w:val="00D91A9D"/>
    <w:rsid w:val="00D924E4"/>
    <w:rsid w:val="00D92963"/>
    <w:rsid w:val="00D93A6B"/>
    <w:rsid w:val="00D93B53"/>
    <w:rsid w:val="00D94370"/>
    <w:rsid w:val="00D94560"/>
    <w:rsid w:val="00D95BF2"/>
    <w:rsid w:val="00D95CE3"/>
    <w:rsid w:val="00D95EA5"/>
    <w:rsid w:val="00D96B71"/>
    <w:rsid w:val="00D97103"/>
    <w:rsid w:val="00D9750B"/>
    <w:rsid w:val="00D97BBC"/>
    <w:rsid w:val="00D97F67"/>
    <w:rsid w:val="00DA0443"/>
    <w:rsid w:val="00DA0B8F"/>
    <w:rsid w:val="00DA0C39"/>
    <w:rsid w:val="00DA12BB"/>
    <w:rsid w:val="00DA25AE"/>
    <w:rsid w:val="00DA2736"/>
    <w:rsid w:val="00DA2E37"/>
    <w:rsid w:val="00DA37E0"/>
    <w:rsid w:val="00DA3EF1"/>
    <w:rsid w:val="00DA4061"/>
    <w:rsid w:val="00DA50A3"/>
    <w:rsid w:val="00DA527A"/>
    <w:rsid w:val="00DA58F6"/>
    <w:rsid w:val="00DA5918"/>
    <w:rsid w:val="00DA5957"/>
    <w:rsid w:val="00DA779A"/>
    <w:rsid w:val="00DA77FB"/>
    <w:rsid w:val="00DA7A8C"/>
    <w:rsid w:val="00DA7C31"/>
    <w:rsid w:val="00DB01CA"/>
    <w:rsid w:val="00DB02F7"/>
    <w:rsid w:val="00DB0D71"/>
    <w:rsid w:val="00DB0EEF"/>
    <w:rsid w:val="00DB1377"/>
    <w:rsid w:val="00DB2048"/>
    <w:rsid w:val="00DB2519"/>
    <w:rsid w:val="00DB3F7E"/>
    <w:rsid w:val="00DB4E21"/>
    <w:rsid w:val="00DB506A"/>
    <w:rsid w:val="00DB58E2"/>
    <w:rsid w:val="00DB5E38"/>
    <w:rsid w:val="00DB65BF"/>
    <w:rsid w:val="00DB7655"/>
    <w:rsid w:val="00DB7BC2"/>
    <w:rsid w:val="00DB7D15"/>
    <w:rsid w:val="00DC0AB7"/>
    <w:rsid w:val="00DC0F43"/>
    <w:rsid w:val="00DC11B2"/>
    <w:rsid w:val="00DC1223"/>
    <w:rsid w:val="00DC2DAE"/>
    <w:rsid w:val="00DC417D"/>
    <w:rsid w:val="00DC44BF"/>
    <w:rsid w:val="00DC44FB"/>
    <w:rsid w:val="00DC4592"/>
    <w:rsid w:val="00DC540E"/>
    <w:rsid w:val="00DC55ED"/>
    <w:rsid w:val="00DC72AE"/>
    <w:rsid w:val="00DC78DC"/>
    <w:rsid w:val="00DD0C61"/>
    <w:rsid w:val="00DD1153"/>
    <w:rsid w:val="00DD1354"/>
    <w:rsid w:val="00DD17EA"/>
    <w:rsid w:val="00DD187E"/>
    <w:rsid w:val="00DD19F5"/>
    <w:rsid w:val="00DD22F7"/>
    <w:rsid w:val="00DD24B7"/>
    <w:rsid w:val="00DD24C5"/>
    <w:rsid w:val="00DD2C71"/>
    <w:rsid w:val="00DD33C4"/>
    <w:rsid w:val="00DD42C6"/>
    <w:rsid w:val="00DD444B"/>
    <w:rsid w:val="00DD44A4"/>
    <w:rsid w:val="00DD5611"/>
    <w:rsid w:val="00DD5779"/>
    <w:rsid w:val="00DD7045"/>
    <w:rsid w:val="00DD7311"/>
    <w:rsid w:val="00DD74BB"/>
    <w:rsid w:val="00DD791E"/>
    <w:rsid w:val="00DD7CBF"/>
    <w:rsid w:val="00DE015B"/>
    <w:rsid w:val="00DE0A87"/>
    <w:rsid w:val="00DE1880"/>
    <w:rsid w:val="00DE284B"/>
    <w:rsid w:val="00DE29F9"/>
    <w:rsid w:val="00DE3403"/>
    <w:rsid w:val="00DE3C95"/>
    <w:rsid w:val="00DE3CA7"/>
    <w:rsid w:val="00DE3E27"/>
    <w:rsid w:val="00DE4070"/>
    <w:rsid w:val="00DE4A10"/>
    <w:rsid w:val="00DE54BE"/>
    <w:rsid w:val="00DE6210"/>
    <w:rsid w:val="00DE76CB"/>
    <w:rsid w:val="00DE76F5"/>
    <w:rsid w:val="00DE778B"/>
    <w:rsid w:val="00DF05D7"/>
    <w:rsid w:val="00DF091A"/>
    <w:rsid w:val="00DF1080"/>
    <w:rsid w:val="00DF13EF"/>
    <w:rsid w:val="00DF18C9"/>
    <w:rsid w:val="00DF1AF1"/>
    <w:rsid w:val="00DF1B61"/>
    <w:rsid w:val="00DF2654"/>
    <w:rsid w:val="00DF2704"/>
    <w:rsid w:val="00DF279E"/>
    <w:rsid w:val="00DF2FCE"/>
    <w:rsid w:val="00DF313A"/>
    <w:rsid w:val="00DF39C3"/>
    <w:rsid w:val="00DF4F52"/>
    <w:rsid w:val="00DF5422"/>
    <w:rsid w:val="00DF57E8"/>
    <w:rsid w:val="00DF5913"/>
    <w:rsid w:val="00DF5D61"/>
    <w:rsid w:val="00DF66AD"/>
    <w:rsid w:val="00DF6A62"/>
    <w:rsid w:val="00DF7888"/>
    <w:rsid w:val="00E009CB"/>
    <w:rsid w:val="00E00D3E"/>
    <w:rsid w:val="00E01564"/>
    <w:rsid w:val="00E015B6"/>
    <w:rsid w:val="00E0189F"/>
    <w:rsid w:val="00E01950"/>
    <w:rsid w:val="00E01B8C"/>
    <w:rsid w:val="00E02553"/>
    <w:rsid w:val="00E02DCA"/>
    <w:rsid w:val="00E0334E"/>
    <w:rsid w:val="00E03561"/>
    <w:rsid w:val="00E036D7"/>
    <w:rsid w:val="00E05CB2"/>
    <w:rsid w:val="00E064E0"/>
    <w:rsid w:val="00E06A34"/>
    <w:rsid w:val="00E06BFB"/>
    <w:rsid w:val="00E06F56"/>
    <w:rsid w:val="00E12577"/>
    <w:rsid w:val="00E1268A"/>
    <w:rsid w:val="00E13A68"/>
    <w:rsid w:val="00E13E0A"/>
    <w:rsid w:val="00E13E43"/>
    <w:rsid w:val="00E13EB5"/>
    <w:rsid w:val="00E140EA"/>
    <w:rsid w:val="00E14297"/>
    <w:rsid w:val="00E14B4D"/>
    <w:rsid w:val="00E1545B"/>
    <w:rsid w:val="00E15611"/>
    <w:rsid w:val="00E15BED"/>
    <w:rsid w:val="00E163BD"/>
    <w:rsid w:val="00E165CF"/>
    <w:rsid w:val="00E17BA5"/>
    <w:rsid w:val="00E17C11"/>
    <w:rsid w:val="00E2000F"/>
    <w:rsid w:val="00E20745"/>
    <w:rsid w:val="00E21889"/>
    <w:rsid w:val="00E237DC"/>
    <w:rsid w:val="00E246AB"/>
    <w:rsid w:val="00E247E1"/>
    <w:rsid w:val="00E24EC8"/>
    <w:rsid w:val="00E25C62"/>
    <w:rsid w:val="00E26215"/>
    <w:rsid w:val="00E26C20"/>
    <w:rsid w:val="00E26D52"/>
    <w:rsid w:val="00E26DDF"/>
    <w:rsid w:val="00E271ED"/>
    <w:rsid w:val="00E30D1A"/>
    <w:rsid w:val="00E3101D"/>
    <w:rsid w:val="00E31051"/>
    <w:rsid w:val="00E31097"/>
    <w:rsid w:val="00E316D8"/>
    <w:rsid w:val="00E3198A"/>
    <w:rsid w:val="00E32190"/>
    <w:rsid w:val="00E322CB"/>
    <w:rsid w:val="00E32428"/>
    <w:rsid w:val="00E32738"/>
    <w:rsid w:val="00E328BC"/>
    <w:rsid w:val="00E32E84"/>
    <w:rsid w:val="00E33233"/>
    <w:rsid w:val="00E337D3"/>
    <w:rsid w:val="00E33ACA"/>
    <w:rsid w:val="00E33E6A"/>
    <w:rsid w:val="00E3461E"/>
    <w:rsid w:val="00E34D78"/>
    <w:rsid w:val="00E356FC"/>
    <w:rsid w:val="00E358CF"/>
    <w:rsid w:val="00E35BAD"/>
    <w:rsid w:val="00E36C27"/>
    <w:rsid w:val="00E37172"/>
    <w:rsid w:val="00E37F87"/>
    <w:rsid w:val="00E40341"/>
    <w:rsid w:val="00E425BB"/>
    <w:rsid w:val="00E444FB"/>
    <w:rsid w:val="00E44670"/>
    <w:rsid w:val="00E44D87"/>
    <w:rsid w:val="00E44E11"/>
    <w:rsid w:val="00E4509C"/>
    <w:rsid w:val="00E45866"/>
    <w:rsid w:val="00E45DDA"/>
    <w:rsid w:val="00E45DDD"/>
    <w:rsid w:val="00E4675C"/>
    <w:rsid w:val="00E50846"/>
    <w:rsid w:val="00E51942"/>
    <w:rsid w:val="00E5268E"/>
    <w:rsid w:val="00E52EDC"/>
    <w:rsid w:val="00E53466"/>
    <w:rsid w:val="00E53795"/>
    <w:rsid w:val="00E53BDE"/>
    <w:rsid w:val="00E53DBE"/>
    <w:rsid w:val="00E53F75"/>
    <w:rsid w:val="00E54038"/>
    <w:rsid w:val="00E5409A"/>
    <w:rsid w:val="00E547A4"/>
    <w:rsid w:val="00E552DB"/>
    <w:rsid w:val="00E564B4"/>
    <w:rsid w:val="00E568F2"/>
    <w:rsid w:val="00E5691D"/>
    <w:rsid w:val="00E56D1B"/>
    <w:rsid w:val="00E56E21"/>
    <w:rsid w:val="00E609F8"/>
    <w:rsid w:val="00E61173"/>
    <w:rsid w:val="00E61AEC"/>
    <w:rsid w:val="00E62777"/>
    <w:rsid w:val="00E63865"/>
    <w:rsid w:val="00E63D14"/>
    <w:rsid w:val="00E64A11"/>
    <w:rsid w:val="00E651AB"/>
    <w:rsid w:val="00E656CC"/>
    <w:rsid w:val="00E65977"/>
    <w:rsid w:val="00E65D1E"/>
    <w:rsid w:val="00E660DB"/>
    <w:rsid w:val="00E6612E"/>
    <w:rsid w:val="00E66A4B"/>
    <w:rsid w:val="00E66C34"/>
    <w:rsid w:val="00E66DDE"/>
    <w:rsid w:val="00E67750"/>
    <w:rsid w:val="00E678ED"/>
    <w:rsid w:val="00E679B9"/>
    <w:rsid w:val="00E7013C"/>
    <w:rsid w:val="00E705CC"/>
    <w:rsid w:val="00E70870"/>
    <w:rsid w:val="00E709BC"/>
    <w:rsid w:val="00E70A51"/>
    <w:rsid w:val="00E710BE"/>
    <w:rsid w:val="00E711C6"/>
    <w:rsid w:val="00E717C4"/>
    <w:rsid w:val="00E71A4A"/>
    <w:rsid w:val="00E72516"/>
    <w:rsid w:val="00E732BA"/>
    <w:rsid w:val="00E73F96"/>
    <w:rsid w:val="00E74A99"/>
    <w:rsid w:val="00E7502E"/>
    <w:rsid w:val="00E75319"/>
    <w:rsid w:val="00E76492"/>
    <w:rsid w:val="00E76E63"/>
    <w:rsid w:val="00E776BA"/>
    <w:rsid w:val="00E77B6C"/>
    <w:rsid w:val="00E77ED7"/>
    <w:rsid w:val="00E800AA"/>
    <w:rsid w:val="00E80982"/>
    <w:rsid w:val="00E8183F"/>
    <w:rsid w:val="00E81E5F"/>
    <w:rsid w:val="00E82662"/>
    <w:rsid w:val="00E82F1C"/>
    <w:rsid w:val="00E833A2"/>
    <w:rsid w:val="00E84157"/>
    <w:rsid w:val="00E841AD"/>
    <w:rsid w:val="00E843E2"/>
    <w:rsid w:val="00E8468E"/>
    <w:rsid w:val="00E84AAD"/>
    <w:rsid w:val="00E84EC7"/>
    <w:rsid w:val="00E85B24"/>
    <w:rsid w:val="00E875A3"/>
    <w:rsid w:val="00E90437"/>
    <w:rsid w:val="00E9063B"/>
    <w:rsid w:val="00E90BA4"/>
    <w:rsid w:val="00E91CE7"/>
    <w:rsid w:val="00E92118"/>
    <w:rsid w:val="00E926FF"/>
    <w:rsid w:val="00E92F0D"/>
    <w:rsid w:val="00E92F96"/>
    <w:rsid w:val="00E9369B"/>
    <w:rsid w:val="00E93A25"/>
    <w:rsid w:val="00E949A5"/>
    <w:rsid w:val="00E95850"/>
    <w:rsid w:val="00E95AB5"/>
    <w:rsid w:val="00E95F44"/>
    <w:rsid w:val="00E96066"/>
    <w:rsid w:val="00E9640B"/>
    <w:rsid w:val="00E96AF8"/>
    <w:rsid w:val="00E97A72"/>
    <w:rsid w:val="00EA001C"/>
    <w:rsid w:val="00EA0725"/>
    <w:rsid w:val="00EA0737"/>
    <w:rsid w:val="00EA0D2C"/>
    <w:rsid w:val="00EA116F"/>
    <w:rsid w:val="00EA2529"/>
    <w:rsid w:val="00EA2CA8"/>
    <w:rsid w:val="00EA4549"/>
    <w:rsid w:val="00EA4E8F"/>
    <w:rsid w:val="00EA506F"/>
    <w:rsid w:val="00EA63EF"/>
    <w:rsid w:val="00EA6CBC"/>
    <w:rsid w:val="00EA7404"/>
    <w:rsid w:val="00EA7979"/>
    <w:rsid w:val="00EA7EC5"/>
    <w:rsid w:val="00EA7F16"/>
    <w:rsid w:val="00EB049D"/>
    <w:rsid w:val="00EB141A"/>
    <w:rsid w:val="00EB149F"/>
    <w:rsid w:val="00EB1DEF"/>
    <w:rsid w:val="00EB2037"/>
    <w:rsid w:val="00EB2716"/>
    <w:rsid w:val="00EB28EA"/>
    <w:rsid w:val="00EB323B"/>
    <w:rsid w:val="00EB3928"/>
    <w:rsid w:val="00EB3F14"/>
    <w:rsid w:val="00EB4739"/>
    <w:rsid w:val="00EB4BCE"/>
    <w:rsid w:val="00EB547C"/>
    <w:rsid w:val="00EB55A7"/>
    <w:rsid w:val="00EB5C43"/>
    <w:rsid w:val="00EB5DB2"/>
    <w:rsid w:val="00EB5ECF"/>
    <w:rsid w:val="00EB6716"/>
    <w:rsid w:val="00EB7203"/>
    <w:rsid w:val="00EB75D1"/>
    <w:rsid w:val="00EB77E0"/>
    <w:rsid w:val="00EC0954"/>
    <w:rsid w:val="00EC0CA7"/>
    <w:rsid w:val="00EC0D65"/>
    <w:rsid w:val="00EC2E68"/>
    <w:rsid w:val="00EC2F5D"/>
    <w:rsid w:val="00EC439D"/>
    <w:rsid w:val="00EC49A0"/>
    <w:rsid w:val="00EC4C64"/>
    <w:rsid w:val="00EC57F9"/>
    <w:rsid w:val="00EC591E"/>
    <w:rsid w:val="00EC773B"/>
    <w:rsid w:val="00EC7853"/>
    <w:rsid w:val="00EC7DFE"/>
    <w:rsid w:val="00ED04AE"/>
    <w:rsid w:val="00ED071F"/>
    <w:rsid w:val="00ED077C"/>
    <w:rsid w:val="00ED0905"/>
    <w:rsid w:val="00ED1D17"/>
    <w:rsid w:val="00ED28E6"/>
    <w:rsid w:val="00ED2C8F"/>
    <w:rsid w:val="00ED326C"/>
    <w:rsid w:val="00ED33C0"/>
    <w:rsid w:val="00ED399F"/>
    <w:rsid w:val="00ED437E"/>
    <w:rsid w:val="00ED480A"/>
    <w:rsid w:val="00ED5244"/>
    <w:rsid w:val="00ED54CA"/>
    <w:rsid w:val="00ED55AD"/>
    <w:rsid w:val="00ED5F63"/>
    <w:rsid w:val="00ED6179"/>
    <w:rsid w:val="00ED6610"/>
    <w:rsid w:val="00ED7B8A"/>
    <w:rsid w:val="00EE05CC"/>
    <w:rsid w:val="00EE1142"/>
    <w:rsid w:val="00EE1489"/>
    <w:rsid w:val="00EE24D3"/>
    <w:rsid w:val="00EE25BE"/>
    <w:rsid w:val="00EE36AE"/>
    <w:rsid w:val="00EE36C6"/>
    <w:rsid w:val="00EE4329"/>
    <w:rsid w:val="00EE47B3"/>
    <w:rsid w:val="00EE4CF0"/>
    <w:rsid w:val="00EE50A4"/>
    <w:rsid w:val="00EE521D"/>
    <w:rsid w:val="00EE55EE"/>
    <w:rsid w:val="00EE61CA"/>
    <w:rsid w:val="00EE6274"/>
    <w:rsid w:val="00EE6632"/>
    <w:rsid w:val="00EE6784"/>
    <w:rsid w:val="00EE678B"/>
    <w:rsid w:val="00EE6AA1"/>
    <w:rsid w:val="00EE70D9"/>
    <w:rsid w:val="00EF028F"/>
    <w:rsid w:val="00EF04C4"/>
    <w:rsid w:val="00EF146E"/>
    <w:rsid w:val="00EF1621"/>
    <w:rsid w:val="00EF199D"/>
    <w:rsid w:val="00EF1B03"/>
    <w:rsid w:val="00EF203E"/>
    <w:rsid w:val="00EF2DB4"/>
    <w:rsid w:val="00EF2E4C"/>
    <w:rsid w:val="00EF3082"/>
    <w:rsid w:val="00EF32DC"/>
    <w:rsid w:val="00EF3AA0"/>
    <w:rsid w:val="00EF3D89"/>
    <w:rsid w:val="00EF3F0B"/>
    <w:rsid w:val="00EF47B2"/>
    <w:rsid w:val="00EF4A68"/>
    <w:rsid w:val="00EF4E6A"/>
    <w:rsid w:val="00EF51E7"/>
    <w:rsid w:val="00EF5221"/>
    <w:rsid w:val="00EF6221"/>
    <w:rsid w:val="00EF635B"/>
    <w:rsid w:val="00EF66D7"/>
    <w:rsid w:val="00EF6BDA"/>
    <w:rsid w:val="00EF6CEE"/>
    <w:rsid w:val="00EF7900"/>
    <w:rsid w:val="00EF7932"/>
    <w:rsid w:val="00EF7B63"/>
    <w:rsid w:val="00EF7C1C"/>
    <w:rsid w:val="00EF7CCD"/>
    <w:rsid w:val="00EF7F55"/>
    <w:rsid w:val="00F006CD"/>
    <w:rsid w:val="00F00C2C"/>
    <w:rsid w:val="00F0142A"/>
    <w:rsid w:val="00F01B06"/>
    <w:rsid w:val="00F01E48"/>
    <w:rsid w:val="00F029CD"/>
    <w:rsid w:val="00F03016"/>
    <w:rsid w:val="00F03250"/>
    <w:rsid w:val="00F03746"/>
    <w:rsid w:val="00F03BEE"/>
    <w:rsid w:val="00F03C8C"/>
    <w:rsid w:val="00F0450A"/>
    <w:rsid w:val="00F04A8E"/>
    <w:rsid w:val="00F05068"/>
    <w:rsid w:val="00F05D0E"/>
    <w:rsid w:val="00F06659"/>
    <w:rsid w:val="00F0671C"/>
    <w:rsid w:val="00F0680F"/>
    <w:rsid w:val="00F074C1"/>
    <w:rsid w:val="00F07991"/>
    <w:rsid w:val="00F10146"/>
    <w:rsid w:val="00F1044D"/>
    <w:rsid w:val="00F107E9"/>
    <w:rsid w:val="00F11057"/>
    <w:rsid w:val="00F1169B"/>
    <w:rsid w:val="00F119EF"/>
    <w:rsid w:val="00F12536"/>
    <w:rsid w:val="00F12D1A"/>
    <w:rsid w:val="00F14B21"/>
    <w:rsid w:val="00F14F09"/>
    <w:rsid w:val="00F150B3"/>
    <w:rsid w:val="00F15207"/>
    <w:rsid w:val="00F15751"/>
    <w:rsid w:val="00F15A3A"/>
    <w:rsid w:val="00F164C9"/>
    <w:rsid w:val="00F16871"/>
    <w:rsid w:val="00F16F23"/>
    <w:rsid w:val="00F1774F"/>
    <w:rsid w:val="00F17AD0"/>
    <w:rsid w:val="00F17B19"/>
    <w:rsid w:val="00F17FD4"/>
    <w:rsid w:val="00F21272"/>
    <w:rsid w:val="00F22F9F"/>
    <w:rsid w:val="00F23690"/>
    <w:rsid w:val="00F243E5"/>
    <w:rsid w:val="00F24A44"/>
    <w:rsid w:val="00F2503E"/>
    <w:rsid w:val="00F25C7A"/>
    <w:rsid w:val="00F25EA4"/>
    <w:rsid w:val="00F263F0"/>
    <w:rsid w:val="00F26890"/>
    <w:rsid w:val="00F26D78"/>
    <w:rsid w:val="00F26DAA"/>
    <w:rsid w:val="00F27ECA"/>
    <w:rsid w:val="00F30C47"/>
    <w:rsid w:val="00F31664"/>
    <w:rsid w:val="00F31DF3"/>
    <w:rsid w:val="00F32319"/>
    <w:rsid w:val="00F33891"/>
    <w:rsid w:val="00F33F12"/>
    <w:rsid w:val="00F3573D"/>
    <w:rsid w:val="00F367C2"/>
    <w:rsid w:val="00F36881"/>
    <w:rsid w:val="00F36B67"/>
    <w:rsid w:val="00F402F5"/>
    <w:rsid w:val="00F4057A"/>
    <w:rsid w:val="00F41AE7"/>
    <w:rsid w:val="00F42509"/>
    <w:rsid w:val="00F425AB"/>
    <w:rsid w:val="00F43119"/>
    <w:rsid w:val="00F45C2B"/>
    <w:rsid w:val="00F46494"/>
    <w:rsid w:val="00F46779"/>
    <w:rsid w:val="00F46E1E"/>
    <w:rsid w:val="00F47116"/>
    <w:rsid w:val="00F477F0"/>
    <w:rsid w:val="00F47870"/>
    <w:rsid w:val="00F47F85"/>
    <w:rsid w:val="00F50197"/>
    <w:rsid w:val="00F51C1E"/>
    <w:rsid w:val="00F522DF"/>
    <w:rsid w:val="00F52474"/>
    <w:rsid w:val="00F52A3F"/>
    <w:rsid w:val="00F52E57"/>
    <w:rsid w:val="00F533FF"/>
    <w:rsid w:val="00F538A3"/>
    <w:rsid w:val="00F53904"/>
    <w:rsid w:val="00F53A8B"/>
    <w:rsid w:val="00F53FF2"/>
    <w:rsid w:val="00F54178"/>
    <w:rsid w:val="00F549BC"/>
    <w:rsid w:val="00F55BA1"/>
    <w:rsid w:val="00F55D76"/>
    <w:rsid w:val="00F56540"/>
    <w:rsid w:val="00F6060C"/>
    <w:rsid w:val="00F609CC"/>
    <w:rsid w:val="00F61246"/>
    <w:rsid w:val="00F613AF"/>
    <w:rsid w:val="00F618EF"/>
    <w:rsid w:val="00F62699"/>
    <w:rsid w:val="00F632FE"/>
    <w:rsid w:val="00F637EB"/>
    <w:rsid w:val="00F638F1"/>
    <w:rsid w:val="00F64279"/>
    <w:rsid w:val="00F650CB"/>
    <w:rsid w:val="00F65823"/>
    <w:rsid w:val="00F659E7"/>
    <w:rsid w:val="00F660E3"/>
    <w:rsid w:val="00F66402"/>
    <w:rsid w:val="00F673B1"/>
    <w:rsid w:val="00F67797"/>
    <w:rsid w:val="00F67FA3"/>
    <w:rsid w:val="00F70312"/>
    <w:rsid w:val="00F7059A"/>
    <w:rsid w:val="00F7148A"/>
    <w:rsid w:val="00F720DA"/>
    <w:rsid w:val="00F7221A"/>
    <w:rsid w:val="00F72F17"/>
    <w:rsid w:val="00F73485"/>
    <w:rsid w:val="00F736BC"/>
    <w:rsid w:val="00F74C44"/>
    <w:rsid w:val="00F7572C"/>
    <w:rsid w:val="00F75F29"/>
    <w:rsid w:val="00F76313"/>
    <w:rsid w:val="00F76A30"/>
    <w:rsid w:val="00F77A77"/>
    <w:rsid w:val="00F80759"/>
    <w:rsid w:val="00F80A43"/>
    <w:rsid w:val="00F80E39"/>
    <w:rsid w:val="00F80FA8"/>
    <w:rsid w:val="00F816A5"/>
    <w:rsid w:val="00F81789"/>
    <w:rsid w:val="00F81B4E"/>
    <w:rsid w:val="00F82130"/>
    <w:rsid w:val="00F822C5"/>
    <w:rsid w:val="00F83668"/>
    <w:rsid w:val="00F836E2"/>
    <w:rsid w:val="00F83CF7"/>
    <w:rsid w:val="00F84030"/>
    <w:rsid w:val="00F84039"/>
    <w:rsid w:val="00F851EF"/>
    <w:rsid w:val="00F86123"/>
    <w:rsid w:val="00F86A88"/>
    <w:rsid w:val="00F874B4"/>
    <w:rsid w:val="00F87B9F"/>
    <w:rsid w:val="00F90378"/>
    <w:rsid w:val="00F90BAA"/>
    <w:rsid w:val="00F91B9A"/>
    <w:rsid w:val="00F92490"/>
    <w:rsid w:val="00F92D35"/>
    <w:rsid w:val="00F939F8"/>
    <w:rsid w:val="00F94A51"/>
    <w:rsid w:val="00F94D63"/>
    <w:rsid w:val="00F9687A"/>
    <w:rsid w:val="00F96A4D"/>
    <w:rsid w:val="00F97509"/>
    <w:rsid w:val="00F9754E"/>
    <w:rsid w:val="00F97C6B"/>
    <w:rsid w:val="00F97FBB"/>
    <w:rsid w:val="00FA0B4F"/>
    <w:rsid w:val="00FA0C6A"/>
    <w:rsid w:val="00FA10C8"/>
    <w:rsid w:val="00FA1276"/>
    <w:rsid w:val="00FA1277"/>
    <w:rsid w:val="00FA1C78"/>
    <w:rsid w:val="00FA26E1"/>
    <w:rsid w:val="00FA27A8"/>
    <w:rsid w:val="00FA354A"/>
    <w:rsid w:val="00FA3667"/>
    <w:rsid w:val="00FA3F60"/>
    <w:rsid w:val="00FA4029"/>
    <w:rsid w:val="00FA460F"/>
    <w:rsid w:val="00FA4E7E"/>
    <w:rsid w:val="00FA5ADB"/>
    <w:rsid w:val="00FA7296"/>
    <w:rsid w:val="00FA7801"/>
    <w:rsid w:val="00FA7EAB"/>
    <w:rsid w:val="00FB0586"/>
    <w:rsid w:val="00FB0D9F"/>
    <w:rsid w:val="00FB10A0"/>
    <w:rsid w:val="00FB1AE1"/>
    <w:rsid w:val="00FB1B64"/>
    <w:rsid w:val="00FB2155"/>
    <w:rsid w:val="00FB3224"/>
    <w:rsid w:val="00FB41C7"/>
    <w:rsid w:val="00FB47E3"/>
    <w:rsid w:val="00FB495D"/>
    <w:rsid w:val="00FB4ACC"/>
    <w:rsid w:val="00FB4B75"/>
    <w:rsid w:val="00FB4BA3"/>
    <w:rsid w:val="00FB4DC6"/>
    <w:rsid w:val="00FB4FDC"/>
    <w:rsid w:val="00FB62B9"/>
    <w:rsid w:val="00FB637A"/>
    <w:rsid w:val="00FB6C63"/>
    <w:rsid w:val="00FB6CC5"/>
    <w:rsid w:val="00FB7131"/>
    <w:rsid w:val="00FB72AC"/>
    <w:rsid w:val="00FB7307"/>
    <w:rsid w:val="00FB7ECE"/>
    <w:rsid w:val="00FC0BC0"/>
    <w:rsid w:val="00FC1EC1"/>
    <w:rsid w:val="00FC2A3A"/>
    <w:rsid w:val="00FC3DFA"/>
    <w:rsid w:val="00FC46A3"/>
    <w:rsid w:val="00FC476E"/>
    <w:rsid w:val="00FC4FD9"/>
    <w:rsid w:val="00FC551B"/>
    <w:rsid w:val="00FC5D46"/>
    <w:rsid w:val="00FC65E9"/>
    <w:rsid w:val="00FC661B"/>
    <w:rsid w:val="00FC6E97"/>
    <w:rsid w:val="00FD0C62"/>
    <w:rsid w:val="00FD1011"/>
    <w:rsid w:val="00FD127D"/>
    <w:rsid w:val="00FD1757"/>
    <w:rsid w:val="00FD1BD4"/>
    <w:rsid w:val="00FD2044"/>
    <w:rsid w:val="00FD2D66"/>
    <w:rsid w:val="00FD30A3"/>
    <w:rsid w:val="00FD32C6"/>
    <w:rsid w:val="00FD32DB"/>
    <w:rsid w:val="00FD33FF"/>
    <w:rsid w:val="00FD3567"/>
    <w:rsid w:val="00FD4CF8"/>
    <w:rsid w:val="00FD5146"/>
    <w:rsid w:val="00FD52A0"/>
    <w:rsid w:val="00FD583D"/>
    <w:rsid w:val="00FD5997"/>
    <w:rsid w:val="00FD6AD9"/>
    <w:rsid w:val="00FD7C9E"/>
    <w:rsid w:val="00FE0128"/>
    <w:rsid w:val="00FE07FC"/>
    <w:rsid w:val="00FE0C9C"/>
    <w:rsid w:val="00FE1500"/>
    <w:rsid w:val="00FE161B"/>
    <w:rsid w:val="00FE19EE"/>
    <w:rsid w:val="00FE1B03"/>
    <w:rsid w:val="00FE1BFD"/>
    <w:rsid w:val="00FE21C1"/>
    <w:rsid w:val="00FE257E"/>
    <w:rsid w:val="00FE2900"/>
    <w:rsid w:val="00FE2F05"/>
    <w:rsid w:val="00FE37A9"/>
    <w:rsid w:val="00FE3F2D"/>
    <w:rsid w:val="00FE44B8"/>
    <w:rsid w:val="00FE47C2"/>
    <w:rsid w:val="00FE49EF"/>
    <w:rsid w:val="00FE49F9"/>
    <w:rsid w:val="00FE4B7D"/>
    <w:rsid w:val="00FE5121"/>
    <w:rsid w:val="00FE52E8"/>
    <w:rsid w:val="00FE5AA3"/>
    <w:rsid w:val="00FE67E3"/>
    <w:rsid w:val="00FE6A61"/>
    <w:rsid w:val="00FE6D52"/>
    <w:rsid w:val="00FE74B3"/>
    <w:rsid w:val="00FE74C7"/>
    <w:rsid w:val="00FE7768"/>
    <w:rsid w:val="00FF0761"/>
    <w:rsid w:val="00FF07B0"/>
    <w:rsid w:val="00FF09C3"/>
    <w:rsid w:val="00FF0CF6"/>
    <w:rsid w:val="00FF1804"/>
    <w:rsid w:val="00FF1A2D"/>
    <w:rsid w:val="00FF1B38"/>
    <w:rsid w:val="00FF1CEF"/>
    <w:rsid w:val="00FF24BF"/>
    <w:rsid w:val="00FF3814"/>
    <w:rsid w:val="00FF3963"/>
    <w:rsid w:val="00FF3AFF"/>
    <w:rsid w:val="00FF3C13"/>
    <w:rsid w:val="00FF3C32"/>
    <w:rsid w:val="00FF3F26"/>
    <w:rsid w:val="00FF4667"/>
    <w:rsid w:val="00FF4D75"/>
    <w:rsid w:val="00FF5445"/>
    <w:rsid w:val="00FF55C1"/>
    <w:rsid w:val="00FF6357"/>
    <w:rsid w:val="00FF6644"/>
    <w:rsid w:val="00FF7534"/>
    <w:rsid w:val="00FF76AD"/>
    <w:rsid w:val="00FF7D1F"/>
    <w:rsid w:val="00FF7D5A"/>
    <w:rsid w:val="00FF7D96"/>
    <w:rsid w:val="022D9212"/>
    <w:rsid w:val="063BDBF3"/>
    <w:rsid w:val="077FEC0F"/>
    <w:rsid w:val="083CC6A4"/>
    <w:rsid w:val="08E064A7"/>
    <w:rsid w:val="0B563826"/>
    <w:rsid w:val="0E1B1F46"/>
    <w:rsid w:val="0E2EF983"/>
    <w:rsid w:val="1071DB33"/>
    <w:rsid w:val="11F81682"/>
    <w:rsid w:val="1447DCEB"/>
    <w:rsid w:val="1486746B"/>
    <w:rsid w:val="14ECCEBE"/>
    <w:rsid w:val="15C2C09D"/>
    <w:rsid w:val="15E6326A"/>
    <w:rsid w:val="17741CDB"/>
    <w:rsid w:val="185A9A8B"/>
    <w:rsid w:val="19FC1B55"/>
    <w:rsid w:val="1B2FBB4B"/>
    <w:rsid w:val="1B836D0B"/>
    <w:rsid w:val="1D5F21E5"/>
    <w:rsid w:val="22316A93"/>
    <w:rsid w:val="2384FDD3"/>
    <w:rsid w:val="262E894D"/>
    <w:rsid w:val="27E31D64"/>
    <w:rsid w:val="27F31EB3"/>
    <w:rsid w:val="29C5D15F"/>
    <w:rsid w:val="2B33C4C5"/>
    <w:rsid w:val="334484B8"/>
    <w:rsid w:val="367EDEC9"/>
    <w:rsid w:val="37EF2899"/>
    <w:rsid w:val="397D8ED7"/>
    <w:rsid w:val="3C6ED6E9"/>
    <w:rsid w:val="3ECC0B2A"/>
    <w:rsid w:val="42961498"/>
    <w:rsid w:val="435ADDAE"/>
    <w:rsid w:val="47726F60"/>
    <w:rsid w:val="4C601C8D"/>
    <w:rsid w:val="4FE97834"/>
    <w:rsid w:val="502EC2B7"/>
    <w:rsid w:val="56BC2B41"/>
    <w:rsid w:val="5803DC62"/>
    <w:rsid w:val="5825A46D"/>
    <w:rsid w:val="5A1467D8"/>
    <w:rsid w:val="5BF4C569"/>
    <w:rsid w:val="5C7F0D56"/>
    <w:rsid w:val="5ED8B983"/>
    <w:rsid w:val="5F2EFAF9"/>
    <w:rsid w:val="5F3A9CF5"/>
    <w:rsid w:val="6089DD70"/>
    <w:rsid w:val="645BBFF8"/>
    <w:rsid w:val="66F9B66C"/>
    <w:rsid w:val="67AE76BD"/>
    <w:rsid w:val="68921BBB"/>
    <w:rsid w:val="691E899F"/>
    <w:rsid w:val="6A468E14"/>
    <w:rsid w:val="71D27758"/>
    <w:rsid w:val="7320C7AF"/>
    <w:rsid w:val="750FD996"/>
    <w:rsid w:val="75C7299D"/>
    <w:rsid w:val="766FC3EB"/>
    <w:rsid w:val="7E18C1EB"/>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5:docId w15:val="{1E1942A1-C1ED-4D20-8F31-019B22F016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imes New Roman"/>
        <w:sz w:val="22"/>
        <w:szCs w:val="22"/>
        <w:lang w:val="en-AU" w:eastAsia="en-AU" w:bidi="ar-SA"/>
      </w:rPr>
    </w:rPrDefault>
    <w:pPrDefault>
      <w:pPr>
        <w:spacing w:line="264"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lsdException w:name="heading 7" w:semiHidden="1" w:unhideWhenUsed="1"/>
    <w:lsdException w:name="heading 8" w:semiHidden="1" w:uiPriority="3" w:unhideWhenUsed="1" w:qFormat="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99"/>
    <w:lsdException w:name="Emphasis" w:uiPriority="14"/>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60E3"/>
  </w:style>
  <w:style w:type="paragraph" w:styleId="Heading1">
    <w:name w:val="heading 1"/>
    <w:basedOn w:val="Normal"/>
    <w:next w:val="BodyText"/>
    <w:link w:val="Heading1Char"/>
    <w:qFormat/>
    <w:rsid w:val="007E6584"/>
    <w:pPr>
      <w:keepNext/>
      <w:keepLines/>
      <w:numPr>
        <w:numId w:val="12"/>
      </w:numPr>
      <w:spacing w:before="240" w:after="240"/>
      <w:outlineLvl w:val="0"/>
    </w:pPr>
    <w:rPr>
      <w:rFonts w:asciiTheme="majorHAnsi" w:eastAsiaTheme="minorEastAsia" w:hAnsiTheme="majorHAnsi" w:cstheme="majorBidi"/>
      <w:b/>
      <w:bCs/>
      <w:color w:val="214C90" w:themeColor="text2"/>
      <w:sz w:val="24"/>
      <w:szCs w:val="32"/>
    </w:rPr>
  </w:style>
  <w:style w:type="paragraph" w:styleId="Heading2">
    <w:name w:val="heading 2"/>
    <w:basedOn w:val="Normal"/>
    <w:next w:val="BodyText"/>
    <w:link w:val="Heading2Char"/>
    <w:qFormat/>
    <w:rsid w:val="007E6584"/>
    <w:pPr>
      <w:keepNext/>
      <w:keepLines/>
      <w:numPr>
        <w:ilvl w:val="1"/>
        <w:numId w:val="12"/>
      </w:numPr>
      <w:spacing w:before="360" w:after="240"/>
      <w:outlineLvl w:val="1"/>
    </w:pPr>
    <w:rPr>
      <w:rFonts w:asciiTheme="majorHAnsi" w:eastAsiaTheme="majorEastAsia" w:hAnsiTheme="majorHAnsi" w:cstheme="majorBidi"/>
      <w:b/>
      <w:bCs/>
      <w:color w:val="214C90" w:themeColor="accent1"/>
      <w:szCs w:val="26"/>
    </w:rPr>
  </w:style>
  <w:style w:type="paragraph" w:styleId="Heading3">
    <w:name w:val="heading 3"/>
    <w:basedOn w:val="Normal"/>
    <w:next w:val="BodyText"/>
    <w:link w:val="Heading3Char"/>
    <w:qFormat/>
    <w:rsid w:val="007E6584"/>
    <w:pPr>
      <w:keepNext/>
      <w:keepLines/>
      <w:numPr>
        <w:ilvl w:val="2"/>
        <w:numId w:val="12"/>
      </w:numPr>
      <w:spacing w:before="360" w:after="240"/>
      <w:contextualSpacing/>
      <w:outlineLvl w:val="2"/>
    </w:pPr>
    <w:rPr>
      <w:rFonts w:asciiTheme="majorHAnsi" w:eastAsiaTheme="majorEastAsia" w:hAnsiTheme="majorHAnsi" w:cstheme="majorBidi"/>
      <w:b/>
      <w:bCs/>
      <w:color w:val="214C90" w:themeColor="accent1"/>
    </w:rPr>
  </w:style>
  <w:style w:type="paragraph" w:styleId="Heading4">
    <w:name w:val="heading 4"/>
    <w:basedOn w:val="Normal"/>
    <w:next w:val="BodyText"/>
    <w:link w:val="Heading4Char"/>
    <w:qFormat/>
    <w:rsid w:val="007E6584"/>
    <w:pPr>
      <w:keepNext/>
      <w:keepLines/>
      <w:numPr>
        <w:ilvl w:val="3"/>
        <w:numId w:val="12"/>
      </w:numPr>
      <w:spacing w:before="360" w:after="240"/>
      <w:outlineLvl w:val="3"/>
    </w:pPr>
    <w:rPr>
      <w:rFonts w:asciiTheme="majorHAnsi" w:eastAsiaTheme="majorEastAsia" w:hAnsiTheme="majorHAnsi" w:cstheme="majorBidi"/>
      <w:b/>
      <w:bCs/>
      <w:i/>
      <w:iCs/>
      <w:color w:val="214C90" w:themeColor="text2"/>
    </w:rPr>
  </w:style>
  <w:style w:type="paragraph" w:styleId="Heading5">
    <w:name w:val="heading 5"/>
    <w:basedOn w:val="Normal"/>
    <w:next w:val="Normal"/>
    <w:link w:val="Heading5Char"/>
    <w:semiHidden/>
    <w:qFormat/>
    <w:rsid w:val="00BD348A"/>
    <w:pPr>
      <w:keepNext/>
      <w:keepLines/>
      <w:numPr>
        <w:ilvl w:val="4"/>
        <w:numId w:val="12"/>
      </w:numPr>
      <w:spacing w:before="360" w:after="240"/>
      <w:outlineLvl w:val="4"/>
    </w:pPr>
    <w:rPr>
      <w:rFonts w:asciiTheme="majorHAnsi" w:eastAsiaTheme="majorEastAsia" w:hAnsiTheme="majorHAnsi" w:cstheme="majorBidi"/>
      <w:i/>
      <w:color w:val="214C90" w:themeColor="text2"/>
    </w:rPr>
  </w:style>
  <w:style w:type="paragraph" w:styleId="Heading6">
    <w:name w:val="heading 6"/>
    <w:basedOn w:val="Normal"/>
    <w:next w:val="BodyText"/>
    <w:link w:val="Heading6Char"/>
    <w:semiHidden/>
    <w:rsid w:val="00BD348A"/>
    <w:pPr>
      <w:keepNext/>
      <w:keepLines/>
      <w:spacing w:before="240" w:after="120"/>
      <w:outlineLvl w:val="5"/>
    </w:pPr>
    <w:rPr>
      <w:rFonts w:asciiTheme="majorHAnsi" w:eastAsiaTheme="majorEastAsia" w:hAnsiTheme="majorHAnsi" w:cstheme="majorBidi"/>
      <w:b/>
      <w:iCs/>
      <w:color w:val="214C90" w:themeColor="text2"/>
      <w:lang w:eastAsia="en-US"/>
    </w:rPr>
  </w:style>
  <w:style w:type="paragraph" w:styleId="Heading7">
    <w:name w:val="heading 7"/>
    <w:basedOn w:val="Normal"/>
    <w:next w:val="BodyText"/>
    <w:link w:val="Heading7Char"/>
    <w:semiHidden/>
    <w:rsid w:val="007E6584"/>
    <w:pPr>
      <w:keepNext/>
      <w:keepLines/>
      <w:pageBreakBefore/>
      <w:spacing w:before="120" w:after="120"/>
      <w:outlineLvl w:val="6"/>
    </w:pPr>
    <w:rPr>
      <w:rFonts w:asciiTheme="majorHAnsi" w:eastAsiaTheme="majorEastAsia" w:hAnsiTheme="majorHAnsi" w:cstheme="majorBidi"/>
      <w:b/>
      <w:iCs/>
      <w:color w:val="214C90" w:themeColor="text2"/>
    </w:rPr>
  </w:style>
  <w:style w:type="paragraph" w:styleId="Heading8">
    <w:name w:val="heading 8"/>
    <w:basedOn w:val="Normal"/>
    <w:next w:val="BodyText"/>
    <w:link w:val="Heading8Char"/>
    <w:uiPriority w:val="3"/>
    <w:semiHidden/>
    <w:qFormat/>
    <w:rsid w:val="007E6584"/>
    <w:pPr>
      <w:keepNext/>
      <w:keepLines/>
      <w:pageBreakBefore/>
      <w:tabs>
        <w:tab w:val="right" w:pos="9639"/>
      </w:tabs>
      <w:spacing w:after="120"/>
      <w:outlineLvl w:val="7"/>
    </w:pPr>
    <w:rPr>
      <w:rFonts w:asciiTheme="majorHAnsi" w:eastAsiaTheme="majorEastAsia" w:hAnsiTheme="majorHAnsi" w:cstheme="majorBidi"/>
      <w:caps/>
      <w:color w:val="214C90" w:themeColor="text2"/>
      <w:sz w:val="28"/>
      <w:lang w:eastAsia="en-US"/>
    </w:rPr>
  </w:style>
  <w:style w:type="paragraph" w:styleId="Heading9">
    <w:name w:val="heading 9"/>
    <w:aliases w:val="Appendix Heading 1"/>
    <w:basedOn w:val="Normal"/>
    <w:next w:val="BodyText"/>
    <w:link w:val="Heading9Char"/>
    <w:rsid w:val="007E6584"/>
    <w:pPr>
      <w:keepNext/>
      <w:keepLines/>
      <w:pageBreakBefore/>
      <w:numPr>
        <w:numId w:val="11"/>
      </w:numPr>
      <w:spacing w:before="240" w:after="240"/>
      <w:outlineLvl w:val="8"/>
    </w:pPr>
    <w:rPr>
      <w:rFonts w:asciiTheme="majorHAnsi" w:eastAsiaTheme="minorEastAsia" w:hAnsiTheme="majorHAnsi" w:cs="Arial"/>
      <w:b/>
      <w:color w:val="214C90" w:themeColor="text2"/>
      <w:sz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ldHeading">
    <w:name w:val="Bold Heading"/>
    <w:basedOn w:val="Normal"/>
    <w:rsid w:val="00A67EB1"/>
    <w:pPr>
      <w:spacing w:before="240" w:after="120"/>
    </w:pPr>
    <w:rPr>
      <w:b/>
    </w:rPr>
  </w:style>
  <w:style w:type="paragraph" w:customStyle="1" w:styleId="Image">
    <w:name w:val="Image"/>
    <w:basedOn w:val="Normal"/>
    <w:next w:val="BodyText"/>
    <w:rsid w:val="00965A70"/>
    <w:pPr>
      <w:keepNext/>
    </w:pPr>
  </w:style>
  <w:style w:type="paragraph" w:styleId="BodyText">
    <w:name w:val="Body Text"/>
    <w:basedOn w:val="Normal"/>
    <w:link w:val="BodyTextChar"/>
    <w:qFormat/>
    <w:rsid w:val="0087183B"/>
    <w:pPr>
      <w:tabs>
        <w:tab w:val="left" w:pos="2268"/>
        <w:tab w:val="left" w:pos="4536"/>
        <w:tab w:val="left" w:pos="6804"/>
        <w:tab w:val="right" w:pos="9638"/>
      </w:tabs>
      <w:spacing w:before="240" w:after="120"/>
    </w:pPr>
    <w:rPr>
      <w:rFonts w:ascii="Arial" w:hAnsi="Arial"/>
    </w:rPr>
  </w:style>
  <w:style w:type="character" w:customStyle="1" w:styleId="BodyTextChar">
    <w:name w:val="Body Text Char"/>
    <w:basedOn w:val="DefaultParagraphFont"/>
    <w:link w:val="BodyText"/>
    <w:rsid w:val="0087183B"/>
    <w:rPr>
      <w:rFonts w:ascii="Arial" w:hAnsi="Arial"/>
    </w:rPr>
  </w:style>
  <w:style w:type="paragraph" w:styleId="BlockText">
    <w:name w:val="Block Text"/>
    <w:basedOn w:val="BodyText"/>
    <w:semiHidden/>
    <w:unhideWhenUsed/>
    <w:rsid w:val="00EF3AA0"/>
    <w:rPr>
      <w:rFonts w:eastAsiaTheme="minorEastAsia" w:cstheme="minorBidi"/>
      <w:iCs/>
    </w:rPr>
  </w:style>
  <w:style w:type="paragraph" w:styleId="Caption">
    <w:name w:val="caption"/>
    <w:basedOn w:val="Normal"/>
    <w:next w:val="BodyText"/>
    <w:link w:val="CaptionChar"/>
    <w:qFormat/>
    <w:rsid w:val="00C93C07"/>
    <w:pPr>
      <w:keepNext/>
      <w:keepLines/>
      <w:spacing w:before="240" w:after="120"/>
    </w:pPr>
    <w:rPr>
      <w:rFonts w:eastAsiaTheme="minorHAnsi" w:cstheme="minorBidi"/>
      <w:b/>
      <w:bCs/>
      <w:lang w:eastAsia="fr-CA"/>
    </w:rPr>
  </w:style>
  <w:style w:type="paragraph" w:styleId="BalloonText">
    <w:name w:val="Balloon Text"/>
    <w:basedOn w:val="Normal"/>
    <w:link w:val="BalloonTextChar"/>
    <w:uiPriority w:val="99"/>
    <w:semiHidden/>
    <w:unhideWhenUsed/>
    <w:rsid w:val="005542F9"/>
    <w:rPr>
      <w:rFonts w:ascii="Tahoma" w:hAnsi="Tahoma" w:cs="Tahoma"/>
      <w:sz w:val="16"/>
      <w:szCs w:val="16"/>
    </w:rPr>
  </w:style>
  <w:style w:type="paragraph" w:styleId="TOCHeading">
    <w:name w:val="TOC Heading"/>
    <w:next w:val="Normal"/>
    <w:uiPriority w:val="39"/>
    <w:unhideWhenUsed/>
    <w:qFormat/>
    <w:rsid w:val="0044504D"/>
    <w:pPr>
      <w:pageBreakBefore/>
      <w:spacing w:after="600" w:line="240" w:lineRule="auto"/>
    </w:pPr>
    <w:rPr>
      <w:rFonts w:asciiTheme="majorHAnsi" w:eastAsiaTheme="minorEastAsia" w:hAnsiTheme="majorHAnsi" w:cstheme="majorBidi"/>
      <w:b/>
      <w:bCs/>
      <w:color w:val="214C90" w:themeColor="text2"/>
      <w:sz w:val="32"/>
      <w:szCs w:val="28"/>
    </w:rPr>
  </w:style>
  <w:style w:type="character" w:customStyle="1" w:styleId="BalloonTextChar">
    <w:name w:val="Balloon Text Char"/>
    <w:basedOn w:val="DefaultParagraphFont"/>
    <w:link w:val="BalloonText"/>
    <w:uiPriority w:val="99"/>
    <w:semiHidden/>
    <w:rsid w:val="00475145"/>
    <w:rPr>
      <w:rFonts w:ascii="Tahoma" w:hAnsi="Tahoma" w:cs="Tahoma"/>
      <w:color w:val="000000" w:themeColor="text1"/>
      <w:sz w:val="16"/>
      <w:szCs w:val="16"/>
    </w:rPr>
  </w:style>
  <w:style w:type="paragraph" w:styleId="Footer">
    <w:name w:val="footer"/>
    <w:basedOn w:val="Normal"/>
    <w:link w:val="FooterChar"/>
    <w:uiPriority w:val="99"/>
    <w:rsid w:val="003E578E"/>
    <w:pPr>
      <w:tabs>
        <w:tab w:val="left" w:pos="1077"/>
        <w:tab w:val="center" w:pos="4320"/>
        <w:tab w:val="right" w:pos="8640"/>
      </w:tabs>
      <w:jc w:val="center"/>
    </w:pPr>
    <w:rPr>
      <w:rFonts w:eastAsia="Cambria" w:cstheme="minorBidi"/>
      <w:sz w:val="18"/>
      <w:lang w:eastAsia="en-US"/>
    </w:rPr>
  </w:style>
  <w:style w:type="character" w:customStyle="1" w:styleId="FooterChar">
    <w:name w:val="Footer Char"/>
    <w:basedOn w:val="DefaultParagraphFont"/>
    <w:link w:val="Footer"/>
    <w:uiPriority w:val="99"/>
    <w:rsid w:val="003E578E"/>
    <w:rPr>
      <w:rFonts w:eastAsia="Cambria" w:cstheme="minorBidi"/>
      <w:sz w:val="18"/>
      <w:lang w:eastAsia="en-US"/>
    </w:rPr>
  </w:style>
  <w:style w:type="numbering" w:customStyle="1" w:styleId="HangingList">
    <w:name w:val="HangingList"/>
    <w:uiPriority w:val="99"/>
    <w:rsid w:val="00DD7311"/>
    <w:pPr>
      <w:numPr>
        <w:numId w:val="1"/>
      </w:numPr>
    </w:pPr>
  </w:style>
  <w:style w:type="paragraph" w:styleId="Header">
    <w:name w:val="header"/>
    <w:basedOn w:val="Normal"/>
    <w:link w:val="HeaderChar"/>
    <w:uiPriority w:val="99"/>
    <w:rsid w:val="00294804"/>
    <w:pPr>
      <w:tabs>
        <w:tab w:val="left" w:pos="7796"/>
      </w:tabs>
    </w:pPr>
    <w:rPr>
      <w:rFonts w:eastAsiaTheme="minorHAnsi" w:cstheme="minorBidi"/>
      <w:sz w:val="18"/>
      <w:lang w:eastAsia="fr-CA"/>
    </w:rPr>
  </w:style>
  <w:style w:type="character" w:customStyle="1" w:styleId="HeaderChar">
    <w:name w:val="Header Char"/>
    <w:basedOn w:val="DefaultParagraphFont"/>
    <w:link w:val="Header"/>
    <w:uiPriority w:val="99"/>
    <w:rsid w:val="00294804"/>
    <w:rPr>
      <w:rFonts w:eastAsiaTheme="minorHAnsi" w:cstheme="minorBidi"/>
      <w:sz w:val="18"/>
      <w:lang w:eastAsia="fr-CA"/>
    </w:rPr>
  </w:style>
  <w:style w:type="paragraph" w:customStyle="1" w:styleId="AppendixHeading2">
    <w:name w:val="Appendix Heading 2"/>
    <w:basedOn w:val="Normal"/>
    <w:next w:val="BodyText"/>
    <w:uiPriority w:val="4"/>
    <w:rsid w:val="007E6584"/>
    <w:pPr>
      <w:keepNext/>
      <w:numPr>
        <w:ilvl w:val="1"/>
        <w:numId w:val="11"/>
      </w:numPr>
      <w:spacing w:before="360" w:after="240"/>
    </w:pPr>
    <w:rPr>
      <w:rFonts w:asciiTheme="majorHAnsi" w:eastAsiaTheme="minorEastAsia" w:hAnsiTheme="majorHAnsi"/>
      <w:b/>
      <w:color w:val="214C90" w:themeColor="text2"/>
      <w:lang w:eastAsia="en-US"/>
    </w:rPr>
  </w:style>
  <w:style w:type="paragraph" w:customStyle="1" w:styleId="AppendixHeading3">
    <w:name w:val="Appendix Heading 3"/>
    <w:basedOn w:val="Normal"/>
    <w:next w:val="BodyText"/>
    <w:uiPriority w:val="4"/>
    <w:rsid w:val="007E6584"/>
    <w:pPr>
      <w:keepNext/>
      <w:numPr>
        <w:ilvl w:val="2"/>
        <w:numId w:val="11"/>
      </w:numPr>
      <w:tabs>
        <w:tab w:val="left" w:pos="1559"/>
        <w:tab w:val="left" w:pos="1843"/>
        <w:tab w:val="left" w:pos="2126"/>
        <w:tab w:val="left" w:pos="2410"/>
        <w:tab w:val="left" w:pos="6804"/>
        <w:tab w:val="right" w:pos="9639"/>
      </w:tabs>
      <w:spacing w:before="360" w:after="240"/>
    </w:pPr>
    <w:rPr>
      <w:rFonts w:asciiTheme="majorHAnsi" w:hAnsiTheme="majorHAnsi"/>
      <w:b/>
      <w:color w:val="214C90" w:themeColor="text2"/>
      <w:lang w:eastAsia="en-US"/>
    </w:rPr>
  </w:style>
  <w:style w:type="character" w:customStyle="1" w:styleId="Italics">
    <w:name w:val="Italics"/>
    <w:uiPriority w:val="1"/>
    <w:rsid w:val="00566E04"/>
    <w:rPr>
      <w:i/>
      <w:lang w:eastAsia="en-US"/>
    </w:rPr>
  </w:style>
  <w:style w:type="character" w:customStyle="1" w:styleId="Heading1Char">
    <w:name w:val="Heading 1 Char"/>
    <w:basedOn w:val="DefaultParagraphFont"/>
    <w:link w:val="Heading1"/>
    <w:rsid w:val="007E6584"/>
    <w:rPr>
      <w:rFonts w:asciiTheme="majorHAnsi" w:eastAsiaTheme="minorEastAsia" w:hAnsiTheme="majorHAnsi" w:cstheme="majorBidi"/>
      <w:b/>
      <w:bCs/>
      <w:color w:val="214C90" w:themeColor="text2"/>
      <w:sz w:val="24"/>
      <w:szCs w:val="32"/>
    </w:rPr>
  </w:style>
  <w:style w:type="character" w:customStyle="1" w:styleId="Heading2Char">
    <w:name w:val="Heading 2 Char"/>
    <w:basedOn w:val="DefaultParagraphFont"/>
    <w:link w:val="Heading2"/>
    <w:rsid w:val="007E6584"/>
    <w:rPr>
      <w:rFonts w:asciiTheme="majorHAnsi" w:eastAsiaTheme="majorEastAsia" w:hAnsiTheme="majorHAnsi" w:cstheme="majorBidi"/>
      <w:b/>
      <w:bCs/>
      <w:color w:val="214C90" w:themeColor="accent1"/>
      <w:szCs w:val="26"/>
    </w:rPr>
  </w:style>
  <w:style w:type="character" w:customStyle="1" w:styleId="Heading3Char">
    <w:name w:val="Heading 3 Char"/>
    <w:basedOn w:val="DefaultParagraphFont"/>
    <w:link w:val="Heading3"/>
    <w:rsid w:val="007E6584"/>
    <w:rPr>
      <w:rFonts w:asciiTheme="majorHAnsi" w:eastAsiaTheme="majorEastAsia" w:hAnsiTheme="majorHAnsi" w:cstheme="majorBidi"/>
      <w:b/>
      <w:bCs/>
      <w:color w:val="214C90" w:themeColor="accent1"/>
    </w:rPr>
  </w:style>
  <w:style w:type="character" w:customStyle="1" w:styleId="Heading4Char">
    <w:name w:val="Heading 4 Char"/>
    <w:basedOn w:val="DefaultParagraphFont"/>
    <w:link w:val="Heading4"/>
    <w:rsid w:val="007E6584"/>
    <w:rPr>
      <w:rFonts w:asciiTheme="majorHAnsi" w:eastAsiaTheme="majorEastAsia" w:hAnsiTheme="majorHAnsi" w:cstheme="majorBidi"/>
      <w:b/>
      <w:bCs/>
      <w:i/>
      <w:iCs/>
      <w:color w:val="214C90" w:themeColor="text2"/>
    </w:rPr>
  </w:style>
  <w:style w:type="character" w:customStyle="1" w:styleId="Heading7Char">
    <w:name w:val="Heading 7 Char"/>
    <w:basedOn w:val="DefaultParagraphFont"/>
    <w:link w:val="Heading7"/>
    <w:semiHidden/>
    <w:rsid w:val="007E6584"/>
    <w:rPr>
      <w:rFonts w:asciiTheme="majorHAnsi" w:eastAsiaTheme="majorEastAsia" w:hAnsiTheme="majorHAnsi" w:cstheme="majorBidi"/>
      <w:b/>
      <w:iCs/>
      <w:color w:val="214C90" w:themeColor="text2"/>
    </w:rPr>
  </w:style>
  <w:style w:type="character" w:customStyle="1" w:styleId="Heading8Char">
    <w:name w:val="Heading 8 Char"/>
    <w:basedOn w:val="DefaultParagraphFont"/>
    <w:link w:val="Heading8"/>
    <w:uiPriority w:val="3"/>
    <w:semiHidden/>
    <w:rsid w:val="007E6584"/>
    <w:rPr>
      <w:rFonts w:asciiTheme="majorHAnsi" w:eastAsiaTheme="majorEastAsia" w:hAnsiTheme="majorHAnsi" w:cstheme="majorBidi"/>
      <w:caps/>
      <w:color w:val="214C90" w:themeColor="text2"/>
      <w:sz w:val="28"/>
      <w:lang w:eastAsia="en-US"/>
    </w:rPr>
  </w:style>
  <w:style w:type="character" w:customStyle="1" w:styleId="Heading9Char">
    <w:name w:val="Heading 9 Char"/>
    <w:aliases w:val="Appendix Heading 1 Char"/>
    <w:basedOn w:val="DefaultParagraphFont"/>
    <w:link w:val="Heading9"/>
    <w:uiPriority w:val="4"/>
    <w:rsid w:val="007E6584"/>
    <w:rPr>
      <w:rFonts w:asciiTheme="majorHAnsi" w:eastAsiaTheme="minorEastAsia" w:hAnsiTheme="majorHAnsi" w:cs="Arial"/>
      <w:b/>
      <w:color w:val="214C90" w:themeColor="text2"/>
      <w:sz w:val="24"/>
      <w:lang w:eastAsia="en-US"/>
    </w:rPr>
  </w:style>
  <w:style w:type="character" w:styleId="Hyperlink">
    <w:name w:val="Hyperlink"/>
    <w:basedOn w:val="DefaultParagraphFont"/>
    <w:uiPriority w:val="99"/>
    <w:unhideWhenUsed/>
    <w:rsid w:val="002778AD"/>
    <w:rPr>
      <w:color w:val="000000" w:themeColor="text1"/>
      <w:u w:val="single"/>
    </w:rPr>
  </w:style>
  <w:style w:type="character" w:styleId="FollowedHyperlink">
    <w:name w:val="FollowedHyperlink"/>
    <w:basedOn w:val="DefaultParagraphFont"/>
    <w:uiPriority w:val="99"/>
    <w:rsid w:val="002778AD"/>
    <w:rPr>
      <w:color w:val="000000" w:themeColor="text1"/>
      <w:u w:val="single"/>
    </w:rPr>
  </w:style>
  <w:style w:type="paragraph" w:styleId="ListBullet">
    <w:name w:val="List Bullet"/>
    <w:basedOn w:val="BodyText"/>
    <w:link w:val="ListBulletChar"/>
    <w:qFormat/>
    <w:rsid w:val="000709D4"/>
    <w:pPr>
      <w:numPr>
        <w:numId w:val="5"/>
      </w:numPr>
      <w:tabs>
        <w:tab w:val="clear" w:pos="2268"/>
        <w:tab w:val="clear" w:pos="4536"/>
        <w:tab w:val="clear" w:pos="6804"/>
        <w:tab w:val="clear" w:pos="9638"/>
      </w:tabs>
      <w:spacing w:before="120"/>
    </w:pPr>
  </w:style>
  <w:style w:type="paragraph" w:styleId="ListBullet2">
    <w:name w:val="List Bullet 2"/>
    <w:basedOn w:val="ListBullet"/>
    <w:rsid w:val="000709D4"/>
    <w:pPr>
      <w:numPr>
        <w:ilvl w:val="1"/>
      </w:numPr>
    </w:pPr>
  </w:style>
  <w:style w:type="paragraph" w:styleId="ListBullet3">
    <w:name w:val="List Bullet 3"/>
    <w:basedOn w:val="ListBullet2"/>
    <w:rsid w:val="000709D4"/>
    <w:pPr>
      <w:numPr>
        <w:ilvl w:val="2"/>
      </w:numPr>
    </w:pPr>
  </w:style>
  <w:style w:type="paragraph" w:styleId="ListContinue">
    <w:name w:val="List Continue"/>
    <w:basedOn w:val="Normal"/>
    <w:rsid w:val="00C93C07"/>
    <w:pPr>
      <w:spacing w:before="120" w:after="120"/>
      <w:ind w:left="357"/>
    </w:pPr>
    <w:rPr>
      <w:rFonts w:eastAsiaTheme="minorEastAsia"/>
    </w:rPr>
  </w:style>
  <w:style w:type="paragraph" w:styleId="ListNumber">
    <w:name w:val="List Number"/>
    <w:basedOn w:val="BodyText"/>
    <w:unhideWhenUsed/>
    <w:qFormat/>
    <w:rsid w:val="00210064"/>
    <w:pPr>
      <w:numPr>
        <w:numId w:val="7"/>
      </w:numPr>
      <w:tabs>
        <w:tab w:val="clear" w:pos="2268"/>
        <w:tab w:val="clear" w:pos="4536"/>
        <w:tab w:val="clear" w:pos="6804"/>
        <w:tab w:val="clear" w:pos="9638"/>
      </w:tabs>
      <w:spacing w:before="120"/>
    </w:pPr>
  </w:style>
  <w:style w:type="paragraph" w:styleId="ListNumber2">
    <w:name w:val="List Number 2"/>
    <w:basedOn w:val="ListNumber"/>
    <w:unhideWhenUsed/>
    <w:rsid w:val="002E0889"/>
    <w:pPr>
      <w:numPr>
        <w:ilvl w:val="1"/>
      </w:numPr>
    </w:pPr>
  </w:style>
  <w:style w:type="paragraph" w:styleId="ListNumber3">
    <w:name w:val="List Number 3"/>
    <w:basedOn w:val="ListNumber2"/>
    <w:unhideWhenUsed/>
    <w:rsid w:val="00EF51E7"/>
    <w:pPr>
      <w:numPr>
        <w:ilvl w:val="2"/>
      </w:numPr>
    </w:pPr>
  </w:style>
  <w:style w:type="numbering" w:customStyle="1" w:styleId="MyListNumbering">
    <w:name w:val="MyListNumbering"/>
    <w:uiPriority w:val="99"/>
    <w:rsid w:val="00DD7311"/>
    <w:pPr>
      <w:numPr>
        <w:numId w:val="2"/>
      </w:numPr>
    </w:pPr>
  </w:style>
  <w:style w:type="character" w:styleId="PlaceholderText">
    <w:name w:val="Placeholder Text"/>
    <w:basedOn w:val="DefaultParagraphFont"/>
    <w:uiPriority w:val="99"/>
    <w:semiHidden/>
    <w:rsid w:val="00DD7311"/>
    <w:rPr>
      <w:color w:val="808080"/>
    </w:rPr>
  </w:style>
  <w:style w:type="paragraph" w:customStyle="1" w:styleId="TableBodyText">
    <w:name w:val="Table Body Text"/>
    <w:basedOn w:val="Normal"/>
    <w:qFormat/>
    <w:rsid w:val="00C93C07"/>
    <w:pPr>
      <w:spacing w:before="60" w:after="60"/>
      <w:ind w:left="85" w:right="85"/>
    </w:pPr>
    <w:rPr>
      <w:rFonts w:ascii="Book Antiqua" w:hAnsi="Book Antiqua" w:cs="Arial"/>
      <w:sz w:val="18"/>
    </w:rPr>
  </w:style>
  <w:style w:type="paragraph" w:styleId="ListContinue4">
    <w:name w:val="List Continue 4"/>
    <w:basedOn w:val="Normal"/>
    <w:semiHidden/>
    <w:unhideWhenUsed/>
    <w:rsid w:val="00C93C07"/>
    <w:pPr>
      <w:spacing w:before="120" w:after="120"/>
      <w:ind w:left="1429"/>
    </w:pPr>
  </w:style>
  <w:style w:type="table" w:styleId="TableGrid">
    <w:name w:val="Table Grid"/>
    <w:basedOn w:val="TableNormal"/>
    <w:uiPriority w:val="59"/>
    <w:rsid w:val="004B4486"/>
    <w:pPr>
      <w:spacing w:before="60" w:after="60"/>
      <w:ind w:left="85" w:right="85"/>
    </w:pPr>
    <w:rPr>
      <w:sz w:val="18"/>
    </w:rPr>
    <w:tblPr>
      <w:tblStyleRowBandSize w:val="1"/>
      <w:tblBorders>
        <w:top w:val="single" w:sz="4" w:space="0" w:color="auto"/>
        <w:bottom w:val="single" w:sz="4" w:space="0" w:color="auto"/>
        <w:insideH w:val="single" w:sz="4" w:space="0" w:color="auto"/>
        <w:insideV w:val="single" w:sz="4" w:space="0" w:color="auto"/>
      </w:tblBorders>
      <w:tblCellMar>
        <w:left w:w="0" w:type="dxa"/>
        <w:right w:w="0" w:type="dxa"/>
      </w:tblCellMar>
    </w:tblPr>
    <w:tblStylePr w:type="firstRow">
      <w:rPr>
        <w:b/>
        <w:color w:val="FFFFFF"/>
      </w:rPr>
      <w:tblPr/>
      <w:tcPr>
        <w:shd w:val="clear" w:color="auto" w:fill="214C90" w:themeFill="text2"/>
      </w:tcPr>
    </w:tblStylePr>
    <w:tblStylePr w:type="band2Horz">
      <w:tblPr/>
      <w:tcPr>
        <w:shd w:val="clear" w:color="auto" w:fill="E1E2E7" w:themeFill="background2"/>
      </w:tcPr>
    </w:tblStylePr>
  </w:style>
  <w:style w:type="paragraph" w:customStyle="1" w:styleId="TableHeading">
    <w:name w:val="Table Heading"/>
    <w:basedOn w:val="TableBodyText"/>
    <w:uiPriority w:val="99"/>
    <w:qFormat/>
    <w:rsid w:val="00C93C07"/>
    <w:rPr>
      <w:color w:val="FFFFFF"/>
    </w:rPr>
  </w:style>
  <w:style w:type="paragraph" w:customStyle="1" w:styleId="TableBullet1">
    <w:name w:val="Table Bullet 1"/>
    <w:basedOn w:val="TableBodyText"/>
    <w:qFormat/>
    <w:rsid w:val="00C93C07"/>
    <w:pPr>
      <w:numPr>
        <w:numId w:val="8"/>
      </w:numPr>
    </w:pPr>
  </w:style>
  <w:style w:type="paragraph" w:customStyle="1" w:styleId="TableBullet2">
    <w:name w:val="Table Bullet 2"/>
    <w:basedOn w:val="TableBullet1"/>
    <w:qFormat/>
    <w:rsid w:val="00C93C07"/>
    <w:pPr>
      <w:numPr>
        <w:ilvl w:val="1"/>
      </w:numPr>
    </w:pPr>
  </w:style>
  <w:style w:type="paragraph" w:customStyle="1" w:styleId="TableBullet3">
    <w:name w:val="Table Bullet 3"/>
    <w:basedOn w:val="TableBullet2"/>
    <w:qFormat/>
    <w:rsid w:val="00C93C07"/>
    <w:pPr>
      <w:numPr>
        <w:ilvl w:val="2"/>
      </w:numPr>
    </w:pPr>
  </w:style>
  <w:style w:type="paragraph" w:customStyle="1" w:styleId="TableListNumber">
    <w:name w:val="Table List Number"/>
    <w:basedOn w:val="TableBodyText"/>
    <w:qFormat/>
    <w:rsid w:val="00C93C07"/>
    <w:pPr>
      <w:numPr>
        <w:numId w:val="9"/>
      </w:numPr>
    </w:pPr>
    <w:rPr>
      <w:rFonts w:eastAsiaTheme="minorEastAsia"/>
    </w:rPr>
  </w:style>
  <w:style w:type="paragraph" w:customStyle="1" w:styleId="TableListNumber2">
    <w:name w:val="Table List Number 2"/>
    <w:basedOn w:val="TableListNumber"/>
    <w:qFormat/>
    <w:rsid w:val="00C93C07"/>
    <w:pPr>
      <w:numPr>
        <w:ilvl w:val="1"/>
      </w:numPr>
    </w:pPr>
  </w:style>
  <w:style w:type="paragraph" w:customStyle="1" w:styleId="TableListNumber3">
    <w:name w:val="Table List Number 3"/>
    <w:basedOn w:val="TableListNumber2"/>
    <w:qFormat/>
    <w:rsid w:val="00C93C07"/>
    <w:pPr>
      <w:numPr>
        <w:ilvl w:val="2"/>
      </w:numPr>
    </w:pPr>
  </w:style>
  <w:style w:type="paragraph" w:styleId="TableofFigures">
    <w:name w:val="table of figures"/>
    <w:basedOn w:val="Normal"/>
    <w:next w:val="Normal"/>
    <w:uiPriority w:val="99"/>
    <w:rsid w:val="008A1045"/>
    <w:pPr>
      <w:tabs>
        <w:tab w:val="right" w:leader="dot" w:pos="9015"/>
      </w:tabs>
      <w:spacing w:before="120" w:after="60"/>
      <w:ind w:left="1134" w:right="737" w:hanging="1134"/>
    </w:pPr>
    <w:rPr>
      <w:rFonts w:eastAsiaTheme="minorHAnsi" w:cstheme="minorBidi"/>
      <w:lang w:eastAsia="fr-CA"/>
    </w:rPr>
  </w:style>
  <w:style w:type="paragraph" w:customStyle="1" w:styleId="Source">
    <w:name w:val="Source"/>
    <w:basedOn w:val="Normal"/>
    <w:next w:val="BodyText"/>
    <w:rsid w:val="00C93C07"/>
    <w:pPr>
      <w:spacing w:before="60" w:after="120" w:line="180" w:lineRule="atLeast"/>
    </w:pPr>
    <w:rPr>
      <w:rFonts w:ascii="Book Antiqua" w:hAnsi="Book Antiqua" w:cs="Arial"/>
      <w:sz w:val="18"/>
      <w:szCs w:val="18"/>
      <w:lang w:eastAsia="fr-CA"/>
    </w:rPr>
  </w:style>
  <w:style w:type="numbering" w:customStyle="1" w:styleId="TableBullets">
    <w:name w:val="TableBullets"/>
    <w:uiPriority w:val="99"/>
    <w:rsid w:val="00DD7311"/>
    <w:pPr>
      <w:numPr>
        <w:numId w:val="3"/>
      </w:numPr>
    </w:pPr>
  </w:style>
  <w:style w:type="numbering" w:customStyle="1" w:styleId="TableFootnotes">
    <w:name w:val="TableFootnotes"/>
    <w:uiPriority w:val="99"/>
    <w:rsid w:val="00DD7311"/>
    <w:pPr>
      <w:numPr>
        <w:numId w:val="4"/>
      </w:numPr>
    </w:pPr>
  </w:style>
  <w:style w:type="paragraph" w:styleId="Title">
    <w:name w:val="Title"/>
    <w:basedOn w:val="Normal"/>
    <w:next w:val="Normal"/>
    <w:link w:val="TitleChar"/>
    <w:uiPriority w:val="1"/>
    <w:rsid w:val="00D32095"/>
    <w:pPr>
      <w:spacing w:before="120" w:after="360" w:line="700" w:lineRule="exact"/>
    </w:pPr>
    <w:rPr>
      <w:rFonts w:asciiTheme="majorHAnsi" w:eastAsiaTheme="minorEastAsia" w:hAnsiTheme="majorHAnsi"/>
      <w:color w:val="214C90" w:themeColor="text2"/>
      <w:sz w:val="48"/>
      <w:szCs w:val="48"/>
    </w:rPr>
  </w:style>
  <w:style w:type="character" w:customStyle="1" w:styleId="TitleChar">
    <w:name w:val="Title Char"/>
    <w:basedOn w:val="DefaultParagraphFont"/>
    <w:link w:val="Title"/>
    <w:uiPriority w:val="1"/>
    <w:rsid w:val="00D32095"/>
    <w:rPr>
      <w:rFonts w:asciiTheme="majorHAnsi" w:eastAsiaTheme="minorEastAsia" w:hAnsiTheme="majorHAnsi"/>
      <w:color w:val="214C90" w:themeColor="text2"/>
      <w:sz w:val="48"/>
      <w:szCs w:val="48"/>
    </w:rPr>
  </w:style>
  <w:style w:type="paragraph" w:styleId="Subtitle">
    <w:name w:val="Subtitle"/>
    <w:basedOn w:val="Title"/>
    <w:next w:val="Normal"/>
    <w:link w:val="SubtitleChar"/>
    <w:uiPriority w:val="1"/>
    <w:rsid w:val="005E304F"/>
    <w:pPr>
      <w:spacing w:before="0" w:after="720" w:line="320" w:lineRule="exact"/>
      <w:contextualSpacing/>
    </w:pPr>
    <w:rPr>
      <w:b/>
      <w:color w:val="5D89B4" w:themeColor="accent3"/>
      <w:spacing w:val="4"/>
      <w:sz w:val="30"/>
    </w:rPr>
  </w:style>
  <w:style w:type="paragraph" w:styleId="TOC1">
    <w:name w:val="toc 1"/>
    <w:basedOn w:val="Normal"/>
    <w:next w:val="Normal"/>
    <w:autoRedefine/>
    <w:uiPriority w:val="39"/>
    <w:rsid w:val="008A1045"/>
    <w:pPr>
      <w:tabs>
        <w:tab w:val="right" w:leader="dot" w:pos="9015"/>
      </w:tabs>
      <w:spacing w:before="240" w:after="60"/>
      <w:ind w:right="737"/>
    </w:pPr>
    <w:rPr>
      <w:rFonts w:eastAsiaTheme="minorHAnsi" w:cstheme="minorBidi"/>
      <w:b/>
      <w:noProof/>
      <w:lang w:eastAsia="en-US"/>
    </w:rPr>
  </w:style>
  <w:style w:type="paragraph" w:styleId="TOC2">
    <w:name w:val="toc 2"/>
    <w:basedOn w:val="Normal"/>
    <w:next w:val="Normal"/>
    <w:autoRedefine/>
    <w:uiPriority w:val="39"/>
    <w:rsid w:val="008A1045"/>
    <w:pPr>
      <w:tabs>
        <w:tab w:val="right" w:leader="dot" w:pos="9015"/>
      </w:tabs>
      <w:spacing w:before="120" w:after="60"/>
      <w:ind w:right="737"/>
    </w:pPr>
    <w:rPr>
      <w:rFonts w:eastAsiaTheme="minorHAnsi" w:cstheme="minorBidi"/>
      <w:noProof/>
      <w:lang w:eastAsia="fr-CA"/>
    </w:rPr>
  </w:style>
  <w:style w:type="paragraph" w:styleId="TOC3">
    <w:name w:val="toc 3"/>
    <w:basedOn w:val="Normal"/>
    <w:next w:val="Normal"/>
    <w:autoRedefine/>
    <w:uiPriority w:val="39"/>
    <w:rsid w:val="008A1045"/>
    <w:pPr>
      <w:tabs>
        <w:tab w:val="right" w:leader="dot" w:pos="9015"/>
      </w:tabs>
      <w:spacing w:before="120" w:after="60"/>
      <w:ind w:left="340" w:right="737"/>
    </w:pPr>
    <w:rPr>
      <w:rFonts w:eastAsiaTheme="minorHAnsi" w:cstheme="minorBidi"/>
      <w:noProof/>
      <w:szCs w:val="18"/>
      <w:lang w:eastAsia="fr-CA"/>
    </w:rPr>
  </w:style>
  <w:style w:type="character" w:customStyle="1" w:styleId="SubtitleChar">
    <w:name w:val="Subtitle Char"/>
    <w:basedOn w:val="DefaultParagraphFont"/>
    <w:link w:val="Subtitle"/>
    <w:uiPriority w:val="1"/>
    <w:rsid w:val="005E304F"/>
    <w:rPr>
      <w:rFonts w:eastAsiaTheme="minorEastAsia"/>
      <w:color w:val="5D89B4" w:themeColor="accent3"/>
      <w:spacing w:val="4"/>
      <w:sz w:val="30"/>
      <w:szCs w:val="48"/>
    </w:rPr>
  </w:style>
  <w:style w:type="paragraph" w:styleId="NormalWeb">
    <w:name w:val="Normal (Web)"/>
    <w:basedOn w:val="Normal"/>
    <w:uiPriority w:val="99"/>
    <w:semiHidden/>
    <w:rsid w:val="003255DA"/>
    <w:rPr>
      <w:szCs w:val="24"/>
    </w:rPr>
  </w:style>
  <w:style w:type="paragraph" w:styleId="ListContinue2">
    <w:name w:val="List Continue 2"/>
    <w:basedOn w:val="Normal"/>
    <w:rsid w:val="00C93C07"/>
    <w:pPr>
      <w:spacing w:before="120" w:after="120"/>
      <w:ind w:left="714"/>
    </w:pPr>
    <w:rPr>
      <w:rFonts w:eastAsiaTheme="minorEastAsia"/>
    </w:rPr>
  </w:style>
  <w:style w:type="paragraph" w:styleId="ListContinue3">
    <w:name w:val="List Continue 3"/>
    <w:basedOn w:val="Normal"/>
    <w:rsid w:val="00C93C07"/>
    <w:pPr>
      <w:spacing w:before="120" w:after="120"/>
      <w:ind w:left="1072"/>
    </w:pPr>
    <w:rPr>
      <w:rFonts w:eastAsiaTheme="minorEastAsia"/>
    </w:rPr>
  </w:style>
  <w:style w:type="paragraph" w:styleId="NoSpacing">
    <w:name w:val="No Spacing"/>
    <w:next w:val="BodyText"/>
    <w:rsid w:val="00B85B75"/>
    <w:pPr>
      <w:spacing w:line="240" w:lineRule="auto"/>
    </w:pPr>
  </w:style>
  <w:style w:type="paragraph" w:styleId="ListContinue5">
    <w:name w:val="List Continue 5"/>
    <w:basedOn w:val="Normal"/>
    <w:semiHidden/>
    <w:unhideWhenUsed/>
    <w:rsid w:val="00C93C07"/>
    <w:pPr>
      <w:spacing w:before="120" w:after="120"/>
      <w:ind w:left="1786"/>
    </w:pPr>
  </w:style>
  <w:style w:type="paragraph" w:customStyle="1" w:styleId="TableofFiguresHeading">
    <w:name w:val="Table of Figures Heading"/>
    <w:basedOn w:val="Normal"/>
    <w:rsid w:val="008A1045"/>
    <w:pPr>
      <w:spacing w:before="120" w:after="120"/>
      <w:outlineLvl w:val="3"/>
    </w:pPr>
    <w:rPr>
      <w:b/>
      <w:bCs/>
      <w:color w:val="214C90" w:themeColor="text2"/>
    </w:rPr>
  </w:style>
  <w:style w:type="paragraph" w:customStyle="1" w:styleId="SideNote">
    <w:name w:val="Side Note"/>
    <w:basedOn w:val="BodyText"/>
    <w:qFormat/>
    <w:rsid w:val="00C93C07"/>
    <w:pPr>
      <w:framePr w:w="794" w:h="397" w:wrap="around" w:vAnchor="text" w:hAnchor="page" w:x="285" w:y="143"/>
      <w:spacing w:before="0" w:line="247" w:lineRule="auto"/>
    </w:pPr>
    <w:rPr>
      <w:i/>
      <w:sz w:val="20"/>
    </w:rPr>
  </w:style>
  <w:style w:type="paragraph" w:customStyle="1" w:styleId="Address">
    <w:name w:val="Address"/>
    <w:basedOn w:val="Normal"/>
    <w:rsid w:val="00D43B4B"/>
    <w:pPr>
      <w:tabs>
        <w:tab w:val="left" w:pos="2722"/>
      </w:tabs>
      <w:spacing w:before="480" w:after="120" w:line="170" w:lineRule="exact"/>
      <w:contextualSpacing/>
      <w:jc w:val="center"/>
    </w:pPr>
    <w:rPr>
      <w:rFonts w:asciiTheme="majorHAnsi" w:hAnsiTheme="majorHAnsi"/>
      <w:noProof/>
      <w:color w:val="32343F" w:themeColor="background2" w:themeShade="40"/>
      <w:sz w:val="16"/>
    </w:rPr>
  </w:style>
  <w:style w:type="character" w:customStyle="1" w:styleId="Heading5Char">
    <w:name w:val="Heading 5 Char"/>
    <w:basedOn w:val="DefaultParagraphFont"/>
    <w:link w:val="Heading5"/>
    <w:semiHidden/>
    <w:rsid w:val="00BD348A"/>
    <w:rPr>
      <w:rFonts w:asciiTheme="majorHAnsi" w:eastAsiaTheme="majorEastAsia" w:hAnsiTheme="majorHAnsi" w:cstheme="majorBidi"/>
      <w:i/>
      <w:color w:val="214C90" w:themeColor="text2"/>
    </w:rPr>
  </w:style>
  <w:style w:type="character" w:customStyle="1" w:styleId="Heading6Char">
    <w:name w:val="Heading 6 Char"/>
    <w:basedOn w:val="DefaultParagraphFont"/>
    <w:link w:val="Heading6"/>
    <w:semiHidden/>
    <w:rsid w:val="00BD348A"/>
    <w:rPr>
      <w:rFonts w:asciiTheme="majorHAnsi" w:eastAsiaTheme="majorEastAsia" w:hAnsiTheme="majorHAnsi" w:cstheme="majorBidi"/>
      <w:b/>
      <w:iCs/>
      <w:color w:val="214C90" w:themeColor="text2"/>
      <w:lang w:eastAsia="en-US"/>
    </w:rPr>
  </w:style>
  <w:style w:type="paragraph" w:styleId="Revision">
    <w:name w:val="Revision"/>
    <w:hidden/>
    <w:uiPriority w:val="99"/>
    <w:semiHidden/>
    <w:rsid w:val="009E7348"/>
    <w:rPr>
      <w:rFonts w:ascii="Calibri" w:eastAsia="Calibri" w:hAnsi="Calibri"/>
      <w:lang w:eastAsia="en-US"/>
    </w:rPr>
  </w:style>
  <w:style w:type="paragraph" w:customStyle="1" w:styleId="TableBodyTextBold">
    <w:name w:val="Table Body Text Bold"/>
    <w:basedOn w:val="TableBodyText"/>
    <w:rsid w:val="00C93C07"/>
    <w:rPr>
      <w:b/>
    </w:rPr>
  </w:style>
  <w:style w:type="table" w:customStyle="1" w:styleId="TablePlaceholder">
    <w:name w:val="Table Placeholder"/>
    <w:basedOn w:val="TableNormal"/>
    <w:uiPriority w:val="99"/>
    <w:rsid w:val="00480149"/>
    <w:pPr>
      <w:spacing w:line="240" w:lineRule="auto"/>
    </w:pPr>
    <w:tblPr>
      <w:tblCellMar>
        <w:left w:w="45" w:type="dxa"/>
        <w:right w:w="45" w:type="dxa"/>
      </w:tblCellMar>
    </w:tblPr>
  </w:style>
  <w:style w:type="paragraph" w:styleId="Quote">
    <w:name w:val="Quote"/>
    <w:basedOn w:val="Normal"/>
    <w:next w:val="Normal"/>
    <w:link w:val="QuoteChar"/>
    <w:rsid w:val="002778AD"/>
    <w:pPr>
      <w:spacing w:before="200" w:after="160"/>
      <w:ind w:left="357" w:right="357"/>
    </w:pPr>
    <w:rPr>
      <w:i/>
      <w:iCs/>
      <w:sz w:val="20"/>
    </w:rPr>
  </w:style>
  <w:style w:type="character" w:customStyle="1" w:styleId="QuoteChar">
    <w:name w:val="Quote Char"/>
    <w:basedOn w:val="DefaultParagraphFont"/>
    <w:link w:val="Quote"/>
    <w:rsid w:val="002778AD"/>
    <w:rPr>
      <w:i/>
      <w:iCs/>
      <w:sz w:val="20"/>
    </w:rPr>
  </w:style>
  <w:style w:type="paragraph" w:customStyle="1" w:styleId="PullOutBoxBodyText">
    <w:name w:val="Pull Out Box Body Text"/>
    <w:basedOn w:val="Normal"/>
    <w:rsid w:val="00A67EB1"/>
    <w:pPr>
      <w:spacing w:before="120"/>
    </w:pPr>
    <w:rPr>
      <w:rFonts w:eastAsiaTheme="minorEastAsia" w:cstheme="minorBidi"/>
      <w:lang w:eastAsia="fr-CA"/>
    </w:rPr>
  </w:style>
  <w:style w:type="paragraph" w:customStyle="1" w:styleId="PullOutBoxHeading">
    <w:name w:val="Pull Out Box Heading"/>
    <w:basedOn w:val="Normal"/>
    <w:next w:val="PullOutBoxBodyText"/>
    <w:rsid w:val="00A67EB1"/>
    <w:pPr>
      <w:spacing w:before="120"/>
    </w:pPr>
    <w:rPr>
      <w:rFonts w:eastAsiaTheme="minorHAnsi" w:cstheme="minorBidi"/>
      <w:b/>
      <w:color w:val="214C90" w:themeColor="text2"/>
      <w:szCs w:val="24"/>
      <w:lang w:eastAsia="fr-CA"/>
    </w:rPr>
  </w:style>
  <w:style w:type="table" w:customStyle="1" w:styleId="PullOutBoxTable">
    <w:name w:val="Pull Out Box Table"/>
    <w:basedOn w:val="TableNormal"/>
    <w:uiPriority w:val="99"/>
    <w:rsid w:val="004B3F0E"/>
    <w:pPr>
      <w:spacing w:line="240" w:lineRule="auto"/>
    </w:pPr>
    <w:tblPr>
      <w:tblCellMar>
        <w:top w:w="142" w:type="dxa"/>
        <w:left w:w="170" w:type="dxa"/>
        <w:bottom w:w="142" w:type="dxa"/>
        <w:right w:w="170" w:type="dxa"/>
      </w:tblCellMar>
    </w:tblPr>
    <w:tcPr>
      <w:shd w:val="clear" w:color="auto" w:fill="E1E2E7" w:themeFill="background2"/>
    </w:tcPr>
  </w:style>
  <w:style w:type="character" w:customStyle="1" w:styleId="Bold">
    <w:name w:val="Bold"/>
    <w:uiPriority w:val="99"/>
    <w:semiHidden/>
    <w:rsid w:val="00446E25"/>
    <w:rPr>
      <w:rFonts w:eastAsiaTheme="minorEastAsia"/>
      <w:b/>
      <w:i w:val="0"/>
      <w:strike w:val="0"/>
      <w:vertAlign w:val="baseline"/>
    </w:rPr>
  </w:style>
  <w:style w:type="character" w:customStyle="1" w:styleId="BoldAndItalics">
    <w:name w:val="Bold And Italics"/>
    <w:uiPriority w:val="99"/>
    <w:semiHidden/>
    <w:rsid w:val="00446E25"/>
    <w:rPr>
      <w:rFonts w:eastAsiaTheme="minorEastAsia"/>
      <w:b/>
      <w:i/>
      <w:strike w:val="0"/>
      <w:vertAlign w:val="baseline"/>
    </w:rPr>
  </w:style>
  <w:style w:type="paragraph" w:customStyle="1" w:styleId="TableHeadingBold">
    <w:name w:val="Table Heading Bold"/>
    <w:basedOn w:val="TableHeading"/>
    <w:rsid w:val="00C93C07"/>
    <w:rPr>
      <w:b/>
    </w:rPr>
  </w:style>
  <w:style w:type="paragraph" w:customStyle="1" w:styleId="AppendixHeading4">
    <w:name w:val="Appendix Heading 4"/>
    <w:basedOn w:val="Normal"/>
    <w:next w:val="BodyText"/>
    <w:uiPriority w:val="4"/>
    <w:rsid w:val="007E6584"/>
    <w:pPr>
      <w:keepNext/>
      <w:numPr>
        <w:ilvl w:val="3"/>
        <w:numId w:val="11"/>
      </w:numPr>
      <w:spacing w:before="360" w:after="240"/>
    </w:pPr>
    <w:rPr>
      <w:rFonts w:asciiTheme="majorHAnsi" w:eastAsiaTheme="minorEastAsia" w:hAnsiTheme="majorHAnsi"/>
      <w:b/>
      <w:i/>
      <w:color w:val="214C90" w:themeColor="text2"/>
      <w:lang w:eastAsia="en-US"/>
    </w:rPr>
  </w:style>
  <w:style w:type="paragraph" w:customStyle="1" w:styleId="xPageNumberHeading">
    <w:name w:val="xPage Number Heading"/>
    <w:basedOn w:val="Normal"/>
    <w:next w:val="BodyText"/>
    <w:rsid w:val="002778AD"/>
    <w:pPr>
      <w:keepNext/>
      <w:keepLines/>
      <w:tabs>
        <w:tab w:val="right" w:pos="9639"/>
      </w:tabs>
      <w:spacing w:after="360"/>
      <w:jc w:val="right"/>
    </w:pPr>
    <w:rPr>
      <w:lang w:eastAsia="en-US"/>
    </w:rPr>
  </w:style>
  <w:style w:type="paragraph" w:customStyle="1" w:styleId="Notes">
    <w:name w:val="Notes"/>
    <w:basedOn w:val="Normal"/>
    <w:rsid w:val="00A67EB1"/>
    <w:pPr>
      <w:spacing w:before="120" w:after="120"/>
    </w:pPr>
    <w:rPr>
      <w:rFonts w:ascii="Book Antiqua" w:hAnsi="Book Antiqua" w:cs="Arial"/>
      <w:sz w:val="18"/>
    </w:rPr>
  </w:style>
  <w:style w:type="paragraph" w:styleId="Date">
    <w:name w:val="Date"/>
    <w:basedOn w:val="Normal"/>
    <w:next w:val="Normal"/>
    <w:link w:val="DateChar"/>
    <w:rsid w:val="003E578E"/>
    <w:pPr>
      <w:spacing w:before="600" w:after="600"/>
    </w:pPr>
    <w:rPr>
      <w:rFonts w:eastAsiaTheme="minorEastAsia"/>
    </w:rPr>
  </w:style>
  <w:style w:type="character" w:customStyle="1" w:styleId="DateChar">
    <w:name w:val="Date Char"/>
    <w:basedOn w:val="DefaultParagraphFont"/>
    <w:link w:val="Date"/>
    <w:rsid w:val="003E578E"/>
    <w:rPr>
      <w:rFonts w:eastAsiaTheme="minorEastAsia"/>
    </w:rPr>
  </w:style>
  <w:style w:type="paragraph" w:customStyle="1" w:styleId="NotesNumbered">
    <w:name w:val="Notes Numbered"/>
    <w:basedOn w:val="Normal"/>
    <w:qFormat/>
    <w:rsid w:val="00323279"/>
    <w:pPr>
      <w:numPr>
        <w:numId w:val="6"/>
      </w:numPr>
      <w:spacing w:before="120" w:after="240" w:line="240" w:lineRule="auto"/>
      <w:contextualSpacing/>
    </w:pPr>
    <w:rPr>
      <w:rFonts w:ascii="Book Antiqua" w:hAnsi="Book Antiqua"/>
      <w:sz w:val="18"/>
      <w:szCs w:val="20"/>
      <w:lang w:eastAsia="fr-CA"/>
    </w:rPr>
  </w:style>
  <w:style w:type="paragraph" w:styleId="FootnoteText">
    <w:name w:val="footnote text"/>
    <w:aliases w:val="BG Footnote Text,TBG Style"/>
    <w:basedOn w:val="Normal"/>
    <w:link w:val="FootnoteTextChar"/>
    <w:rsid w:val="00F660E3"/>
    <w:pPr>
      <w:spacing w:before="120" w:after="120" w:line="240" w:lineRule="auto"/>
      <w:ind w:left="357" w:hanging="357"/>
    </w:pPr>
    <w:rPr>
      <w:sz w:val="18"/>
      <w:szCs w:val="20"/>
    </w:rPr>
  </w:style>
  <w:style w:type="character" w:customStyle="1" w:styleId="FootnoteTextChar">
    <w:name w:val="Footnote Text Char"/>
    <w:aliases w:val="BG Footnote Text Char,TBG Style Char"/>
    <w:basedOn w:val="DefaultParagraphFont"/>
    <w:link w:val="FootnoteText"/>
    <w:rsid w:val="00F660E3"/>
    <w:rPr>
      <w:sz w:val="18"/>
      <w:szCs w:val="20"/>
    </w:rPr>
  </w:style>
  <w:style w:type="character" w:styleId="FootnoteReference">
    <w:name w:val="footnote reference"/>
    <w:aliases w:val="(NECG) Footnote Reference,fr,o,Style 6 + 12 pt"/>
    <w:basedOn w:val="DefaultParagraphFont"/>
    <w:unhideWhenUsed/>
    <w:rsid w:val="00A176B6"/>
    <w:rPr>
      <w:vertAlign w:val="superscript"/>
    </w:rPr>
  </w:style>
  <w:style w:type="paragraph" w:styleId="ListNumber4">
    <w:name w:val="List Number 4"/>
    <w:basedOn w:val="Normal"/>
    <w:unhideWhenUsed/>
    <w:rsid w:val="00A176B6"/>
    <w:pPr>
      <w:numPr>
        <w:ilvl w:val="3"/>
        <w:numId w:val="7"/>
      </w:numPr>
      <w:contextualSpacing/>
    </w:pPr>
  </w:style>
  <w:style w:type="paragraph" w:styleId="ListNumber5">
    <w:name w:val="List Number 5"/>
    <w:basedOn w:val="Normal"/>
    <w:unhideWhenUsed/>
    <w:rsid w:val="00A176B6"/>
    <w:pPr>
      <w:numPr>
        <w:ilvl w:val="4"/>
        <w:numId w:val="7"/>
      </w:numPr>
      <w:contextualSpacing/>
    </w:pPr>
  </w:style>
  <w:style w:type="paragraph" w:styleId="ListBullet4">
    <w:name w:val="List Bullet 4"/>
    <w:basedOn w:val="Normal"/>
    <w:unhideWhenUsed/>
    <w:rsid w:val="001122BF"/>
    <w:pPr>
      <w:numPr>
        <w:ilvl w:val="3"/>
        <w:numId w:val="5"/>
      </w:numPr>
      <w:spacing w:before="120" w:after="120"/>
    </w:pPr>
  </w:style>
  <w:style w:type="paragraph" w:styleId="ListBullet5">
    <w:name w:val="List Bullet 5"/>
    <w:basedOn w:val="Normal"/>
    <w:unhideWhenUsed/>
    <w:rsid w:val="001122BF"/>
    <w:pPr>
      <w:numPr>
        <w:ilvl w:val="4"/>
        <w:numId w:val="5"/>
      </w:numPr>
      <w:contextualSpacing/>
    </w:pPr>
  </w:style>
  <w:style w:type="paragraph" w:customStyle="1" w:styleId="PageNumberinFrame">
    <w:name w:val="Page Number in Frame"/>
    <w:basedOn w:val="Normal"/>
    <w:uiPriority w:val="99"/>
    <w:qFormat/>
    <w:rsid w:val="00A13A74"/>
    <w:pPr>
      <w:framePr w:w="1701" w:h="1701" w:hRule="exact" w:wrap="around" w:vAnchor="text" w:hAnchor="margin" w:xAlign="right" w:y="1"/>
      <w:jc w:val="center"/>
    </w:pPr>
    <w:rPr>
      <w:sz w:val="18"/>
    </w:rPr>
  </w:style>
  <w:style w:type="paragraph" w:customStyle="1" w:styleId="BodyTextSmall">
    <w:name w:val="Body Text Small"/>
    <w:basedOn w:val="Normal"/>
    <w:qFormat/>
    <w:rsid w:val="00A67EB1"/>
    <w:pPr>
      <w:spacing w:before="240" w:after="120"/>
    </w:pPr>
    <w:rPr>
      <w:sz w:val="18"/>
    </w:rPr>
  </w:style>
  <w:style w:type="paragraph" w:styleId="TOC4">
    <w:name w:val="toc 4"/>
    <w:basedOn w:val="Normal"/>
    <w:next w:val="Normal"/>
    <w:autoRedefine/>
    <w:uiPriority w:val="39"/>
    <w:unhideWhenUsed/>
    <w:rsid w:val="00975B1E"/>
    <w:pPr>
      <w:tabs>
        <w:tab w:val="right" w:leader="dot" w:pos="8165"/>
      </w:tabs>
      <w:spacing w:before="120" w:after="60"/>
      <w:ind w:right="737"/>
    </w:pPr>
  </w:style>
  <w:style w:type="paragraph" w:styleId="TOC5">
    <w:name w:val="toc 5"/>
    <w:basedOn w:val="Normal"/>
    <w:next w:val="Normal"/>
    <w:autoRedefine/>
    <w:uiPriority w:val="39"/>
    <w:semiHidden/>
    <w:unhideWhenUsed/>
    <w:rsid w:val="008A1045"/>
    <w:pPr>
      <w:tabs>
        <w:tab w:val="right" w:leader="dot" w:pos="9015"/>
      </w:tabs>
      <w:spacing w:before="120" w:after="80"/>
    </w:pPr>
  </w:style>
  <w:style w:type="character" w:styleId="CommentReference">
    <w:name w:val="annotation reference"/>
    <w:basedOn w:val="DefaultParagraphFont"/>
    <w:uiPriority w:val="99"/>
    <w:semiHidden/>
    <w:unhideWhenUsed/>
    <w:rsid w:val="00E356FC"/>
    <w:rPr>
      <w:sz w:val="16"/>
      <w:szCs w:val="16"/>
    </w:rPr>
  </w:style>
  <w:style w:type="paragraph" w:styleId="CommentText">
    <w:name w:val="annotation text"/>
    <w:basedOn w:val="Normal"/>
    <w:link w:val="CommentTextChar"/>
    <w:uiPriority w:val="99"/>
    <w:unhideWhenUsed/>
    <w:rsid w:val="00E356FC"/>
    <w:pPr>
      <w:spacing w:line="240" w:lineRule="auto"/>
    </w:pPr>
    <w:rPr>
      <w:sz w:val="20"/>
      <w:szCs w:val="20"/>
    </w:rPr>
  </w:style>
  <w:style w:type="character" w:customStyle="1" w:styleId="CommentTextChar">
    <w:name w:val="Comment Text Char"/>
    <w:basedOn w:val="DefaultParagraphFont"/>
    <w:link w:val="CommentText"/>
    <w:uiPriority w:val="99"/>
    <w:rsid w:val="00E356FC"/>
    <w:rPr>
      <w:sz w:val="20"/>
      <w:szCs w:val="20"/>
    </w:rPr>
  </w:style>
  <w:style w:type="paragraph" w:styleId="CommentSubject">
    <w:name w:val="annotation subject"/>
    <w:basedOn w:val="CommentText"/>
    <w:next w:val="CommentText"/>
    <w:link w:val="CommentSubjectChar"/>
    <w:uiPriority w:val="99"/>
    <w:semiHidden/>
    <w:unhideWhenUsed/>
    <w:rsid w:val="00E356FC"/>
    <w:rPr>
      <w:b/>
      <w:bCs/>
    </w:rPr>
  </w:style>
  <w:style w:type="character" w:customStyle="1" w:styleId="CommentSubjectChar">
    <w:name w:val="Comment Subject Char"/>
    <w:basedOn w:val="CommentTextChar"/>
    <w:link w:val="CommentSubject"/>
    <w:uiPriority w:val="99"/>
    <w:semiHidden/>
    <w:rsid w:val="00E356FC"/>
    <w:rPr>
      <w:b/>
      <w:bCs/>
      <w:sz w:val="20"/>
      <w:szCs w:val="20"/>
    </w:rPr>
  </w:style>
  <w:style w:type="table" w:customStyle="1" w:styleId="TableGridLight1">
    <w:name w:val="Table Grid Light1"/>
    <w:basedOn w:val="TableNormal"/>
    <w:uiPriority w:val="40"/>
    <w:rsid w:val="005A03FB"/>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ibliography">
    <w:name w:val="Bibliography"/>
    <w:basedOn w:val="Normal"/>
    <w:next w:val="Normal"/>
    <w:uiPriority w:val="37"/>
    <w:semiHidden/>
    <w:unhideWhenUsed/>
    <w:rsid w:val="006D2456"/>
  </w:style>
  <w:style w:type="paragraph" w:styleId="BodyText2">
    <w:name w:val="Body Text 2"/>
    <w:basedOn w:val="Normal"/>
    <w:link w:val="BodyText2Char"/>
    <w:semiHidden/>
    <w:unhideWhenUsed/>
    <w:rsid w:val="006D2456"/>
    <w:pPr>
      <w:spacing w:after="120" w:line="480" w:lineRule="auto"/>
    </w:pPr>
  </w:style>
  <w:style w:type="character" w:customStyle="1" w:styleId="BodyText2Char">
    <w:name w:val="Body Text 2 Char"/>
    <w:basedOn w:val="DefaultParagraphFont"/>
    <w:link w:val="BodyText2"/>
    <w:semiHidden/>
    <w:rsid w:val="006D2456"/>
  </w:style>
  <w:style w:type="paragraph" w:styleId="BodyText3">
    <w:name w:val="Body Text 3"/>
    <w:basedOn w:val="Normal"/>
    <w:link w:val="BodyText3Char"/>
    <w:semiHidden/>
    <w:unhideWhenUsed/>
    <w:rsid w:val="006D2456"/>
    <w:pPr>
      <w:spacing w:after="120"/>
    </w:pPr>
    <w:rPr>
      <w:sz w:val="16"/>
      <w:szCs w:val="16"/>
    </w:rPr>
  </w:style>
  <w:style w:type="character" w:customStyle="1" w:styleId="BodyText3Char">
    <w:name w:val="Body Text 3 Char"/>
    <w:basedOn w:val="DefaultParagraphFont"/>
    <w:link w:val="BodyText3"/>
    <w:semiHidden/>
    <w:rsid w:val="006D2456"/>
    <w:rPr>
      <w:sz w:val="16"/>
      <w:szCs w:val="16"/>
    </w:rPr>
  </w:style>
  <w:style w:type="paragraph" w:styleId="BodyTextFirstIndent">
    <w:name w:val="Body Text First Indent"/>
    <w:basedOn w:val="BodyText"/>
    <w:link w:val="BodyTextFirstIndentChar"/>
    <w:rsid w:val="006D2456"/>
    <w:pPr>
      <w:tabs>
        <w:tab w:val="clear" w:pos="2268"/>
        <w:tab w:val="clear" w:pos="4536"/>
        <w:tab w:val="clear" w:pos="6804"/>
        <w:tab w:val="clear" w:pos="9638"/>
      </w:tabs>
      <w:spacing w:before="0" w:after="0"/>
      <w:ind w:firstLine="360"/>
    </w:pPr>
  </w:style>
  <w:style w:type="character" w:customStyle="1" w:styleId="BodyTextFirstIndentChar">
    <w:name w:val="Body Text First Indent Char"/>
    <w:basedOn w:val="BodyTextChar"/>
    <w:link w:val="BodyTextFirstIndent"/>
    <w:rsid w:val="006D2456"/>
    <w:rPr>
      <w:rFonts w:ascii="Arial" w:hAnsi="Arial"/>
    </w:rPr>
  </w:style>
  <w:style w:type="paragraph" w:styleId="BodyTextIndent">
    <w:name w:val="Body Text Indent"/>
    <w:basedOn w:val="Normal"/>
    <w:link w:val="BodyTextIndentChar"/>
    <w:semiHidden/>
    <w:unhideWhenUsed/>
    <w:rsid w:val="006D2456"/>
    <w:pPr>
      <w:spacing w:after="120"/>
      <w:ind w:left="283"/>
    </w:pPr>
  </w:style>
  <w:style w:type="character" w:customStyle="1" w:styleId="BodyTextIndentChar">
    <w:name w:val="Body Text Indent Char"/>
    <w:basedOn w:val="DefaultParagraphFont"/>
    <w:link w:val="BodyTextIndent"/>
    <w:semiHidden/>
    <w:rsid w:val="006D2456"/>
  </w:style>
  <w:style w:type="paragraph" w:styleId="BodyTextFirstIndent2">
    <w:name w:val="Body Text First Indent 2"/>
    <w:basedOn w:val="BodyTextIndent"/>
    <w:link w:val="BodyTextFirstIndent2Char"/>
    <w:semiHidden/>
    <w:unhideWhenUsed/>
    <w:rsid w:val="006D2456"/>
    <w:pPr>
      <w:spacing w:after="0"/>
      <w:ind w:left="360" w:firstLine="360"/>
    </w:pPr>
  </w:style>
  <w:style w:type="character" w:customStyle="1" w:styleId="BodyTextFirstIndent2Char">
    <w:name w:val="Body Text First Indent 2 Char"/>
    <w:basedOn w:val="BodyTextIndentChar"/>
    <w:link w:val="BodyTextFirstIndent2"/>
    <w:semiHidden/>
    <w:rsid w:val="006D2456"/>
  </w:style>
  <w:style w:type="paragraph" w:styleId="BodyTextIndent2">
    <w:name w:val="Body Text Indent 2"/>
    <w:basedOn w:val="Normal"/>
    <w:link w:val="BodyTextIndent2Char"/>
    <w:semiHidden/>
    <w:unhideWhenUsed/>
    <w:rsid w:val="006D2456"/>
    <w:pPr>
      <w:spacing w:after="120" w:line="480" w:lineRule="auto"/>
      <w:ind w:left="283"/>
    </w:pPr>
  </w:style>
  <w:style w:type="character" w:customStyle="1" w:styleId="BodyTextIndent2Char">
    <w:name w:val="Body Text Indent 2 Char"/>
    <w:basedOn w:val="DefaultParagraphFont"/>
    <w:link w:val="BodyTextIndent2"/>
    <w:semiHidden/>
    <w:rsid w:val="006D2456"/>
  </w:style>
  <w:style w:type="paragraph" w:styleId="BodyTextIndent3">
    <w:name w:val="Body Text Indent 3"/>
    <w:basedOn w:val="Normal"/>
    <w:link w:val="BodyTextIndent3Char"/>
    <w:semiHidden/>
    <w:unhideWhenUsed/>
    <w:rsid w:val="006D2456"/>
    <w:pPr>
      <w:spacing w:after="120"/>
      <w:ind w:left="283"/>
    </w:pPr>
    <w:rPr>
      <w:sz w:val="16"/>
      <w:szCs w:val="16"/>
    </w:rPr>
  </w:style>
  <w:style w:type="character" w:customStyle="1" w:styleId="BodyTextIndent3Char">
    <w:name w:val="Body Text Indent 3 Char"/>
    <w:basedOn w:val="DefaultParagraphFont"/>
    <w:link w:val="BodyTextIndent3"/>
    <w:semiHidden/>
    <w:rsid w:val="006D2456"/>
    <w:rPr>
      <w:sz w:val="16"/>
      <w:szCs w:val="16"/>
    </w:rPr>
  </w:style>
  <w:style w:type="paragraph" w:styleId="Closing">
    <w:name w:val="Closing"/>
    <w:basedOn w:val="Normal"/>
    <w:link w:val="ClosingChar"/>
    <w:semiHidden/>
    <w:unhideWhenUsed/>
    <w:rsid w:val="006D2456"/>
    <w:pPr>
      <w:spacing w:line="240" w:lineRule="auto"/>
      <w:ind w:left="4252"/>
    </w:pPr>
  </w:style>
  <w:style w:type="character" w:customStyle="1" w:styleId="ClosingChar">
    <w:name w:val="Closing Char"/>
    <w:basedOn w:val="DefaultParagraphFont"/>
    <w:link w:val="Closing"/>
    <w:semiHidden/>
    <w:rsid w:val="006D2456"/>
  </w:style>
  <w:style w:type="paragraph" w:styleId="DocumentMap">
    <w:name w:val="Document Map"/>
    <w:basedOn w:val="Normal"/>
    <w:link w:val="DocumentMapChar"/>
    <w:semiHidden/>
    <w:unhideWhenUsed/>
    <w:rsid w:val="006D2456"/>
    <w:pPr>
      <w:spacing w:line="240" w:lineRule="auto"/>
    </w:pPr>
    <w:rPr>
      <w:rFonts w:ascii="Segoe UI" w:hAnsi="Segoe UI" w:cs="Segoe UI"/>
      <w:sz w:val="16"/>
      <w:szCs w:val="16"/>
    </w:rPr>
  </w:style>
  <w:style w:type="character" w:customStyle="1" w:styleId="DocumentMapChar">
    <w:name w:val="Document Map Char"/>
    <w:basedOn w:val="DefaultParagraphFont"/>
    <w:link w:val="DocumentMap"/>
    <w:semiHidden/>
    <w:rsid w:val="006D2456"/>
    <w:rPr>
      <w:rFonts w:ascii="Segoe UI" w:hAnsi="Segoe UI" w:cs="Segoe UI"/>
      <w:sz w:val="16"/>
      <w:szCs w:val="16"/>
    </w:rPr>
  </w:style>
  <w:style w:type="paragraph" w:styleId="E-mailSignature">
    <w:name w:val="E-mail Signature"/>
    <w:basedOn w:val="Normal"/>
    <w:link w:val="E-mailSignatureChar"/>
    <w:semiHidden/>
    <w:unhideWhenUsed/>
    <w:rsid w:val="006D2456"/>
    <w:pPr>
      <w:spacing w:line="240" w:lineRule="auto"/>
    </w:pPr>
  </w:style>
  <w:style w:type="character" w:customStyle="1" w:styleId="E-mailSignatureChar">
    <w:name w:val="E-mail Signature Char"/>
    <w:basedOn w:val="DefaultParagraphFont"/>
    <w:link w:val="E-mailSignature"/>
    <w:semiHidden/>
    <w:rsid w:val="006D2456"/>
  </w:style>
  <w:style w:type="paragraph" w:styleId="EndnoteText">
    <w:name w:val="endnote text"/>
    <w:basedOn w:val="Normal"/>
    <w:link w:val="EndnoteTextChar"/>
    <w:semiHidden/>
    <w:unhideWhenUsed/>
    <w:rsid w:val="006D2456"/>
    <w:pPr>
      <w:spacing w:line="240" w:lineRule="auto"/>
    </w:pPr>
    <w:rPr>
      <w:sz w:val="20"/>
      <w:szCs w:val="20"/>
    </w:rPr>
  </w:style>
  <w:style w:type="character" w:customStyle="1" w:styleId="EndnoteTextChar">
    <w:name w:val="Endnote Text Char"/>
    <w:basedOn w:val="DefaultParagraphFont"/>
    <w:link w:val="EndnoteText"/>
    <w:semiHidden/>
    <w:rsid w:val="006D2456"/>
    <w:rPr>
      <w:sz w:val="20"/>
      <w:szCs w:val="20"/>
    </w:rPr>
  </w:style>
  <w:style w:type="paragraph" w:styleId="EnvelopeAddress">
    <w:name w:val="envelope address"/>
    <w:basedOn w:val="Normal"/>
    <w:semiHidden/>
    <w:unhideWhenUsed/>
    <w:rsid w:val="006D2456"/>
    <w:pPr>
      <w:framePr w:w="7920" w:h="1980" w:hRule="exact" w:hSpace="180" w:wrap="auto" w:hAnchor="page" w:xAlign="center" w:yAlign="bottom"/>
      <w:spacing w:line="240" w:lineRule="auto"/>
      <w:ind w:left="2880"/>
    </w:pPr>
    <w:rPr>
      <w:rFonts w:asciiTheme="majorHAnsi" w:eastAsiaTheme="majorEastAsia" w:hAnsiTheme="majorHAnsi" w:cstheme="majorBidi"/>
      <w:sz w:val="24"/>
      <w:szCs w:val="24"/>
    </w:rPr>
  </w:style>
  <w:style w:type="paragraph" w:styleId="EnvelopeReturn">
    <w:name w:val="envelope return"/>
    <w:basedOn w:val="Normal"/>
    <w:semiHidden/>
    <w:unhideWhenUsed/>
    <w:rsid w:val="006D2456"/>
    <w:pPr>
      <w:spacing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semiHidden/>
    <w:unhideWhenUsed/>
    <w:rsid w:val="006D2456"/>
    <w:pPr>
      <w:spacing w:line="240" w:lineRule="auto"/>
    </w:pPr>
    <w:rPr>
      <w:i/>
      <w:iCs/>
    </w:rPr>
  </w:style>
  <w:style w:type="character" w:customStyle="1" w:styleId="HTMLAddressChar">
    <w:name w:val="HTML Address Char"/>
    <w:basedOn w:val="DefaultParagraphFont"/>
    <w:link w:val="HTMLAddress"/>
    <w:semiHidden/>
    <w:rsid w:val="006D2456"/>
    <w:rPr>
      <w:i/>
      <w:iCs/>
    </w:rPr>
  </w:style>
  <w:style w:type="paragraph" w:styleId="HTMLPreformatted">
    <w:name w:val="HTML Preformatted"/>
    <w:basedOn w:val="Normal"/>
    <w:link w:val="HTMLPreformattedChar"/>
    <w:semiHidden/>
    <w:unhideWhenUsed/>
    <w:rsid w:val="006D2456"/>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semiHidden/>
    <w:rsid w:val="006D2456"/>
    <w:rPr>
      <w:rFonts w:ascii="Consolas" w:hAnsi="Consolas"/>
      <w:sz w:val="20"/>
      <w:szCs w:val="20"/>
    </w:rPr>
  </w:style>
  <w:style w:type="paragraph" w:styleId="Index1">
    <w:name w:val="index 1"/>
    <w:basedOn w:val="Normal"/>
    <w:next w:val="Normal"/>
    <w:autoRedefine/>
    <w:semiHidden/>
    <w:unhideWhenUsed/>
    <w:rsid w:val="006D2456"/>
    <w:pPr>
      <w:spacing w:line="240" w:lineRule="auto"/>
      <w:ind w:left="220" w:hanging="220"/>
    </w:pPr>
  </w:style>
  <w:style w:type="paragraph" w:styleId="Index2">
    <w:name w:val="index 2"/>
    <w:basedOn w:val="Normal"/>
    <w:next w:val="Normal"/>
    <w:autoRedefine/>
    <w:semiHidden/>
    <w:unhideWhenUsed/>
    <w:rsid w:val="006D2456"/>
    <w:pPr>
      <w:spacing w:line="240" w:lineRule="auto"/>
      <w:ind w:left="440" w:hanging="220"/>
    </w:pPr>
  </w:style>
  <w:style w:type="paragraph" w:styleId="Index3">
    <w:name w:val="index 3"/>
    <w:basedOn w:val="Normal"/>
    <w:next w:val="Normal"/>
    <w:autoRedefine/>
    <w:semiHidden/>
    <w:unhideWhenUsed/>
    <w:rsid w:val="006D2456"/>
    <w:pPr>
      <w:spacing w:line="240" w:lineRule="auto"/>
      <w:ind w:left="660" w:hanging="220"/>
    </w:pPr>
  </w:style>
  <w:style w:type="paragraph" w:styleId="Index4">
    <w:name w:val="index 4"/>
    <w:basedOn w:val="Normal"/>
    <w:next w:val="Normal"/>
    <w:autoRedefine/>
    <w:semiHidden/>
    <w:unhideWhenUsed/>
    <w:rsid w:val="006D2456"/>
    <w:pPr>
      <w:spacing w:line="240" w:lineRule="auto"/>
      <w:ind w:left="880" w:hanging="220"/>
    </w:pPr>
  </w:style>
  <w:style w:type="paragraph" w:styleId="Index5">
    <w:name w:val="index 5"/>
    <w:basedOn w:val="Normal"/>
    <w:next w:val="Normal"/>
    <w:autoRedefine/>
    <w:semiHidden/>
    <w:unhideWhenUsed/>
    <w:rsid w:val="006D2456"/>
    <w:pPr>
      <w:spacing w:line="240" w:lineRule="auto"/>
      <w:ind w:left="1100" w:hanging="220"/>
    </w:pPr>
  </w:style>
  <w:style w:type="paragraph" w:styleId="Index6">
    <w:name w:val="index 6"/>
    <w:basedOn w:val="Normal"/>
    <w:next w:val="Normal"/>
    <w:autoRedefine/>
    <w:semiHidden/>
    <w:unhideWhenUsed/>
    <w:rsid w:val="006D2456"/>
    <w:pPr>
      <w:spacing w:line="240" w:lineRule="auto"/>
      <w:ind w:left="1320" w:hanging="220"/>
    </w:pPr>
  </w:style>
  <w:style w:type="paragraph" w:styleId="Index7">
    <w:name w:val="index 7"/>
    <w:basedOn w:val="Normal"/>
    <w:next w:val="Normal"/>
    <w:autoRedefine/>
    <w:semiHidden/>
    <w:unhideWhenUsed/>
    <w:rsid w:val="006D2456"/>
    <w:pPr>
      <w:spacing w:line="240" w:lineRule="auto"/>
      <w:ind w:left="1540" w:hanging="220"/>
    </w:pPr>
  </w:style>
  <w:style w:type="paragraph" w:styleId="Index8">
    <w:name w:val="index 8"/>
    <w:basedOn w:val="Normal"/>
    <w:next w:val="Normal"/>
    <w:autoRedefine/>
    <w:semiHidden/>
    <w:unhideWhenUsed/>
    <w:rsid w:val="006D2456"/>
    <w:pPr>
      <w:spacing w:line="240" w:lineRule="auto"/>
      <w:ind w:left="1760" w:hanging="220"/>
    </w:pPr>
  </w:style>
  <w:style w:type="paragraph" w:styleId="Index9">
    <w:name w:val="index 9"/>
    <w:basedOn w:val="Normal"/>
    <w:next w:val="Normal"/>
    <w:autoRedefine/>
    <w:semiHidden/>
    <w:unhideWhenUsed/>
    <w:rsid w:val="006D2456"/>
    <w:pPr>
      <w:spacing w:line="240" w:lineRule="auto"/>
      <w:ind w:left="1980" w:hanging="220"/>
    </w:pPr>
  </w:style>
  <w:style w:type="paragraph" w:styleId="IndexHeading">
    <w:name w:val="index heading"/>
    <w:basedOn w:val="Normal"/>
    <w:next w:val="Index1"/>
    <w:semiHidden/>
    <w:unhideWhenUsed/>
    <w:rsid w:val="006D2456"/>
    <w:rPr>
      <w:rFonts w:asciiTheme="majorHAnsi" w:eastAsiaTheme="majorEastAsia" w:hAnsiTheme="majorHAnsi" w:cstheme="majorBidi"/>
      <w:b/>
      <w:bCs/>
    </w:rPr>
  </w:style>
  <w:style w:type="paragraph" w:styleId="IntenseQuote">
    <w:name w:val="Intense Quote"/>
    <w:basedOn w:val="Normal"/>
    <w:next w:val="Normal"/>
    <w:link w:val="IntenseQuoteChar"/>
    <w:uiPriority w:val="30"/>
    <w:rsid w:val="006D2456"/>
    <w:pPr>
      <w:pBdr>
        <w:top w:val="single" w:sz="4" w:space="10" w:color="214C90" w:themeColor="accent1"/>
        <w:bottom w:val="single" w:sz="4" w:space="10" w:color="214C90" w:themeColor="accent1"/>
      </w:pBdr>
      <w:spacing w:before="360" w:after="360"/>
      <w:ind w:left="864" w:right="864"/>
      <w:jc w:val="center"/>
    </w:pPr>
    <w:rPr>
      <w:i/>
      <w:iCs/>
      <w:color w:val="214C90" w:themeColor="accent1"/>
    </w:rPr>
  </w:style>
  <w:style w:type="character" w:customStyle="1" w:styleId="IntenseQuoteChar">
    <w:name w:val="Intense Quote Char"/>
    <w:basedOn w:val="DefaultParagraphFont"/>
    <w:link w:val="IntenseQuote"/>
    <w:uiPriority w:val="30"/>
    <w:rsid w:val="006D2456"/>
    <w:rPr>
      <w:i/>
      <w:iCs/>
      <w:color w:val="214C90" w:themeColor="accent1"/>
    </w:rPr>
  </w:style>
  <w:style w:type="paragraph" w:styleId="List">
    <w:name w:val="List"/>
    <w:basedOn w:val="Normal"/>
    <w:semiHidden/>
    <w:unhideWhenUsed/>
    <w:rsid w:val="006D2456"/>
    <w:pPr>
      <w:ind w:left="283" w:hanging="283"/>
      <w:contextualSpacing/>
    </w:pPr>
  </w:style>
  <w:style w:type="paragraph" w:styleId="List2">
    <w:name w:val="List 2"/>
    <w:basedOn w:val="Normal"/>
    <w:semiHidden/>
    <w:unhideWhenUsed/>
    <w:rsid w:val="006D2456"/>
    <w:pPr>
      <w:ind w:left="566" w:hanging="283"/>
      <w:contextualSpacing/>
    </w:pPr>
  </w:style>
  <w:style w:type="paragraph" w:styleId="List3">
    <w:name w:val="List 3"/>
    <w:basedOn w:val="Normal"/>
    <w:semiHidden/>
    <w:unhideWhenUsed/>
    <w:rsid w:val="006D2456"/>
    <w:pPr>
      <w:ind w:left="849" w:hanging="283"/>
      <w:contextualSpacing/>
    </w:pPr>
  </w:style>
  <w:style w:type="paragraph" w:styleId="List4">
    <w:name w:val="List 4"/>
    <w:basedOn w:val="Normal"/>
    <w:rsid w:val="006D2456"/>
    <w:pPr>
      <w:ind w:left="1132" w:hanging="283"/>
      <w:contextualSpacing/>
    </w:pPr>
  </w:style>
  <w:style w:type="paragraph" w:styleId="List5">
    <w:name w:val="List 5"/>
    <w:basedOn w:val="Normal"/>
    <w:rsid w:val="006D2456"/>
    <w:pPr>
      <w:ind w:left="1415" w:hanging="283"/>
      <w:contextualSpacing/>
    </w:pPr>
  </w:style>
  <w:style w:type="paragraph" w:styleId="ListParagraph">
    <w:name w:val="List Paragraph"/>
    <w:aliases w:val="List Paragraph11,Recommendation,List Paragraph1,Bullet point,1 heading,Dot point 1.5 line spacing,L,List Paragraph - bullets,NFP GP Bulleted List,bullet point list,LP-DO NOT USE,Bulleted Para,CV text,Dot pt,F5 List Paragraph,FooterText"/>
    <w:basedOn w:val="Normal"/>
    <w:link w:val="ListParagraphChar"/>
    <w:uiPriority w:val="34"/>
    <w:qFormat/>
    <w:rsid w:val="006D2456"/>
    <w:pPr>
      <w:ind w:left="720"/>
      <w:contextualSpacing/>
    </w:pPr>
  </w:style>
  <w:style w:type="paragraph" w:styleId="MacroText">
    <w:name w:val="macro"/>
    <w:link w:val="MacroTextChar"/>
    <w:semiHidden/>
    <w:unhideWhenUsed/>
    <w:rsid w:val="006D2456"/>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semiHidden/>
    <w:rsid w:val="006D2456"/>
    <w:rPr>
      <w:rFonts w:ascii="Consolas" w:hAnsi="Consolas"/>
      <w:sz w:val="20"/>
      <w:szCs w:val="20"/>
    </w:rPr>
  </w:style>
  <w:style w:type="paragraph" w:styleId="MessageHeader">
    <w:name w:val="Message Header"/>
    <w:basedOn w:val="Normal"/>
    <w:link w:val="MessageHeaderChar"/>
    <w:semiHidden/>
    <w:unhideWhenUsed/>
    <w:rsid w:val="006D2456"/>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semiHidden/>
    <w:rsid w:val="006D2456"/>
    <w:rPr>
      <w:rFonts w:asciiTheme="majorHAnsi" w:eastAsiaTheme="majorEastAsia" w:hAnsiTheme="majorHAnsi" w:cstheme="majorBidi"/>
      <w:sz w:val="24"/>
      <w:szCs w:val="24"/>
      <w:shd w:val="pct20" w:color="auto" w:fill="auto"/>
    </w:rPr>
  </w:style>
  <w:style w:type="paragraph" w:styleId="NormalIndent">
    <w:name w:val="Normal Indent"/>
    <w:basedOn w:val="Normal"/>
    <w:semiHidden/>
    <w:unhideWhenUsed/>
    <w:rsid w:val="006D2456"/>
    <w:pPr>
      <w:ind w:left="720"/>
    </w:pPr>
  </w:style>
  <w:style w:type="paragraph" w:styleId="NoteHeading">
    <w:name w:val="Note Heading"/>
    <w:basedOn w:val="Normal"/>
    <w:next w:val="Normal"/>
    <w:link w:val="NoteHeadingChar"/>
    <w:semiHidden/>
    <w:unhideWhenUsed/>
    <w:rsid w:val="006D2456"/>
    <w:pPr>
      <w:spacing w:line="240" w:lineRule="auto"/>
    </w:pPr>
  </w:style>
  <w:style w:type="character" w:customStyle="1" w:styleId="NoteHeadingChar">
    <w:name w:val="Note Heading Char"/>
    <w:basedOn w:val="DefaultParagraphFont"/>
    <w:link w:val="NoteHeading"/>
    <w:semiHidden/>
    <w:rsid w:val="006D2456"/>
  </w:style>
  <w:style w:type="paragraph" w:styleId="PlainText">
    <w:name w:val="Plain Text"/>
    <w:basedOn w:val="Normal"/>
    <w:link w:val="PlainTextChar"/>
    <w:semiHidden/>
    <w:unhideWhenUsed/>
    <w:rsid w:val="006D2456"/>
    <w:pPr>
      <w:spacing w:line="240" w:lineRule="auto"/>
    </w:pPr>
    <w:rPr>
      <w:rFonts w:ascii="Consolas" w:hAnsi="Consolas"/>
      <w:sz w:val="21"/>
      <w:szCs w:val="21"/>
    </w:rPr>
  </w:style>
  <w:style w:type="character" w:customStyle="1" w:styleId="PlainTextChar">
    <w:name w:val="Plain Text Char"/>
    <w:basedOn w:val="DefaultParagraphFont"/>
    <w:link w:val="PlainText"/>
    <w:semiHidden/>
    <w:rsid w:val="006D2456"/>
    <w:rPr>
      <w:rFonts w:ascii="Consolas" w:hAnsi="Consolas"/>
      <w:sz w:val="21"/>
      <w:szCs w:val="21"/>
    </w:rPr>
  </w:style>
  <w:style w:type="paragraph" w:styleId="Salutation">
    <w:name w:val="Salutation"/>
    <w:basedOn w:val="Normal"/>
    <w:next w:val="Normal"/>
    <w:link w:val="SalutationChar"/>
    <w:rsid w:val="006D2456"/>
  </w:style>
  <w:style w:type="character" w:customStyle="1" w:styleId="SalutationChar">
    <w:name w:val="Salutation Char"/>
    <w:basedOn w:val="DefaultParagraphFont"/>
    <w:link w:val="Salutation"/>
    <w:rsid w:val="006D2456"/>
  </w:style>
  <w:style w:type="paragraph" w:styleId="Signature">
    <w:name w:val="Signature"/>
    <w:basedOn w:val="Normal"/>
    <w:link w:val="SignatureChar"/>
    <w:semiHidden/>
    <w:unhideWhenUsed/>
    <w:rsid w:val="006D2456"/>
    <w:pPr>
      <w:spacing w:line="240" w:lineRule="auto"/>
      <w:ind w:left="4252"/>
    </w:pPr>
  </w:style>
  <w:style w:type="character" w:customStyle="1" w:styleId="SignatureChar">
    <w:name w:val="Signature Char"/>
    <w:basedOn w:val="DefaultParagraphFont"/>
    <w:link w:val="Signature"/>
    <w:semiHidden/>
    <w:rsid w:val="006D2456"/>
  </w:style>
  <w:style w:type="paragraph" w:styleId="TableofAuthorities">
    <w:name w:val="table of authorities"/>
    <w:basedOn w:val="Normal"/>
    <w:next w:val="Normal"/>
    <w:semiHidden/>
    <w:unhideWhenUsed/>
    <w:rsid w:val="006D2456"/>
    <w:pPr>
      <w:ind w:left="220" w:hanging="220"/>
    </w:pPr>
  </w:style>
  <w:style w:type="paragraph" w:styleId="TOAHeading">
    <w:name w:val="toa heading"/>
    <w:basedOn w:val="Normal"/>
    <w:next w:val="Normal"/>
    <w:semiHidden/>
    <w:unhideWhenUsed/>
    <w:rsid w:val="006D2456"/>
    <w:pPr>
      <w:spacing w:before="120"/>
    </w:pPr>
    <w:rPr>
      <w:rFonts w:asciiTheme="majorHAnsi" w:eastAsiaTheme="majorEastAsia" w:hAnsiTheme="majorHAnsi" w:cstheme="majorBidi"/>
      <w:b/>
      <w:bCs/>
      <w:sz w:val="24"/>
      <w:szCs w:val="24"/>
    </w:rPr>
  </w:style>
  <w:style w:type="paragraph" w:styleId="TOC6">
    <w:name w:val="toc 6"/>
    <w:basedOn w:val="Normal"/>
    <w:next w:val="Normal"/>
    <w:autoRedefine/>
    <w:uiPriority w:val="39"/>
    <w:semiHidden/>
    <w:unhideWhenUsed/>
    <w:rsid w:val="006D2456"/>
    <w:pPr>
      <w:spacing w:after="100"/>
      <w:ind w:left="1100"/>
    </w:pPr>
  </w:style>
  <w:style w:type="paragraph" w:styleId="TOC7">
    <w:name w:val="toc 7"/>
    <w:basedOn w:val="Normal"/>
    <w:next w:val="Normal"/>
    <w:autoRedefine/>
    <w:uiPriority w:val="39"/>
    <w:semiHidden/>
    <w:unhideWhenUsed/>
    <w:rsid w:val="006D2456"/>
    <w:pPr>
      <w:spacing w:after="100"/>
      <w:ind w:left="1320"/>
    </w:pPr>
  </w:style>
  <w:style w:type="paragraph" w:styleId="TOC8">
    <w:name w:val="toc 8"/>
    <w:basedOn w:val="Normal"/>
    <w:next w:val="Normal"/>
    <w:autoRedefine/>
    <w:uiPriority w:val="39"/>
    <w:semiHidden/>
    <w:unhideWhenUsed/>
    <w:rsid w:val="006D2456"/>
    <w:pPr>
      <w:spacing w:after="100"/>
      <w:ind w:left="1540"/>
    </w:pPr>
  </w:style>
  <w:style w:type="paragraph" w:styleId="TOC9">
    <w:name w:val="toc 9"/>
    <w:basedOn w:val="Normal"/>
    <w:next w:val="Normal"/>
    <w:autoRedefine/>
    <w:uiPriority w:val="39"/>
    <w:semiHidden/>
    <w:unhideWhenUsed/>
    <w:rsid w:val="006D2456"/>
    <w:pPr>
      <w:spacing w:after="100"/>
      <w:ind w:left="1760"/>
    </w:pPr>
  </w:style>
  <w:style w:type="paragraph" w:customStyle="1" w:styleId="text">
    <w:name w:val="text"/>
    <w:basedOn w:val="Normal"/>
    <w:uiPriority w:val="99"/>
    <w:rsid w:val="00B43CAD"/>
    <w:pPr>
      <w:widowControl w:val="0"/>
      <w:suppressAutoHyphens/>
      <w:autoSpaceDE w:val="0"/>
      <w:autoSpaceDN w:val="0"/>
      <w:adjustRightInd w:val="0"/>
      <w:spacing w:after="170" w:line="210" w:lineRule="atLeast"/>
      <w:textAlignment w:val="center"/>
    </w:pPr>
    <w:rPr>
      <w:rFonts w:ascii="ArialMT" w:eastAsia="Cambria" w:hAnsi="ArialMT" w:cs="ArialMT"/>
      <w:color w:val="000000"/>
      <w:sz w:val="17"/>
      <w:szCs w:val="17"/>
      <w:lang w:val="en-GB" w:eastAsia="en-US"/>
    </w:rPr>
  </w:style>
  <w:style w:type="paragraph" w:customStyle="1" w:styleId="ExecSummHeading2">
    <w:name w:val="Exec Summ Heading 2"/>
    <w:basedOn w:val="Normal"/>
    <w:next w:val="BodyText"/>
    <w:qFormat/>
    <w:rsid w:val="00B43CAD"/>
    <w:pPr>
      <w:spacing w:before="360" w:after="240"/>
      <w:ind w:left="851" w:hanging="851"/>
    </w:pPr>
    <w:rPr>
      <w:rFonts w:asciiTheme="majorHAnsi" w:hAnsiTheme="majorHAnsi"/>
      <w:b/>
      <w:color w:val="007BC1"/>
      <w:sz w:val="28"/>
    </w:rPr>
  </w:style>
  <w:style w:type="paragraph" w:customStyle="1" w:styleId="ExecSummBodyText">
    <w:name w:val="Exec Summ Body Text"/>
    <w:basedOn w:val="Normal"/>
    <w:qFormat/>
    <w:rsid w:val="00B43CAD"/>
    <w:pPr>
      <w:spacing w:before="240" w:after="120"/>
    </w:pPr>
    <w:rPr>
      <w:rFonts w:ascii="Arial" w:hAnsi="Arial"/>
    </w:rPr>
  </w:style>
  <w:style w:type="paragraph" w:customStyle="1" w:styleId="Tabletext">
    <w:name w:val="Table text"/>
    <w:basedOn w:val="Normal"/>
    <w:uiPriority w:val="9"/>
    <w:qFormat/>
    <w:rsid w:val="006F7674"/>
    <w:pPr>
      <w:spacing w:line="276" w:lineRule="auto"/>
    </w:pPr>
    <w:rPr>
      <w:rFonts w:ascii="Arial" w:eastAsia="Calibri" w:hAnsi="Arial"/>
      <w:lang w:eastAsia="en-US"/>
    </w:rPr>
  </w:style>
  <w:style w:type="numbering" w:customStyle="1" w:styleId="BulletList">
    <w:name w:val="Bullet List"/>
    <w:uiPriority w:val="99"/>
    <w:rsid w:val="00DD7CBF"/>
    <w:pPr>
      <w:numPr>
        <w:numId w:val="14"/>
      </w:numPr>
    </w:pPr>
  </w:style>
  <w:style w:type="table" w:customStyle="1" w:styleId="AxiomAgendaMinutes">
    <w:name w:val="Axiom Agenda/Minutes"/>
    <w:basedOn w:val="TableNormal"/>
    <w:uiPriority w:val="99"/>
    <w:rsid w:val="0096305E"/>
    <w:pPr>
      <w:spacing w:line="240" w:lineRule="auto"/>
    </w:pPr>
    <w:tblPr>
      <w:tblBorders>
        <w:top w:val="single" w:sz="4" w:space="0" w:color="auto"/>
        <w:bottom w:val="single" w:sz="4" w:space="0" w:color="auto"/>
        <w:insideV w:val="single" w:sz="4" w:space="0" w:color="auto"/>
      </w:tblBorders>
      <w:tblCellMar>
        <w:top w:w="57" w:type="dxa"/>
        <w:left w:w="45" w:type="dxa"/>
        <w:bottom w:w="57" w:type="dxa"/>
        <w:right w:w="45" w:type="dxa"/>
      </w:tblCellMar>
    </w:tblPr>
    <w:tblStylePr w:type="firstRow">
      <w:tblPr/>
      <w:trPr>
        <w:cantSplit/>
        <w:tblHeader/>
      </w:trPr>
      <w:tcPr>
        <w:tcBorders>
          <w:top w:val="single" w:sz="4" w:space="0" w:color="auto"/>
          <w:left w:val="nil"/>
          <w:bottom w:val="single" w:sz="4" w:space="0" w:color="auto"/>
          <w:right w:val="nil"/>
          <w:insideH w:val="nil"/>
          <w:insideV w:val="single" w:sz="4" w:space="0" w:color="auto"/>
          <w:tl2br w:val="nil"/>
          <w:tr2bl w:val="nil"/>
        </w:tcBorders>
      </w:tcPr>
    </w:tblStylePr>
  </w:style>
  <w:style w:type="character" w:customStyle="1" w:styleId="ListBulletChar">
    <w:name w:val="List Bullet Char"/>
    <w:basedOn w:val="BodyTextChar"/>
    <w:link w:val="ListBullet"/>
    <w:rsid w:val="009A3A01"/>
    <w:rPr>
      <w:rFonts w:ascii="Arial" w:hAnsi="Arial"/>
    </w:rPr>
  </w:style>
  <w:style w:type="character" w:customStyle="1" w:styleId="ListParagraphChar">
    <w:name w:val="List Paragraph Char"/>
    <w:aliases w:val="List Paragraph11 Char,Recommendation Char,List Paragraph1 Char,Bullet point Char,1 heading Char,Dot point 1.5 line spacing Char,L Char,List Paragraph - bullets Char,NFP GP Bulleted List Char,bullet point list Char,LP-DO NOT USE Char"/>
    <w:basedOn w:val="DefaultParagraphFont"/>
    <w:link w:val="ListParagraph"/>
    <w:uiPriority w:val="34"/>
    <w:locked/>
    <w:rsid w:val="00762921"/>
  </w:style>
  <w:style w:type="character" w:customStyle="1" w:styleId="UnresolvedMention1">
    <w:name w:val="Unresolved Mention1"/>
    <w:basedOn w:val="DefaultParagraphFont"/>
    <w:uiPriority w:val="99"/>
    <w:semiHidden/>
    <w:unhideWhenUsed/>
    <w:rsid w:val="00095A3A"/>
    <w:rPr>
      <w:color w:val="808080"/>
      <w:shd w:val="clear" w:color="auto" w:fill="E6E6E6"/>
    </w:rPr>
  </w:style>
  <w:style w:type="character" w:customStyle="1" w:styleId="CaptionChar">
    <w:name w:val="Caption Char"/>
    <w:basedOn w:val="DefaultParagraphFont"/>
    <w:link w:val="Caption"/>
    <w:rsid w:val="00437468"/>
    <w:rPr>
      <w:rFonts w:eastAsiaTheme="minorHAnsi" w:cstheme="minorBidi"/>
      <w:b/>
      <w:bCs/>
      <w:lang w:eastAsia="fr-CA"/>
    </w:rPr>
  </w:style>
  <w:style w:type="paragraph" w:customStyle="1" w:styleId="Default">
    <w:name w:val="Default"/>
    <w:rsid w:val="008449E5"/>
    <w:pPr>
      <w:autoSpaceDE w:val="0"/>
      <w:autoSpaceDN w:val="0"/>
      <w:adjustRightInd w:val="0"/>
      <w:spacing w:line="240" w:lineRule="auto"/>
    </w:pPr>
    <w:rPr>
      <w:rFonts w:ascii="Arial" w:hAnsi="Arial" w:cs="Arial"/>
      <w:color w:val="000000"/>
      <w:sz w:val="24"/>
      <w:szCs w:val="24"/>
    </w:rPr>
  </w:style>
  <w:style w:type="paragraph" w:customStyle="1" w:styleId="Am-EMR-Body-List-1-MNum">
    <w:name w:val="Am-EMR-Body-List-1-MNum"/>
    <w:basedOn w:val="Normal"/>
    <w:uiPriority w:val="99"/>
    <w:rsid w:val="009403A4"/>
    <w:pPr>
      <w:tabs>
        <w:tab w:val="left" w:pos="1134"/>
      </w:tabs>
      <w:autoSpaceDE w:val="0"/>
      <w:autoSpaceDN w:val="0"/>
      <w:adjustRightInd w:val="0"/>
      <w:spacing w:before="120" w:after="120" w:line="240" w:lineRule="auto"/>
      <w:ind w:left="1134" w:hanging="567"/>
    </w:pPr>
    <w:rPr>
      <w:rFonts w:ascii="Times New Roman" w:hAnsi="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329077">
      <w:bodyDiv w:val="1"/>
      <w:marLeft w:val="0"/>
      <w:marRight w:val="0"/>
      <w:marTop w:val="0"/>
      <w:marBottom w:val="0"/>
      <w:divBdr>
        <w:top w:val="none" w:sz="0" w:space="0" w:color="auto"/>
        <w:left w:val="none" w:sz="0" w:space="0" w:color="auto"/>
        <w:bottom w:val="none" w:sz="0" w:space="0" w:color="auto"/>
        <w:right w:val="none" w:sz="0" w:space="0" w:color="auto"/>
      </w:divBdr>
    </w:div>
    <w:div w:id="158271094">
      <w:bodyDiv w:val="1"/>
      <w:marLeft w:val="0"/>
      <w:marRight w:val="0"/>
      <w:marTop w:val="0"/>
      <w:marBottom w:val="0"/>
      <w:divBdr>
        <w:top w:val="none" w:sz="0" w:space="0" w:color="auto"/>
        <w:left w:val="none" w:sz="0" w:space="0" w:color="auto"/>
        <w:bottom w:val="none" w:sz="0" w:space="0" w:color="auto"/>
        <w:right w:val="none" w:sz="0" w:space="0" w:color="auto"/>
      </w:divBdr>
    </w:div>
    <w:div w:id="214395428">
      <w:bodyDiv w:val="1"/>
      <w:marLeft w:val="0"/>
      <w:marRight w:val="0"/>
      <w:marTop w:val="0"/>
      <w:marBottom w:val="0"/>
      <w:divBdr>
        <w:top w:val="none" w:sz="0" w:space="0" w:color="auto"/>
        <w:left w:val="none" w:sz="0" w:space="0" w:color="auto"/>
        <w:bottom w:val="none" w:sz="0" w:space="0" w:color="auto"/>
        <w:right w:val="none" w:sz="0" w:space="0" w:color="auto"/>
      </w:divBdr>
    </w:div>
    <w:div w:id="288363768">
      <w:bodyDiv w:val="1"/>
      <w:marLeft w:val="0"/>
      <w:marRight w:val="0"/>
      <w:marTop w:val="0"/>
      <w:marBottom w:val="0"/>
      <w:divBdr>
        <w:top w:val="none" w:sz="0" w:space="0" w:color="auto"/>
        <w:left w:val="none" w:sz="0" w:space="0" w:color="auto"/>
        <w:bottom w:val="none" w:sz="0" w:space="0" w:color="auto"/>
        <w:right w:val="none" w:sz="0" w:space="0" w:color="auto"/>
      </w:divBdr>
    </w:div>
    <w:div w:id="294725872">
      <w:bodyDiv w:val="1"/>
      <w:marLeft w:val="0"/>
      <w:marRight w:val="0"/>
      <w:marTop w:val="0"/>
      <w:marBottom w:val="0"/>
      <w:divBdr>
        <w:top w:val="none" w:sz="0" w:space="0" w:color="auto"/>
        <w:left w:val="none" w:sz="0" w:space="0" w:color="auto"/>
        <w:bottom w:val="none" w:sz="0" w:space="0" w:color="auto"/>
        <w:right w:val="none" w:sz="0" w:space="0" w:color="auto"/>
      </w:divBdr>
    </w:div>
    <w:div w:id="322588373">
      <w:bodyDiv w:val="1"/>
      <w:marLeft w:val="0"/>
      <w:marRight w:val="0"/>
      <w:marTop w:val="0"/>
      <w:marBottom w:val="0"/>
      <w:divBdr>
        <w:top w:val="none" w:sz="0" w:space="0" w:color="auto"/>
        <w:left w:val="none" w:sz="0" w:space="0" w:color="auto"/>
        <w:bottom w:val="none" w:sz="0" w:space="0" w:color="auto"/>
        <w:right w:val="none" w:sz="0" w:space="0" w:color="auto"/>
      </w:divBdr>
    </w:div>
    <w:div w:id="421492480">
      <w:bodyDiv w:val="1"/>
      <w:marLeft w:val="0"/>
      <w:marRight w:val="0"/>
      <w:marTop w:val="0"/>
      <w:marBottom w:val="0"/>
      <w:divBdr>
        <w:top w:val="none" w:sz="0" w:space="0" w:color="auto"/>
        <w:left w:val="none" w:sz="0" w:space="0" w:color="auto"/>
        <w:bottom w:val="none" w:sz="0" w:space="0" w:color="auto"/>
        <w:right w:val="none" w:sz="0" w:space="0" w:color="auto"/>
      </w:divBdr>
    </w:div>
    <w:div w:id="488981284">
      <w:bodyDiv w:val="1"/>
      <w:marLeft w:val="0"/>
      <w:marRight w:val="0"/>
      <w:marTop w:val="0"/>
      <w:marBottom w:val="0"/>
      <w:divBdr>
        <w:top w:val="none" w:sz="0" w:space="0" w:color="auto"/>
        <w:left w:val="none" w:sz="0" w:space="0" w:color="auto"/>
        <w:bottom w:val="none" w:sz="0" w:space="0" w:color="auto"/>
        <w:right w:val="none" w:sz="0" w:space="0" w:color="auto"/>
      </w:divBdr>
    </w:div>
    <w:div w:id="568734595">
      <w:bodyDiv w:val="1"/>
      <w:marLeft w:val="0"/>
      <w:marRight w:val="0"/>
      <w:marTop w:val="0"/>
      <w:marBottom w:val="0"/>
      <w:divBdr>
        <w:top w:val="none" w:sz="0" w:space="0" w:color="auto"/>
        <w:left w:val="none" w:sz="0" w:space="0" w:color="auto"/>
        <w:bottom w:val="none" w:sz="0" w:space="0" w:color="auto"/>
        <w:right w:val="none" w:sz="0" w:space="0" w:color="auto"/>
      </w:divBdr>
    </w:div>
    <w:div w:id="790126893">
      <w:bodyDiv w:val="1"/>
      <w:marLeft w:val="0"/>
      <w:marRight w:val="0"/>
      <w:marTop w:val="0"/>
      <w:marBottom w:val="0"/>
      <w:divBdr>
        <w:top w:val="none" w:sz="0" w:space="0" w:color="auto"/>
        <w:left w:val="none" w:sz="0" w:space="0" w:color="auto"/>
        <w:bottom w:val="none" w:sz="0" w:space="0" w:color="auto"/>
        <w:right w:val="none" w:sz="0" w:space="0" w:color="auto"/>
      </w:divBdr>
    </w:div>
    <w:div w:id="853882585">
      <w:bodyDiv w:val="1"/>
      <w:marLeft w:val="0"/>
      <w:marRight w:val="0"/>
      <w:marTop w:val="0"/>
      <w:marBottom w:val="0"/>
      <w:divBdr>
        <w:top w:val="none" w:sz="0" w:space="0" w:color="auto"/>
        <w:left w:val="none" w:sz="0" w:space="0" w:color="auto"/>
        <w:bottom w:val="none" w:sz="0" w:space="0" w:color="auto"/>
        <w:right w:val="none" w:sz="0" w:space="0" w:color="auto"/>
      </w:divBdr>
    </w:div>
    <w:div w:id="873427532">
      <w:bodyDiv w:val="1"/>
      <w:marLeft w:val="0"/>
      <w:marRight w:val="0"/>
      <w:marTop w:val="0"/>
      <w:marBottom w:val="0"/>
      <w:divBdr>
        <w:top w:val="none" w:sz="0" w:space="0" w:color="auto"/>
        <w:left w:val="none" w:sz="0" w:space="0" w:color="auto"/>
        <w:bottom w:val="none" w:sz="0" w:space="0" w:color="auto"/>
        <w:right w:val="none" w:sz="0" w:space="0" w:color="auto"/>
      </w:divBdr>
    </w:div>
    <w:div w:id="895091650">
      <w:bodyDiv w:val="1"/>
      <w:marLeft w:val="0"/>
      <w:marRight w:val="0"/>
      <w:marTop w:val="0"/>
      <w:marBottom w:val="0"/>
      <w:divBdr>
        <w:top w:val="none" w:sz="0" w:space="0" w:color="auto"/>
        <w:left w:val="none" w:sz="0" w:space="0" w:color="auto"/>
        <w:bottom w:val="none" w:sz="0" w:space="0" w:color="auto"/>
        <w:right w:val="none" w:sz="0" w:space="0" w:color="auto"/>
      </w:divBdr>
    </w:div>
    <w:div w:id="945694869">
      <w:bodyDiv w:val="1"/>
      <w:marLeft w:val="0"/>
      <w:marRight w:val="0"/>
      <w:marTop w:val="0"/>
      <w:marBottom w:val="0"/>
      <w:divBdr>
        <w:top w:val="none" w:sz="0" w:space="0" w:color="auto"/>
        <w:left w:val="none" w:sz="0" w:space="0" w:color="auto"/>
        <w:bottom w:val="none" w:sz="0" w:space="0" w:color="auto"/>
        <w:right w:val="none" w:sz="0" w:space="0" w:color="auto"/>
      </w:divBdr>
    </w:div>
    <w:div w:id="952518963">
      <w:bodyDiv w:val="1"/>
      <w:marLeft w:val="0"/>
      <w:marRight w:val="0"/>
      <w:marTop w:val="0"/>
      <w:marBottom w:val="0"/>
      <w:divBdr>
        <w:top w:val="none" w:sz="0" w:space="0" w:color="auto"/>
        <w:left w:val="none" w:sz="0" w:space="0" w:color="auto"/>
        <w:bottom w:val="none" w:sz="0" w:space="0" w:color="auto"/>
        <w:right w:val="none" w:sz="0" w:space="0" w:color="auto"/>
      </w:divBdr>
    </w:div>
    <w:div w:id="1006979234">
      <w:bodyDiv w:val="1"/>
      <w:marLeft w:val="0"/>
      <w:marRight w:val="0"/>
      <w:marTop w:val="0"/>
      <w:marBottom w:val="0"/>
      <w:divBdr>
        <w:top w:val="none" w:sz="0" w:space="0" w:color="auto"/>
        <w:left w:val="none" w:sz="0" w:space="0" w:color="auto"/>
        <w:bottom w:val="none" w:sz="0" w:space="0" w:color="auto"/>
        <w:right w:val="none" w:sz="0" w:space="0" w:color="auto"/>
      </w:divBdr>
    </w:div>
    <w:div w:id="1055280690">
      <w:bodyDiv w:val="1"/>
      <w:marLeft w:val="0"/>
      <w:marRight w:val="0"/>
      <w:marTop w:val="0"/>
      <w:marBottom w:val="0"/>
      <w:divBdr>
        <w:top w:val="none" w:sz="0" w:space="0" w:color="auto"/>
        <w:left w:val="none" w:sz="0" w:space="0" w:color="auto"/>
        <w:bottom w:val="none" w:sz="0" w:space="0" w:color="auto"/>
        <w:right w:val="none" w:sz="0" w:space="0" w:color="auto"/>
      </w:divBdr>
    </w:div>
    <w:div w:id="1135949092">
      <w:bodyDiv w:val="1"/>
      <w:marLeft w:val="0"/>
      <w:marRight w:val="0"/>
      <w:marTop w:val="0"/>
      <w:marBottom w:val="0"/>
      <w:divBdr>
        <w:top w:val="none" w:sz="0" w:space="0" w:color="auto"/>
        <w:left w:val="none" w:sz="0" w:space="0" w:color="auto"/>
        <w:bottom w:val="none" w:sz="0" w:space="0" w:color="auto"/>
        <w:right w:val="none" w:sz="0" w:space="0" w:color="auto"/>
      </w:divBdr>
    </w:div>
    <w:div w:id="1150362342">
      <w:bodyDiv w:val="1"/>
      <w:marLeft w:val="0"/>
      <w:marRight w:val="0"/>
      <w:marTop w:val="0"/>
      <w:marBottom w:val="0"/>
      <w:divBdr>
        <w:top w:val="none" w:sz="0" w:space="0" w:color="auto"/>
        <w:left w:val="none" w:sz="0" w:space="0" w:color="auto"/>
        <w:bottom w:val="none" w:sz="0" w:space="0" w:color="auto"/>
        <w:right w:val="none" w:sz="0" w:space="0" w:color="auto"/>
      </w:divBdr>
    </w:div>
    <w:div w:id="1203636145">
      <w:bodyDiv w:val="1"/>
      <w:marLeft w:val="0"/>
      <w:marRight w:val="0"/>
      <w:marTop w:val="0"/>
      <w:marBottom w:val="0"/>
      <w:divBdr>
        <w:top w:val="none" w:sz="0" w:space="0" w:color="auto"/>
        <w:left w:val="none" w:sz="0" w:space="0" w:color="auto"/>
        <w:bottom w:val="none" w:sz="0" w:space="0" w:color="auto"/>
        <w:right w:val="none" w:sz="0" w:space="0" w:color="auto"/>
      </w:divBdr>
    </w:div>
    <w:div w:id="1242711693">
      <w:bodyDiv w:val="1"/>
      <w:marLeft w:val="0"/>
      <w:marRight w:val="0"/>
      <w:marTop w:val="0"/>
      <w:marBottom w:val="0"/>
      <w:divBdr>
        <w:top w:val="none" w:sz="0" w:space="0" w:color="auto"/>
        <w:left w:val="none" w:sz="0" w:space="0" w:color="auto"/>
        <w:bottom w:val="none" w:sz="0" w:space="0" w:color="auto"/>
        <w:right w:val="none" w:sz="0" w:space="0" w:color="auto"/>
      </w:divBdr>
    </w:div>
    <w:div w:id="1280450594">
      <w:bodyDiv w:val="1"/>
      <w:marLeft w:val="0"/>
      <w:marRight w:val="0"/>
      <w:marTop w:val="0"/>
      <w:marBottom w:val="0"/>
      <w:divBdr>
        <w:top w:val="none" w:sz="0" w:space="0" w:color="auto"/>
        <w:left w:val="none" w:sz="0" w:space="0" w:color="auto"/>
        <w:bottom w:val="none" w:sz="0" w:space="0" w:color="auto"/>
        <w:right w:val="none" w:sz="0" w:space="0" w:color="auto"/>
      </w:divBdr>
    </w:div>
    <w:div w:id="1359313697">
      <w:bodyDiv w:val="1"/>
      <w:marLeft w:val="0"/>
      <w:marRight w:val="0"/>
      <w:marTop w:val="0"/>
      <w:marBottom w:val="0"/>
      <w:divBdr>
        <w:top w:val="none" w:sz="0" w:space="0" w:color="auto"/>
        <w:left w:val="none" w:sz="0" w:space="0" w:color="auto"/>
        <w:bottom w:val="none" w:sz="0" w:space="0" w:color="auto"/>
        <w:right w:val="none" w:sz="0" w:space="0" w:color="auto"/>
      </w:divBdr>
    </w:div>
    <w:div w:id="1425107381">
      <w:bodyDiv w:val="1"/>
      <w:marLeft w:val="0"/>
      <w:marRight w:val="0"/>
      <w:marTop w:val="0"/>
      <w:marBottom w:val="0"/>
      <w:divBdr>
        <w:top w:val="none" w:sz="0" w:space="0" w:color="auto"/>
        <w:left w:val="none" w:sz="0" w:space="0" w:color="auto"/>
        <w:bottom w:val="none" w:sz="0" w:space="0" w:color="auto"/>
        <w:right w:val="none" w:sz="0" w:space="0" w:color="auto"/>
      </w:divBdr>
    </w:div>
    <w:div w:id="1431583484">
      <w:bodyDiv w:val="1"/>
      <w:marLeft w:val="0"/>
      <w:marRight w:val="0"/>
      <w:marTop w:val="0"/>
      <w:marBottom w:val="0"/>
      <w:divBdr>
        <w:top w:val="none" w:sz="0" w:space="0" w:color="auto"/>
        <w:left w:val="none" w:sz="0" w:space="0" w:color="auto"/>
        <w:bottom w:val="none" w:sz="0" w:space="0" w:color="auto"/>
        <w:right w:val="none" w:sz="0" w:space="0" w:color="auto"/>
      </w:divBdr>
    </w:div>
    <w:div w:id="1462530251">
      <w:bodyDiv w:val="1"/>
      <w:marLeft w:val="0"/>
      <w:marRight w:val="0"/>
      <w:marTop w:val="0"/>
      <w:marBottom w:val="0"/>
      <w:divBdr>
        <w:top w:val="none" w:sz="0" w:space="0" w:color="auto"/>
        <w:left w:val="none" w:sz="0" w:space="0" w:color="auto"/>
        <w:bottom w:val="none" w:sz="0" w:space="0" w:color="auto"/>
        <w:right w:val="none" w:sz="0" w:space="0" w:color="auto"/>
      </w:divBdr>
    </w:div>
    <w:div w:id="1540893721">
      <w:bodyDiv w:val="1"/>
      <w:marLeft w:val="0"/>
      <w:marRight w:val="0"/>
      <w:marTop w:val="0"/>
      <w:marBottom w:val="0"/>
      <w:divBdr>
        <w:top w:val="none" w:sz="0" w:space="0" w:color="auto"/>
        <w:left w:val="none" w:sz="0" w:space="0" w:color="auto"/>
        <w:bottom w:val="none" w:sz="0" w:space="0" w:color="auto"/>
        <w:right w:val="none" w:sz="0" w:space="0" w:color="auto"/>
      </w:divBdr>
    </w:div>
    <w:div w:id="1550989381">
      <w:bodyDiv w:val="1"/>
      <w:marLeft w:val="0"/>
      <w:marRight w:val="0"/>
      <w:marTop w:val="0"/>
      <w:marBottom w:val="0"/>
      <w:divBdr>
        <w:top w:val="none" w:sz="0" w:space="0" w:color="auto"/>
        <w:left w:val="none" w:sz="0" w:space="0" w:color="auto"/>
        <w:bottom w:val="none" w:sz="0" w:space="0" w:color="auto"/>
        <w:right w:val="none" w:sz="0" w:space="0" w:color="auto"/>
      </w:divBdr>
    </w:div>
    <w:div w:id="1574465411">
      <w:bodyDiv w:val="1"/>
      <w:marLeft w:val="0"/>
      <w:marRight w:val="0"/>
      <w:marTop w:val="0"/>
      <w:marBottom w:val="0"/>
      <w:divBdr>
        <w:top w:val="none" w:sz="0" w:space="0" w:color="auto"/>
        <w:left w:val="none" w:sz="0" w:space="0" w:color="auto"/>
        <w:bottom w:val="none" w:sz="0" w:space="0" w:color="auto"/>
        <w:right w:val="none" w:sz="0" w:space="0" w:color="auto"/>
      </w:divBdr>
    </w:div>
    <w:div w:id="1577664254">
      <w:bodyDiv w:val="1"/>
      <w:marLeft w:val="0"/>
      <w:marRight w:val="0"/>
      <w:marTop w:val="0"/>
      <w:marBottom w:val="0"/>
      <w:divBdr>
        <w:top w:val="none" w:sz="0" w:space="0" w:color="auto"/>
        <w:left w:val="none" w:sz="0" w:space="0" w:color="auto"/>
        <w:bottom w:val="none" w:sz="0" w:space="0" w:color="auto"/>
        <w:right w:val="none" w:sz="0" w:space="0" w:color="auto"/>
      </w:divBdr>
    </w:div>
    <w:div w:id="1588422897">
      <w:bodyDiv w:val="1"/>
      <w:marLeft w:val="0"/>
      <w:marRight w:val="0"/>
      <w:marTop w:val="0"/>
      <w:marBottom w:val="0"/>
      <w:divBdr>
        <w:top w:val="none" w:sz="0" w:space="0" w:color="auto"/>
        <w:left w:val="none" w:sz="0" w:space="0" w:color="auto"/>
        <w:bottom w:val="none" w:sz="0" w:space="0" w:color="auto"/>
        <w:right w:val="none" w:sz="0" w:space="0" w:color="auto"/>
      </w:divBdr>
    </w:div>
    <w:div w:id="1836804270">
      <w:bodyDiv w:val="1"/>
      <w:marLeft w:val="0"/>
      <w:marRight w:val="0"/>
      <w:marTop w:val="0"/>
      <w:marBottom w:val="0"/>
      <w:divBdr>
        <w:top w:val="none" w:sz="0" w:space="0" w:color="auto"/>
        <w:left w:val="none" w:sz="0" w:space="0" w:color="auto"/>
        <w:bottom w:val="none" w:sz="0" w:space="0" w:color="auto"/>
        <w:right w:val="none" w:sz="0" w:space="0" w:color="auto"/>
      </w:divBdr>
    </w:div>
    <w:div w:id="1916936080">
      <w:bodyDiv w:val="1"/>
      <w:marLeft w:val="0"/>
      <w:marRight w:val="0"/>
      <w:marTop w:val="0"/>
      <w:marBottom w:val="0"/>
      <w:divBdr>
        <w:top w:val="none" w:sz="0" w:space="0" w:color="auto"/>
        <w:left w:val="none" w:sz="0" w:space="0" w:color="auto"/>
        <w:bottom w:val="none" w:sz="0" w:space="0" w:color="auto"/>
        <w:right w:val="none" w:sz="0" w:space="0" w:color="auto"/>
      </w:divBdr>
    </w:div>
    <w:div w:id="1928222074">
      <w:bodyDiv w:val="1"/>
      <w:marLeft w:val="0"/>
      <w:marRight w:val="0"/>
      <w:marTop w:val="0"/>
      <w:marBottom w:val="0"/>
      <w:divBdr>
        <w:top w:val="none" w:sz="0" w:space="0" w:color="auto"/>
        <w:left w:val="none" w:sz="0" w:space="0" w:color="auto"/>
        <w:bottom w:val="none" w:sz="0" w:space="0" w:color="auto"/>
        <w:right w:val="none" w:sz="0" w:space="0" w:color="auto"/>
      </w:divBdr>
    </w:div>
    <w:div w:id="2001276489">
      <w:bodyDiv w:val="1"/>
      <w:marLeft w:val="0"/>
      <w:marRight w:val="0"/>
      <w:marTop w:val="0"/>
      <w:marBottom w:val="0"/>
      <w:divBdr>
        <w:top w:val="none" w:sz="0" w:space="0" w:color="auto"/>
        <w:left w:val="none" w:sz="0" w:space="0" w:color="auto"/>
        <w:bottom w:val="none" w:sz="0" w:space="0" w:color="auto"/>
        <w:right w:val="none" w:sz="0" w:space="0" w:color="auto"/>
      </w:divBdr>
    </w:div>
    <w:div w:id="2014646020">
      <w:bodyDiv w:val="1"/>
      <w:marLeft w:val="0"/>
      <w:marRight w:val="0"/>
      <w:marTop w:val="0"/>
      <w:marBottom w:val="0"/>
      <w:divBdr>
        <w:top w:val="none" w:sz="0" w:space="0" w:color="auto"/>
        <w:left w:val="none" w:sz="0" w:space="0" w:color="auto"/>
        <w:bottom w:val="none" w:sz="0" w:space="0" w:color="auto"/>
        <w:right w:val="none" w:sz="0" w:space="0" w:color="auto"/>
      </w:divBdr>
    </w:div>
    <w:div w:id="2034264183">
      <w:bodyDiv w:val="1"/>
      <w:marLeft w:val="0"/>
      <w:marRight w:val="0"/>
      <w:marTop w:val="0"/>
      <w:marBottom w:val="0"/>
      <w:divBdr>
        <w:top w:val="none" w:sz="0" w:space="0" w:color="auto"/>
        <w:left w:val="none" w:sz="0" w:space="0" w:color="auto"/>
        <w:bottom w:val="none" w:sz="0" w:space="0" w:color="auto"/>
        <w:right w:val="none" w:sz="0" w:space="0" w:color="auto"/>
      </w:divBdr>
    </w:div>
    <w:div w:id="2045591460">
      <w:bodyDiv w:val="1"/>
      <w:marLeft w:val="0"/>
      <w:marRight w:val="0"/>
      <w:marTop w:val="0"/>
      <w:marBottom w:val="0"/>
      <w:divBdr>
        <w:top w:val="none" w:sz="0" w:space="0" w:color="auto"/>
        <w:left w:val="none" w:sz="0" w:space="0" w:color="auto"/>
        <w:bottom w:val="none" w:sz="0" w:space="0" w:color="auto"/>
        <w:right w:val="none" w:sz="0" w:space="0" w:color="auto"/>
      </w:divBdr>
    </w:div>
    <w:div w:id="2102872708">
      <w:bodyDiv w:val="1"/>
      <w:marLeft w:val="0"/>
      <w:marRight w:val="0"/>
      <w:marTop w:val="0"/>
      <w:marBottom w:val="0"/>
      <w:divBdr>
        <w:top w:val="none" w:sz="0" w:space="0" w:color="auto"/>
        <w:left w:val="none" w:sz="0" w:space="0" w:color="auto"/>
        <w:bottom w:val="none" w:sz="0" w:space="0" w:color="auto"/>
        <w:right w:val="none" w:sz="0" w:space="0" w:color="auto"/>
      </w:divBdr>
      <w:divsChild>
        <w:div w:id="1024400155">
          <w:marLeft w:val="0"/>
          <w:marRight w:val="0"/>
          <w:marTop w:val="300"/>
          <w:marBottom w:val="0"/>
          <w:divBdr>
            <w:top w:val="none" w:sz="0" w:space="0" w:color="auto"/>
            <w:left w:val="none" w:sz="0" w:space="0" w:color="auto"/>
            <w:bottom w:val="none" w:sz="0" w:space="0" w:color="auto"/>
            <w:right w:val="none" w:sz="0" w:space="0" w:color="auto"/>
          </w:divBdr>
          <w:divsChild>
            <w:div w:id="1542553524">
              <w:marLeft w:val="0"/>
              <w:marRight w:val="0"/>
              <w:marTop w:val="0"/>
              <w:marBottom w:val="0"/>
              <w:divBdr>
                <w:top w:val="none" w:sz="0" w:space="0" w:color="auto"/>
                <w:left w:val="none" w:sz="0" w:space="0" w:color="auto"/>
                <w:bottom w:val="none" w:sz="0" w:space="0" w:color="auto"/>
                <w:right w:val="none" w:sz="0" w:space="0" w:color="auto"/>
              </w:divBdr>
              <w:divsChild>
                <w:div w:id="306671763">
                  <w:marLeft w:val="0"/>
                  <w:marRight w:val="0"/>
                  <w:marTop w:val="0"/>
                  <w:marBottom w:val="0"/>
                  <w:divBdr>
                    <w:top w:val="none" w:sz="0" w:space="0" w:color="auto"/>
                    <w:left w:val="none" w:sz="0" w:space="0" w:color="auto"/>
                    <w:bottom w:val="none" w:sz="0" w:space="0" w:color="auto"/>
                    <w:right w:val="none" w:sz="0" w:space="0" w:color="auto"/>
                  </w:divBdr>
                  <w:divsChild>
                    <w:div w:id="478152475">
                      <w:marLeft w:val="0"/>
                      <w:marRight w:val="0"/>
                      <w:marTop w:val="0"/>
                      <w:marBottom w:val="0"/>
                      <w:divBdr>
                        <w:top w:val="none" w:sz="0" w:space="0" w:color="auto"/>
                        <w:left w:val="none" w:sz="0" w:space="0" w:color="auto"/>
                        <w:bottom w:val="none" w:sz="0" w:space="0" w:color="auto"/>
                        <w:right w:val="none" w:sz="0" w:space="0" w:color="auto"/>
                      </w:divBdr>
                      <w:divsChild>
                        <w:div w:id="663048095">
                          <w:marLeft w:val="0"/>
                          <w:marRight w:val="0"/>
                          <w:marTop w:val="0"/>
                          <w:marBottom w:val="0"/>
                          <w:divBdr>
                            <w:top w:val="none" w:sz="0" w:space="0" w:color="auto"/>
                            <w:left w:val="none" w:sz="0" w:space="0" w:color="auto"/>
                            <w:bottom w:val="none" w:sz="0" w:space="0" w:color="auto"/>
                            <w:right w:val="none" w:sz="0" w:space="0" w:color="auto"/>
                          </w:divBdr>
                          <w:divsChild>
                            <w:div w:id="393087548">
                              <w:marLeft w:val="0"/>
                              <w:marRight w:val="0"/>
                              <w:marTop w:val="0"/>
                              <w:marBottom w:val="0"/>
                              <w:divBdr>
                                <w:top w:val="none" w:sz="0" w:space="0" w:color="auto"/>
                                <w:left w:val="none" w:sz="0" w:space="0" w:color="auto"/>
                                <w:bottom w:val="none" w:sz="0" w:space="0" w:color="auto"/>
                                <w:right w:val="none" w:sz="0" w:space="0" w:color="auto"/>
                              </w:divBdr>
                              <w:divsChild>
                                <w:div w:id="2106533971">
                                  <w:marLeft w:val="0"/>
                                  <w:marRight w:val="0"/>
                                  <w:marTop w:val="0"/>
                                  <w:marBottom w:val="0"/>
                                  <w:divBdr>
                                    <w:top w:val="none" w:sz="0" w:space="0" w:color="auto"/>
                                    <w:left w:val="none" w:sz="0" w:space="0" w:color="auto"/>
                                    <w:bottom w:val="none" w:sz="0" w:space="0" w:color="auto"/>
                                    <w:right w:val="none" w:sz="0" w:space="0" w:color="auto"/>
                                  </w:divBdr>
                                  <w:divsChild>
                                    <w:div w:id="465974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3.xml"/><Relationship Id="rId26" Type="http://schemas.openxmlformats.org/officeDocument/2006/relationships/footer" Target="footer7.xml"/><Relationship Id="rId3" Type="http://schemas.openxmlformats.org/officeDocument/2006/relationships/customXml" Target="../customXml/item3.xml"/><Relationship Id="rId21" Type="http://schemas.openxmlformats.org/officeDocument/2006/relationships/header" Target="header5.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header" Target="header6.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5.xml"/><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SFS">
  <a:themeElements>
    <a:clrScheme name="Axiom With Burgundy">
      <a:dk1>
        <a:sysClr val="windowText" lastClr="000000"/>
      </a:dk1>
      <a:lt1>
        <a:srgbClr val="FFFFFF"/>
      </a:lt1>
      <a:dk2>
        <a:srgbClr val="214C90"/>
      </a:dk2>
      <a:lt2>
        <a:srgbClr val="E1E2E7"/>
      </a:lt2>
      <a:accent1>
        <a:srgbClr val="214C90"/>
      </a:accent1>
      <a:accent2>
        <a:srgbClr val="46A6A9"/>
      </a:accent2>
      <a:accent3>
        <a:srgbClr val="5D89B4"/>
      </a:accent3>
      <a:accent4>
        <a:srgbClr val="A9A8A9"/>
      </a:accent4>
      <a:accent5>
        <a:srgbClr val="990033"/>
      </a:accent5>
      <a:accent6>
        <a:srgbClr val="800080"/>
      </a:accent6>
      <a:hlink>
        <a:srgbClr val="214C90"/>
      </a:hlink>
      <a:folHlink>
        <a:srgbClr val="46A6A9"/>
      </a:folHlink>
    </a:clrScheme>
    <a:fontScheme name="Axiom Arial and Book Antiqua">
      <a:majorFont>
        <a:latin typeface="Arial"/>
        <a:ea typeface=""/>
        <a:cs typeface=""/>
      </a:majorFont>
      <a:minorFont>
        <a:latin typeface="Book Antiqu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2E8C1A015F23C4FBB98617DE4247464" ma:contentTypeVersion="7" ma:contentTypeDescription="Create a new document." ma:contentTypeScope="" ma:versionID="5f81b9226093d2f2ec782f1acec4a8c6">
  <xsd:schema xmlns:xsd="http://www.w3.org/2001/XMLSchema" xmlns:xs="http://www.w3.org/2001/XMLSchema" xmlns:p="http://schemas.microsoft.com/office/2006/metadata/properties" xmlns:ns2="b36f0a4f-5506-4329-9a4e-301ad29d175f" xmlns:ns3="4a9afdaf-ab64-48c3-9c8c-735e54f00f2f" targetNamespace="http://schemas.microsoft.com/office/2006/metadata/properties" ma:root="true" ma:fieldsID="5454b15d2016f5cd2ab434107d304673" ns2:_="" ns3:_="">
    <xsd:import namespace="b36f0a4f-5506-4329-9a4e-301ad29d175f"/>
    <xsd:import namespace="4a9afdaf-ab64-48c3-9c8c-735e54f00f2f"/>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Tags" minOccurs="0"/>
                <xsd:element ref="ns3:MediaServiceDateTaken"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6f0a4f-5506-4329-9a4e-301ad29d175f"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9afdaf-ab64-48c3-9c8c-735e54f00f2f"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internalName="MediaServiceAutoTags"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CDB780-3AEC-4879-910D-8E4218C5E91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6f0a4f-5506-4329-9a4e-301ad29d175f"/>
    <ds:schemaRef ds:uri="4a9afdaf-ab64-48c3-9c8c-735e54f00f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3DFFFD-823B-41BA-AA0C-006B21707F53}">
  <ds:schemaRefs>
    <ds:schemaRef ds:uri="http://purl.org/dc/elements/1.1/"/>
    <ds:schemaRef ds:uri="b36f0a4f-5506-4329-9a4e-301ad29d175f"/>
    <ds:schemaRef ds:uri="http://purl.org/dc/dcmitype/"/>
    <ds:schemaRef ds:uri="http://schemas.microsoft.com/office/2006/metadata/properties"/>
    <ds:schemaRef ds:uri="4a9afdaf-ab64-48c3-9c8c-735e54f00f2f"/>
    <ds:schemaRef ds:uri="http://schemas.microsoft.com/office/infopath/2007/PartnerControls"/>
    <ds:schemaRef ds:uri="http://purl.org/dc/terms/"/>
    <ds:schemaRef ds:uri="http://schemas.microsoft.com/office/2006/documentManagement/types"/>
    <ds:schemaRef ds:uri="http://schemas.openxmlformats.org/package/2006/metadata/core-properties"/>
    <ds:schemaRef ds:uri="http://www.w3.org/XML/1998/namespace"/>
  </ds:schemaRefs>
</ds:datastoreItem>
</file>

<file path=customXml/itemProps3.xml><?xml version="1.0" encoding="utf-8"?>
<ds:datastoreItem xmlns:ds="http://schemas.openxmlformats.org/officeDocument/2006/customXml" ds:itemID="{1BFDEB7A-26AC-4452-ACE5-421EA73691D4}">
  <ds:schemaRefs>
    <ds:schemaRef ds:uri="http://schemas.microsoft.com/sharepoint/v3/contenttype/forms"/>
  </ds:schemaRefs>
</ds:datastoreItem>
</file>

<file path=customXml/itemProps4.xml><?xml version="1.0" encoding="utf-8"?>
<ds:datastoreItem xmlns:ds="http://schemas.openxmlformats.org/officeDocument/2006/customXml" ds:itemID="{CE9F39A4-15C8-4957-84E8-0FF87B3CDC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5C591A8E.dotm</Template>
  <TotalTime>2</TotalTime>
  <Pages>21</Pages>
  <Words>9060</Words>
  <Characters>48478</Characters>
  <Application>Microsoft Office Word</Application>
  <DocSecurity>0</DocSecurity>
  <Lines>403</Lines>
  <Paragraphs>114</Paragraphs>
  <ScaleCrop>false</ScaleCrop>
  <HeadingPairs>
    <vt:vector size="2" baseType="variant">
      <vt:variant>
        <vt:lpstr>Title</vt:lpstr>
      </vt:variant>
      <vt:variant>
        <vt:i4>1</vt:i4>
      </vt:variant>
    </vt:vector>
  </HeadingPairs>
  <TitlesOfParts>
    <vt:vector size="1" baseType="lpstr">
      <vt:lpstr>Capacity Trading Reform Package Design Approval and Implementation - Information Paper</vt:lpstr>
    </vt:vector>
  </TitlesOfParts>
  <Company/>
  <LinksUpToDate>false</LinksUpToDate>
  <CharactersWithSpaces>57424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Capacity Trading Reform Package Design Approval and Implementation - Information Paper</dc:title>
  <dc:creator>GMRG</dc:creator>
  <cp:lastModifiedBy>Van Der Lee, Zoe</cp:lastModifiedBy>
  <cp:revision>3</cp:revision>
  <cp:lastPrinted>2018-07-01T19:38:00Z</cp:lastPrinted>
  <dcterms:created xsi:type="dcterms:W3CDTF">2018-07-02T23:55:00Z</dcterms:created>
  <dcterms:modified xsi:type="dcterms:W3CDTF">2018-07-03T00:36:00Z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0x01010052E8C1A015F23C4FBB98617DE4247464</vt:lpwstr>
  </property>
</Properties>
</file>