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header16.xml" ContentType="application/vnd.openxmlformats-officedocument.wordprocessingml.header+xml"/>
  <Override PartName="/word/footer14.xml" ContentType="application/vnd.openxmlformats-officedocument.wordprocessingml.footer+xml"/>
  <Override PartName="/word/header17.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header20.xml" ContentType="application/vnd.openxmlformats-officedocument.wordprocessingml.head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B80401" w14:textId="77777777" w:rsidR="0039253E" w:rsidRDefault="0039253E" w:rsidP="00493401">
      <w:pPr>
        <w:spacing w:after="400"/>
        <w:ind w:left="284"/>
        <w:rPr>
          <w:color w:val="007BC1"/>
          <w:sz w:val="144"/>
          <w:szCs w:val="144"/>
        </w:rPr>
      </w:pPr>
      <w:bookmarkStart w:id="1" w:name="_GoBack"/>
      <w:bookmarkEnd w:id="1"/>
    </w:p>
    <w:p w14:paraId="367E67EA" w14:textId="77777777" w:rsidR="00D06EB5" w:rsidRDefault="00D06EB5" w:rsidP="00C04CFF">
      <w:pPr>
        <w:spacing w:after="400"/>
        <w:ind w:left="142" w:right="-1"/>
        <w:rPr>
          <w:b/>
          <w:color w:val="007BC1"/>
          <w:sz w:val="52"/>
          <w:szCs w:val="52"/>
        </w:rPr>
      </w:pPr>
    </w:p>
    <w:p w14:paraId="2A6555C6" w14:textId="6FA456BF" w:rsidR="00C04CFF" w:rsidRPr="00AE60C2" w:rsidRDefault="00C04CFF" w:rsidP="00C04CFF">
      <w:pPr>
        <w:spacing w:after="400"/>
        <w:ind w:left="142" w:right="-1"/>
        <w:rPr>
          <w:b/>
          <w:color w:val="007BC1"/>
          <w:sz w:val="52"/>
          <w:szCs w:val="52"/>
        </w:rPr>
      </w:pPr>
      <w:r w:rsidRPr="00E852A3">
        <w:rPr>
          <w:b/>
          <w:color w:val="007BC1"/>
          <w:sz w:val="52"/>
          <w:szCs w:val="52"/>
        </w:rPr>
        <w:t>Capacity Trading Reform Package:</w:t>
      </w:r>
      <w:r w:rsidRPr="00E852A3">
        <w:rPr>
          <w:b/>
          <w:color w:val="007BC1"/>
          <w:sz w:val="52"/>
          <w:szCs w:val="52"/>
        </w:rPr>
        <w:br/>
        <w:t>Final legal and regulatory framework</w:t>
      </w:r>
      <w:r w:rsidRPr="00AE60C2">
        <w:rPr>
          <w:b/>
          <w:color w:val="007BC1"/>
          <w:sz w:val="48"/>
          <w:szCs w:val="48"/>
        </w:rPr>
        <w:t xml:space="preserve"> </w:t>
      </w:r>
      <w:r w:rsidRPr="00AE60C2">
        <w:rPr>
          <w:color w:val="007BC1"/>
          <w:sz w:val="48"/>
          <w:szCs w:val="48"/>
        </w:rPr>
        <w:br/>
      </w:r>
      <w:r w:rsidR="00E852A3">
        <w:rPr>
          <w:color w:val="007BC1"/>
          <w:sz w:val="30"/>
          <w:szCs w:val="30"/>
        </w:rPr>
        <w:br/>
      </w:r>
      <w:r w:rsidRPr="00777F01">
        <w:rPr>
          <w:color w:val="007BC1"/>
          <w:sz w:val="30"/>
          <w:szCs w:val="30"/>
        </w:rPr>
        <w:t xml:space="preserve">(National Gas Law, National Gas Rules, Regulations and </w:t>
      </w:r>
      <w:r w:rsidR="00165081">
        <w:rPr>
          <w:color w:val="007BC1"/>
          <w:sz w:val="30"/>
          <w:szCs w:val="30"/>
        </w:rPr>
        <w:br/>
      </w:r>
      <w:r w:rsidR="00E852A3">
        <w:rPr>
          <w:color w:val="007BC1"/>
          <w:sz w:val="30"/>
          <w:szCs w:val="30"/>
        </w:rPr>
        <w:t xml:space="preserve">Operational Transportation Service </w:t>
      </w:r>
      <w:r w:rsidRPr="00777F01">
        <w:rPr>
          <w:color w:val="007BC1"/>
          <w:sz w:val="30"/>
          <w:szCs w:val="30"/>
        </w:rPr>
        <w:t>Code)</w:t>
      </w:r>
    </w:p>
    <w:p w14:paraId="0C9857A3" w14:textId="77777777" w:rsidR="00783B89" w:rsidRDefault="00783B89" w:rsidP="00783B89">
      <w:pPr>
        <w:pStyle w:val="Subtitle"/>
        <w:ind w:right="708"/>
        <w:rPr>
          <w:color w:val="007BC1"/>
          <w:sz w:val="32"/>
          <w:szCs w:val="32"/>
        </w:rPr>
      </w:pPr>
    </w:p>
    <w:p w14:paraId="4B66BF5D" w14:textId="77777777" w:rsidR="00783B89" w:rsidRPr="00C04CFF" w:rsidRDefault="00FF52CD" w:rsidP="00FF52CD">
      <w:pPr>
        <w:pStyle w:val="Subtitle"/>
        <w:ind w:right="708"/>
        <w:rPr>
          <w:rFonts w:asciiTheme="majorHAnsi" w:hAnsiTheme="majorHAnsi" w:cstheme="majorHAnsi"/>
          <w:b/>
          <w:color w:val="auto"/>
          <w:sz w:val="36"/>
          <w:szCs w:val="36"/>
        </w:rPr>
      </w:pPr>
      <w:r w:rsidRPr="00C04CFF">
        <w:rPr>
          <w:rFonts w:asciiTheme="majorHAnsi" w:hAnsiTheme="majorHAnsi" w:cstheme="majorHAnsi"/>
          <w:b/>
          <w:color w:val="auto"/>
          <w:sz w:val="36"/>
          <w:szCs w:val="36"/>
        </w:rPr>
        <w:t xml:space="preserve">Explanatory </w:t>
      </w:r>
      <w:r w:rsidR="007D18B6">
        <w:rPr>
          <w:rFonts w:asciiTheme="majorHAnsi" w:hAnsiTheme="majorHAnsi" w:cstheme="majorHAnsi"/>
          <w:b/>
          <w:color w:val="auto"/>
          <w:sz w:val="36"/>
          <w:szCs w:val="36"/>
        </w:rPr>
        <w:t>N</w:t>
      </w:r>
      <w:r w:rsidRPr="00C04CFF">
        <w:rPr>
          <w:rFonts w:asciiTheme="majorHAnsi" w:hAnsiTheme="majorHAnsi" w:cstheme="majorHAnsi"/>
          <w:b/>
          <w:color w:val="auto"/>
          <w:sz w:val="36"/>
          <w:szCs w:val="36"/>
        </w:rPr>
        <w:t>ote</w:t>
      </w:r>
      <w:r w:rsidR="007D18B6">
        <w:rPr>
          <w:rFonts w:asciiTheme="majorHAnsi" w:hAnsiTheme="majorHAnsi" w:cstheme="majorHAnsi"/>
          <w:b/>
          <w:color w:val="auto"/>
          <w:sz w:val="36"/>
          <w:szCs w:val="36"/>
        </w:rPr>
        <w:t xml:space="preserve"> </w:t>
      </w:r>
    </w:p>
    <w:p w14:paraId="3FC820A3" w14:textId="77777777" w:rsidR="00783B89" w:rsidRPr="00983327" w:rsidRDefault="00783B89" w:rsidP="00783B89">
      <w:pPr>
        <w:rPr>
          <w:b/>
        </w:rPr>
      </w:pPr>
    </w:p>
    <w:p w14:paraId="7B98DC7C" w14:textId="2CF70F68" w:rsidR="00493401" w:rsidRPr="00983327" w:rsidRDefault="00983327" w:rsidP="00493401">
      <w:pPr>
        <w:pStyle w:val="Date"/>
      </w:pPr>
      <w:r w:rsidRPr="00983327">
        <w:t>22</w:t>
      </w:r>
      <w:r w:rsidR="001475A7" w:rsidRPr="00983327">
        <w:t xml:space="preserve"> </w:t>
      </w:r>
      <w:r w:rsidR="0073711A" w:rsidRPr="00983327">
        <w:t>Novem</w:t>
      </w:r>
      <w:r w:rsidR="00C15A0D" w:rsidRPr="00983327">
        <w:t>ber</w:t>
      </w:r>
      <w:r w:rsidR="00C04CFF" w:rsidRPr="00983327">
        <w:t xml:space="preserve"> 2018</w:t>
      </w:r>
    </w:p>
    <w:p w14:paraId="324F87FE" w14:textId="77777777" w:rsidR="00FF52CD" w:rsidRDefault="00FF52CD" w:rsidP="00FF52CD">
      <w:pPr>
        <w:rPr>
          <w:sz w:val="144"/>
          <w:szCs w:val="144"/>
        </w:rPr>
      </w:pPr>
    </w:p>
    <w:p w14:paraId="3020FA5C" w14:textId="77777777" w:rsidR="00FF52CD" w:rsidRPr="00FF52CD" w:rsidRDefault="00FF52CD" w:rsidP="00FF52CD">
      <w:pPr>
        <w:rPr>
          <w:sz w:val="144"/>
          <w:szCs w:val="144"/>
        </w:rPr>
      </w:pPr>
    </w:p>
    <w:p w14:paraId="7C316227" w14:textId="77777777" w:rsidR="00570893" w:rsidRDefault="00493401">
      <w:pPr>
        <w:rPr>
          <w:rFonts w:eastAsiaTheme="minorEastAsia"/>
        </w:rPr>
        <w:sectPr w:rsidR="00570893" w:rsidSect="00E852A3">
          <w:headerReference w:type="even" r:id="rId8"/>
          <w:headerReference w:type="default" r:id="rId9"/>
          <w:footerReference w:type="even" r:id="rId10"/>
          <w:footerReference w:type="default" r:id="rId11"/>
          <w:headerReference w:type="first" r:id="rId12"/>
          <w:footerReference w:type="first" r:id="rId13"/>
          <w:type w:val="continuous"/>
          <w:pgSz w:w="11907" w:h="16840" w:code="9"/>
          <w:pgMar w:top="1361" w:right="992" w:bottom="992" w:left="1418" w:header="567" w:footer="397" w:gutter="0"/>
          <w:pgNumType w:fmt="lowerRoman"/>
          <w:cols w:space="708"/>
          <w:titlePg/>
          <w:docGrid w:linePitch="360"/>
        </w:sectPr>
      </w:pPr>
      <w:r>
        <w:rPr>
          <w:noProof/>
        </w:rPr>
        <w:drawing>
          <wp:inline distT="0" distB="0" distL="0" distR="0" wp14:anchorId="4C9B0BA3" wp14:editId="731A4E25">
            <wp:extent cx="2857500" cy="838200"/>
            <wp:effectExtent l="0" t="0" r="0" b="0"/>
            <wp:docPr id="1" name="Picture 1"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838200"/>
                    </a:xfrm>
                    <a:prstGeom prst="rect">
                      <a:avLst/>
                    </a:prstGeom>
                    <a:noFill/>
                    <a:ln>
                      <a:noFill/>
                    </a:ln>
                  </pic:spPr>
                </pic:pic>
              </a:graphicData>
            </a:graphic>
          </wp:inline>
        </w:drawing>
      </w:r>
    </w:p>
    <w:p w14:paraId="0D8F5DFE" w14:textId="77777777" w:rsidR="00C04CFF" w:rsidRPr="00DE2084" w:rsidRDefault="00C04CFF" w:rsidP="00C04CFF">
      <w:pPr>
        <w:pStyle w:val="TOCHeading"/>
        <w:spacing w:after="240"/>
      </w:pPr>
      <w:bookmarkStart w:id="2" w:name="_Toc452029500"/>
      <w:bookmarkStart w:id="3" w:name="_Toc485200896"/>
      <w:bookmarkStart w:id="4" w:name="_Toc452029499"/>
      <w:bookmarkStart w:id="5" w:name="_Toc449094489"/>
      <w:r w:rsidRPr="00DE2084">
        <w:lastRenderedPageBreak/>
        <w:t>Contents</w:t>
      </w:r>
    </w:p>
    <w:p w14:paraId="31DC3705" w14:textId="402E988C" w:rsidR="0026074F" w:rsidRDefault="005A552A">
      <w:pPr>
        <w:pStyle w:val="TOC1"/>
        <w:rPr>
          <w:rFonts w:asciiTheme="minorHAnsi" w:eastAsiaTheme="minorEastAsia" w:hAnsiTheme="minorHAnsi"/>
          <w:b w:val="0"/>
          <w:lang w:eastAsia="en-AU"/>
        </w:rPr>
      </w:pPr>
      <w:r>
        <w:rPr>
          <w:rFonts w:eastAsiaTheme="minorEastAsia"/>
        </w:rPr>
        <w:fldChar w:fldCharType="begin"/>
      </w:r>
      <w:r>
        <w:rPr>
          <w:rFonts w:eastAsiaTheme="minorEastAsia"/>
        </w:rPr>
        <w:instrText xml:space="preserve"> TOC \o "2-2" \h \z \t "Heading 1,1,Heading 9,1,Exec Summ Heading 1,1" </w:instrText>
      </w:r>
      <w:r>
        <w:rPr>
          <w:rFonts w:eastAsiaTheme="minorEastAsia"/>
        </w:rPr>
        <w:fldChar w:fldCharType="separate"/>
      </w:r>
      <w:hyperlink w:anchor="_Toc530546444" w:history="1">
        <w:r w:rsidR="0026074F" w:rsidRPr="005119EC">
          <w:rPr>
            <w:rStyle w:val="Hyperlink"/>
          </w:rPr>
          <w:t>Abbreviations</w:t>
        </w:r>
        <w:r w:rsidR="0026074F">
          <w:rPr>
            <w:webHidden/>
          </w:rPr>
          <w:tab/>
        </w:r>
        <w:r w:rsidR="0026074F">
          <w:rPr>
            <w:webHidden/>
          </w:rPr>
          <w:fldChar w:fldCharType="begin"/>
        </w:r>
        <w:r w:rsidR="0026074F">
          <w:rPr>
            <w:webHidden/>
          </w:rPr>
          <w:instrText xml:space="preserve"> PAGEREF _Toc530546444 \h </w:instrText>
        </w:r>
        <w:r w:rsidR="0026074F">
          <w:rPr>
            <w:webHidden/>
          </w:rPr>
        </w:r>
        <w:r w:rsidR="0026074F">
          <w:rPr>
            <w:webHidden/>
          </w:rPr>
          <w:fldChar w:fldCharType="separate"/>
        </w:r>
        <w:r w:rsidR="0026074F">
          <w:rPr>
            <w:webHidden/>
          </w:rPr>
          <w:t>iii</w:t>
        </w:r>
        <w:r w:rsidR="0026074F">
          <w:rPr>
            <w:webHidden/>
          </w:rPr>
          <w:fldChar w:fldCharType="end"/>
        </w:r>
      </w:hyperlink>
    </w:p>
    <w:p w14:paraId="683798D9" w14:textId="36AC5FD5" w:rsidR="0026074F" w:rsidRDefault="00A6605E">
      <w:pPr>
        <w:pStyle w:val="TOC1"/>
        <w:rPr>
          <w:rFonts w:asciiTheme="minorHAnsi" w:eastAsiaTheme="minorEastAsia" w:hAnsiTheme="minorHAnsi"/>
          <w:b w:val="0"/>
          <w:lang w:eastAsia="en-AU"/>
        </w:rPr>
      </w:pPr>
      <w:hyperlink w:anchor="_Toc530546445" w:history="1">
        <w:r w:rsidR="0026074F" w:rsidRPr="005119EC">
          <w:rPr>
            <w:rStyle w:val="Hyperlink"/>
          </w:rPr>
          <w:t>Key terms used in legal and regulatory framework</w:t>
        </w:r>
        <w:r w:rsidR="0026074F">
          <w:rPr>
            <w:webHidden/>
          </w:rPr>
          <w:tab/>
        </w:r>
        <w:r w:rsidR="0026074F">
          <w:rPr>
            <w:webHidden/>
          </w:rPr>
          <w:fldChar w:fldCharType="begin"/>
        </w:r>
        <w:r w:rsidR="0026074F">
          <w:rPr>
            <w:webHidden/>
          </w:rPr>
          <w:instrText xml:space="preserve"> PAGEREF _Toc530546445 \h </w:instrText>
        </w:r>
        <w:r w:rsidR="0026074F">
          <w:rPr>
            <w:webHidden/>
          </w:rPr>
        </w:r>
        <w:r w:rsidR="0026074F">
          <w:rPr>
            <w:webHidden/>
          </w:rPr>
          <w:fldChar w:fldCharType="separate"/>
        </w:r>
        <w:r w:rsidR="0026074F">
          <w:rPr>
            <w:webHidden/>
          </w:rPr>
          <w:t>iv</w:t>
        </w:r>
        <w:r w:rsidR="0026074F">
          <w:rPr>
            <w:webHidden/>
          </w:rPr>
          <w:fldChar w:fldCharType="end"/>
        </w:r>
      </w:hyperlink>
    </w:p>
    <w:p w14:paraId="37EFBB76" w14:textId="24B4732E" w:rsidR="0026074F" w:rsidRDefault="00A6605E">
      <w:pPr>
        <w:pStyle w:val="TOC1"/>
        <w:rPr>
          <w:rFonts w:asciiTheme="minorHAnsi" w:eastAsiaTheme="minorEastAsia" w:hAnsiTheme="minorHAnsi"/>
          <w:b w:val="0"/>
          <w:lang w:eastAsia="en-AU"/>
        </w:rPr>
      </w:pPr>
      <w:hyperlink w:anchor="_Toc530546446" w:history="1">
        <w:r w:rsidR="0026074F" w:rsidRPr="005119EC">
          <w:rPr>
            <w:rStyle w:val="Hyperlink"/>
          </w:rPr>
          <w:t>1.</w:t>
        </w:r>
        <w:r w:rsidR="0026074F">
          <w:rPr>
            <w:rFonts w:asciiTheme="minorHAnsi" w:eastAsiaTheme="minorEastAsia" w:hAnsiTheme="minorHAnsi"/>
            <w:b w:val="0"/>
            <w:lang w:eastAsia="en-AU"/>
          </w:rPr>
          <w:tab/>
        </w:r>
        <w:r w:rsidR="0026074F" w:rsidRPr="005119EC">
          <w:rPr>
            <w:rStyle w:val="Hyperlink"/>
          </w:rPr>
          <w:t>Introduction and summary</w:t>
        </w:r>
        <w:r w:rsidR="0026074F">
          <w:rPr>
            <w:webHidden/>
          </w:rPr>
          <w:tab/>
        </w:r>
        <w:r w:rsidR="0026074F">
          <w:rPr>
            <w:webHidden/>
          </w:rPr>
          <w:fldChar w:fldCharType="begin"/>
        </w:r>
        <w:r w:rsidR="0026074F">
          <w:rPr>
            <w:webHidden/>
          </w:rPr>
          <w:instrText xml:space="preserve"> PAGEREF _Toc530546446 \h </w:instrText>
        </w:r>
        <w:r w:rsidR="0026074F">
          <w:rPr>
            <w:webHidden/>
          </w:rPr>
        </w:r>
        <w:r w:rsidR="0026074F">
          <w:rPr>
            <w:webHidden/>
          </w:rPr>
          <w:fldChar w:fldCharType="separate"/>
        </w:r>
        <w:r w:rsidR="0026074F">
          <w:rPr>
            <w:webHidden/>
          </w:rPr>
          <w:t>1</w:t>
        </w:r>
        <w:r w:rsidR="0026074F">
          <w:rPr>
            <w:webHidden/>
          </w:rPr>
          <w:fldChar w:fldCharType="end"/>
        </w:r>
      </w:hyperlink>
    </w:p>
    <w:p w14:paraId="02F776A9" w14:textId="70B3CB09" w:rsidR="0026074F" w:rsidRDefault="00A6605E">
      <w:pPr>
        <w:pStyle w:val="TOC2"/>
        <w:rPr>
          <w:rFonts w:asciiTheme="minorHAnsi" w:eastAsiaTheme="minorEastAsia" w:hAnsiTheme="minorHAnsi"/>
          <w:lang w:eastAsia="en-AU"/>
        </w:rPr>
      </w:pPr>
      <w:hyperlink w:anchor="_Toc530546447" w:history="1">
        <w:r w:rsidR="0026074F" w:rsidRPr="005119EC">
          <w:rPr>
            <w:rStyle w:val="Hyperlink"/>
          </w:rPr>
          <w:t>1.1</w:t>
        </w:r>
        <w:r w:rsidR="0026074F">
          <w:rPr>
            <w:rFonts w:asciiTheme="minorHAnsi" w:eastAsiaTheme="minorEastAsia" w:hAnsiTheme="minorHAnsi"/>
            <w:lang w:eastAsia="en-AU"/>
          </w:rPr>
          <w:tab/>
        </w:r>
        <w:r w:rsidR="0026074F" w:rsidRPr="005119EC">
          <w:rPr>
            <w:rStyle w:val="Hyperlink"/>
          </w:rPr>
          <w:t>Draft legal and regulatory framework</w:t>
        </w:r>
        <w:r w:rsidR="0026074F">
          <w:rPr>
            <w:webHidden/>
          </w:rPr>
          <w:tab/>
        </w:r>
        <w:r w:rsidR="0026074F">
          <w:rPr>
            <w:webHidden/>
          </w:rPr>
          <w:fldChar w:fldCharType="begin"/>
        </w:r>
        <w:r w:rsidR="0026074F">
          <w:rPr>
            <w:webHidden/>
          </w:rPr>
          <w:instrText xml:space="preserve"> PAGEREF _Toc530546447 \h </w:instrText>
        </w:r>
        <w:r w:rsidR="0026074F">
          <w:rPr>
            <w:webHidden/>
          </w:rPr>
        </w:r>
        <w:r w:rsidR="0026074F">
          <w:rPr>
            <w:webHidden/>
          </w:rPr>
          <w:fldChar w:fldCharType="separate"/>
        </w:r>
        <w:r w:rsidR="0026074F">
          <w:rPr>
            <w:webHidden/>
          </w:rPr>
          <w:t>3</w:t>
        </w:r>
        <w:r w:rsidR="0026074F">
          <w:rPr>
            <w:webHidden/>
          </w:rPr>
          <w:fldChar w:fldCharType="end"/>
        </w:r>
      </w:hyperlink>
    </w:p>
    <w:p w14:paraId="6A8FEE3C" w14:textId="1A68B8E0" w:rsidR="0026074F" w:rsidRDefault="00A6605E">
      <w:pPr>
        <w:pStyle w:val="TOC2"/>
        <w:rPr>
          <w:rFonts w:asciiTheme="minorHAnsi" w:eastAsiaTheme="minorEastAsia" w:hAnsiTheme="minorHAnsi"/>
          <w:lang w:eastAsia="en-AU"/>
        </w:rPr>
      </w:pPr>
      <w:hyperlink w:anchor="_Toc530546448" w:history="1">
        <w:r w:rsidR="0026074F" w:rsidRPr="005119EC">
          <w:rPr>
            <w:rStyle w:val="Hyperlink"/>
          </w:rPr>
          <w:t>1.2</w:t>
        </w:r>
        <w:r w:rsidR="0026074F">
          <w:rPr>
            <w:rFonts w:asciiTheme="minorHAnsi" w:eastAsiaTheme="minorEastAsia" w:hAnsiTheme="minorHAnsi"/>
            <w:lang w:eastAsia="en-AU"/>
          </w:rPr>
          <w:tab/>
        </w:r>
        <w:r w:rsidR="0026074F" w:rsidRPr="005119EC">
          <w:rPr>
            <w:rStyle w:val="Hyperlink"/>
          </w:rPr>
          <w:t>Stakeholder feedback on the draft framework</w:t>
        </w:r>
        <w:r w:rsidR="0026074F">
          <w:rPr>
            <w:webHidden/>
          </w:rPr>
          <w:tab/>
        </w:r>
        <w:r w:rsidR="0026074F">
          <w:rPr>
            <w:webHidden/>
          </w:rPr>
          <w:fldChar w:fldCharType="begin"/>
        </w:r>
        <w:r w:rsidR="0026074F">
          <w:rPr>
            <w:webHidden/>
          </w:rPr>
          <w:instrText xml:space="preserve"> PAGEREF _Toc530546448 \h </w:instrText>
        </w:r>
        <w:r w:rsidR="0026074F">
          <w:rPr>
            <w:webHidden/>
          </w:rPr>
        </w:r>
        <w:r w:rsidR="0026074F">
          <w:rPr>
            <w:webHidden/>
          </w:rPr>
          <w:fldChar w:fldCharType="separate"/>
        </w:r>
        <w:r w:rsidR="0026074F">
          <w:rPr>
            <w:webHidden/>
          </w:rPr>
          <w:t>7</w:t>
        </w:r>
        <w:r w:rsidR="0026074F">
          <w:rPr>
            <w:webHidden/>
          </w:rPr>
          <w:fldChar w:fldCharType="end"/>
        </w:r>
      </w:hyperlink>
    </w:p>
    <w:p w14:paraId="2EB36086" w14:textId="7FAA6B46" w:rsidR="0026074F" w:rsidRDefault="00A6605E">
      <w:pPr>
        <w:pStyle w:val="TOC2"/>
        <w:rPr>
          <w:rFonts w:asciiTheme="minorHAnsi" w:eastAsiaTheme="minorEastAsia" w:hAnsiTheme="minorHAnsi"/>
          <w:lang w:eastAsia="en-AU"/>
        </w:rPr>
      </w:pPr>
      <w:hyperlink w:anchor="_Toc530546449" w:history="1">
        <w:r w:rsidR="0026074F" w:rsidRPr="005119EC">
          <w:rPr>
            <w:rStyle w:val="Hyperlink"/>
          </w:rPr>
          <w:t>1.3</w:t>
        </w:r>
        <w:r w:rsidR="0026074F">
          <w:rPr>
            <w:rFonts w:asciiTheme="minorHAnsi" w:eastAsiaTheme="minorEastAsia" w:hAnsiTheme="minorHAnsi"/>
            <w:lang w:eastAsia="en-AU"/>
          </w:rPr>
          <w:tab/>
        </w:r>
        <w:r w:rsidR="0026074F" w:rsidRPr="005119EC">
          <w:rPr>
            <w:rStyle w:val="Hyperlink"/>
          </w:rPr>
          <w:t>Final legal and regulatory framework</w:t>
        </w:r>
        <w:r w:rsidR="0026074F">
          <w:rPr>
            <w:webHidden/>
          </w:rPr>
          <w:tab/>
        </w:r>
        <w:r w:rsidR="0026074F">
          <w:rPr>
            <w:webHidden/>
          </w:rPr>
          <w:fldChar w:fldCharType="begin"/>
        </w:r>
        <w:r w:rsidR="0026074F">
          <w:rPr>
            <w:webHidden/>
          </w:rPr>
          <w:instrText xml:space="preserve"> PAGEREF _Toc530546449 \h </w:instrText>
        </w:r>
        <w:r w:rsidR="0026074F">
          <w:rPr>
            <w:webHidden/>
          </w:rPr>
        </w:r>
        <w:r w:rsidR="0026074F">
          <w:rPr>
            <w:webHidden/>
          </w:rPr>
          <w:fldChar w:fldCharType="separate"/>
        </w:r>
        <w:r w:rsidR="0026074F">
          <w:rPr>
            <w:webHidden/>
          </w:rPr>
          <w:t>10</w:t>
        </w:r>
        <w:r w:rsidR="0026074F">
          <w:rPr>
            <w:webHidden/>
          </w:rPr>
          <w:fldChar w:fldCharType="end"/>
        </w:r>
      </w:hyperlink>
    </w:p>
    <w:p w14:paraId="328AAE4D" w14:textId="54F9E1C1" w:rsidR="0026074F" w:rsidRDefault="00A6605E">
      <w:pPr>
        <w:pStyle w:val="TOC2"/>
        <w:rPr>
          <w:rFonts w:asciiTheme="minorHAnsi" w:eastAsiaTheme="minorEastAsia" w:hAnsiTheme="minorHAnsi"/>
          <w:lang w:eastAsia="en-AU"/>
        </w:rPr>
      </w:pPr>
      <w:hyperlink w:anchor="_Toc530546450" w:history="1">
        <w:r w:rsidR="0026074F" w:rsidRPr="005119EC">
          <w:rPr>
            <w:rStyle w:val="Hyperlink"/>
          </w:rPr>
          <w:t>1.4</w:t>
        </w:r>
        <w:r w:rsidR="0026074F">
          <w:rPr>
            <w:rFonts w:asciiTheme="minorHAnsi" w:eastAsiaTheme="minorEastAsia" w:hAnsiTheme="minorHAnsi"/>
            <w:lang w:eastAsia="en-AU"/>
          </w:rPr>
          <w:tab/>
        </w:r>
        <w:r w:rsidR="0026074F" w:rsidRPr="005119EC">
          <w:rPr>
            <w:rStyle w:val="Hyperlink"/>
          </w:rPr>
          <w:t>Consistency of the reform package with the NGO</w:t>
        </w:r>
        <w:r w:rsidR="0026074F">
          <w:rPr>
            <w:webHidden/>
          </w:rPr>
          <w:tab/>
        </w:r>
        <w:r w:rsidR="0026074F">
          <w:rPr>
            <w:webHidden/>
          </w:rPr>
          <w:fldChar w:fldCharType="begin"/>
        </w:r>
        <w:r w:rsidR="0026074F">
          <w:rPr>
            <w:webHidden/>
          </w:rPr>
          <w:instrText xml:space="preserve"> PAGEREF _Toc530546450 \h </w:instrText>
        </w:r>
        <w:r w:rsidR="0026074F">
          <w:rPr>
            <w:webHidden/>
          </w:rPr>
        </w:r>
        <w:r w:rsidR="0026074F">
          <w:rPr>
            <w:webHidden/>
          </w:rPr>
          <w:fldChar w:fldCharType="separate"/>
        </w:r>
        <w:r w:rsidR="0026074F">
          <w:rPr>
            <w:webHidden/>
          </w:rPr>
          <w:t>16</w:t>
        </w:r>
        <w:r w:rsidR="0026074F">
          <w:rPr>
            <w:webHidden/>
          </w:rPr>
          <w:fldChar w:fldCharType="end"/>
        </w:r>
      </w:hyperlink>
    </w:p>
    <w:p w14:paraId="0D4D8D9A" w14:textId="183299FB" w:rsidR="0026074F" w:rsidRDefault="00A6605E">
      <w:pPr>
        <w:pStyle w:val="TOC2"/>
        <w:rPr>
          <w:rFonts w:asciiTheme="minorHAnsi" w:eastAsiaTheme="minorEastAsia" w:hAnsiTheme="minorHAnsi"/>
          <w:lang w:eastAsia="en-AU"/>
        </w:rPr>
      </w:pPr>
      <w:hyperlink w:anchor="_Toc530546451" w:history="1">
        <w:r w:rsidR="0026074F" w:rsidRPr="005119EC">
          <w:rPr>
            <w:rStyle w:val="Hyperlink"/>
          </w:rPr>
          <w:t>1.5</w:t>
        </w:r>
        <w:r w:rsidR="0026074F">
          <w:rPr>
            <w:rFonts w:asciiTheme="minorHAnsi" w:eastAsiaTheme="minorEastAsia" w:hAnsiTheme="minorHAnsi"/>
            <w:lang w:eastAsia="en-AU"/>
          </w:rPr>
          <w:tab/>
        </w:r>
        <w:r w:rsidR="0026074F" w:rsidRPr="005119EC">
          <w:rPr>
            <w:rStyle w:val="Hyperlink"/>
          </w:rPr>
          <w:t>Application of the reforms</w:t>
        </w:r>
        <w:r w:rsidR="0026074F">
          <w:rPr>
            <w:webHidden/>
          </w:rPr>
          <w:tab/>
        </w:r>
        <w:r w:rsidR="0026074F">
          <w:rPr>
            <w:webHidden/>
          </w:rPr>
          <w:fldChar w:fldCharType="begin"/>
        </w:r>
        <w:r w:rsidR="0026074F">
          <w:rPr>
            <w:webHidden/>
          </w:rPr>
          <w:instrText xml:space="preserve"> PAGEREF _Toc530546451 \h </w:instrText>
        </w:r>
        <w:r w:rsidR="0026074F">
          <w:rPr>
            <w:webHidden/>
          </w:rPr>
        </w:r>
        <w:r w:rsidR="0026074F">
          <w:rPr>
            <w:webHidden/>
          </w:rPr>
          <w:fldChar w:fldCharType="separate"/>
        </w:r>
        <w:r w:rsidR="0026074F">
          <w:rPr>
            <w:webHidden/>
          </w:rPr>
          <w:t>18</w:t>
        </w:r>
        <w:r w:rsidR="0026074F">
          <w:rPr>
            <w:webHidden/>
          </w:rPr>
          <w:fldChar w:fldCharType="end"/>
        </w:r>
      </w:hyperlink>
    </w:p>
    <w:p w14:paraId="733E0750" w14:textId="0158BDF4" w:rsidR="0026074F" w:rsidRDefault="00A6605E">
      <w:pPr>
        <w:pStyle w:val="TOC2"/>
        <w:rPr>
          <w:rFonts w:asciiTheme="minorHAnsi" w:eastAsiaTheme="minorEastAsia" w:hAnsiTheme="minorHAnsi"/>
          <w:lang w:eastAsia="en-AU"/>
        </w:rPr>
      </w:pPr>
      <w:hyperlink w:anchor="_Toc530546452" w:history="1">
        <w:r w:rsidR="0026074F" w:rsidRPr="005119EC">
          <w:rPr>
            <w:rStyle w:val="Hyperlink"/>
          </w:rPr>
          <w:t>1.6</w:t>
        </w:r>
        <w:r w:rsidR="0026074F">
          <w:rPr>
            <w:rFonts w:asciiTheme="minorHAnsi" w:eastAsiaTheme="minorEastAsia" w:hAnsiTheme="minorHAnsi"/>
            <w:lang w:eastAsia="en-AU"/>
          </w:rPr>
          <w:tab/>
        </w:r>
        <w:r w:rsidR="0026074F" w:rsidRPr="005119EC">
          <w:rPr>
            <w:rStyle w:val="Hyperlink"/>
          </w:rPr>
          <w:t>Next steps</w:t>
        </w:r>
        <w:r w:rsidR="0026074F">
          <w:rPr>
            <w:webHidden/>
          </w:rPr>
          <w:tab/>
        </w:r>
        <w:r w:rsidR="0026074F">
          <w:rPr>
            <w:webHidden/>
          </w:rPr>
          <w:fldChar w:fldCharType="begin"/>
        </w:r>
        <w:r w:rsidR="0026074F">
          <w:rPr>
            <w:webHidden/>
          </w:rPr>
          <w:instrText xml:space="preserve"> PAGEREF _Toc530546452 \h </w:instrText>
        </w:r>
        <w:r w:rsidR="0026074F">
          <w:rPr>
            <w:webHidden/>
          </w:rPr>
        </w:r>
        <w:r w:rsidR="0026074F">
          <w:rPr>
            <w:webHidden/>
          </w:rPr>
          <w:fldChar w:fldCharType="separate"/>
        </w:r>
        <w:r w:rsidR="0026074F">
          <w:rPr>
            <w:webHidden/>
          </w:rPr>
          <w:t>19</w:t>
        </w:r>
        <w:r w:rsidR="0026074F">
          <w:rPr>
            <w:webHidden/>
          </w:rPr>
          <w:fldChar w:fldCharType="end"/>
        </w:r>
      </w:hyperlink>
    </w:p>
    <w:p w14:paraId="2DAB7502" w14:textId="655D675A" w:rsidR="0026074F" w:rsidRDefault="00A6605E">
      <w:pPr>
        <w:pStyle w:val="TOC2"/>
        <w:rPr>
          <w:rFonts w:asciiTheme="minorHAnsi" w:eastAsiaTheme="minorEastAsia" w:hAnsiTheme="minorHAnsi"/>
          <w:lang w:eastAsia="en-AU"/>
        </w:rPr>
      </w:pPr>
      <w:hyperlink w:anchor="_Toc530546453" w:history="1">
        <w:r w:rsidR="0026074F" w:rsidRPr="005119EC">
          <w:rPr>
            <w:rStyle w:val="Hyperlink"/>
          </w:rPr>
          <w:t>1.7</w:t>
        </w:r>
        <w:r w:rsidR="0026074F">
          <w:rPr>
            <w:rFonts w:asciiTheme="minorHAnsi" w:eastAsiaTheme="minorEastAsia" w:hAnsiTheme="minorHAnsi"/>
            <w:lang w:eastAsia="en-AU"/>
          </w:rPr>
          <w:tab/>
        </w:r>
        <w:r w:rsidR="0026074F" w:rsidRPr="005119EC">
          <w:rPr>
            <w:rStyle w:val="Hyperlink"/>
          </w:rPr>
          <w:t>Structure of the explanatory note</w:t>
        </w:r>
        <w:r w:rsidR="0026074F">
          <w:rPr>
            <w:webHidden/>
          </w:rPr>
          <w:tab/>
        </w:r>
        <w:r w:rsidR="0026074F">
          <w:rPr>
            <w:webHidden/>
          </w:rPr>
          <w:fldChar w:fldCharType="begin"/>
        </w:r>
        <w:r w:rsidR="0026074F">
          <w:rPr>
            <w:webHidden/>
          </w:rPr>
          <w:instrText xml:space="preserve"> PAGEREF _Toc530546453 \h </w:instrText>
        </w:r>
        <w:r w:rsidR="0026074F">
          <w:rPr>
            <w:webHidden/>
          </w:rPr>
        </w:r>
        <w:r w:rsidR="0026074F">
          <w:rPr>
            <w:webHidden/>
          </w:rPr>
          <w:fldChar w:fldCharType="separate"/>
        </w:r>
        <w:r w:rsidR="0026074F">
          <w:rPr>
            <w:webHidden/>
          </w:rPr>
          <w:t>19</w:t>
        </w:r>
        <w:r w:rsidR="0026074F">
          <w:rPr>
            <w:webHidden/>
          </w:rPr>
          <w:fldChar w:fldCharType="end"/>
        </w:r>
      </w:hyperlink>
    </w:p>
    <w:p w14:paraId="25B4ABC3" w14:textId="2771833C" w:rsidR="0026074F" w:rsidRDefault="00A6605E">
      <w:pPr>
        <w:pStyle w:val="TOC1"/>
        <w:rPr>
          <w:rFonts w:asciiTheme="minorHAnsi" w:eastAsiaTheme="minorEastAsia" w:hAnsiTheme="minorHAnsi"/>
          <w:b w:val="0"/>
          <w:lang w:eastAsia="en-AU"/>
        </w:rPr>
      </w:pPr>
      <w:hyperlink w:anchor="_Toc530546454" w:history="1">
        <w:r w:rsidR="0026074F" w:rsidRPr="005119EC">
          <w:rPr>
            <w:rStyle w:val="Hyperlink"/>
          </w:rPr>
          <w:t>2.</w:t>
        </w:r>
        <w:r w:rsidR="0026074F">
          <w:rPr>
            <w:rFonts w:asciiTheme="minorHAnsi" w:eastAsiaTheme="minorEastAsia" w:hAnsiTheme="minorHAnsi"/>
            <w:b w:val="0"/>
            <w:lang w:eastAsia="en-AU"/>
          </w:rPr>
          <w:tab/>
        </w:r>
        <w:r w:rsidR="0026074F" w:rsidRPr="005119EC">
          <w:rPr>
            <w:rStyle w:val="Hyperlink"/>
          </w:rPr>
          <w:t>Overview of the capacity trading reform package</w:t>
        </w:r>
        <w:r w:rsidR="0026074F">
          <w:rPr>
            <w:webHidden/>
          </w:rPr>
          <w:tab/>
        </w:r>
        <w:r w:rsidR="0026074F">
          <w:rPr>
            <w:webHidden/>
          </w:rPr>
          <w:fldChar w:fldCharType="begin"/>
        </w:r>
        <w:r w:rsidR="0026074F">
          <w:rPr>
            <w:webHidden/>
          </w:rPr>
          <w:instrText xml:space="preserve"> PAGEREF _Toc530546454 \h </w:instrText>
        </w:r>
        <w:r w:rsidR="0026074F">
          <w:rPr>
            <w:webHidden/>
          </w:rPr>
        </w:r>
        <w:r w:rsidR="0026074F">
          <w:rPr>
            <w:webHidden/>
          </w:rPr>
          <w:fldChar w:fldCharType="separate"/>
        </w:r>
        <w:r w:rsidR="0026074F">
          <w:rPr>
            <w:webHidden/>
          </w:rPr>
          <w:t>21</w:t>
        </w:r>
        <w:r w:rsidR="0026074F">
          <w:rPr>
            <w:webHidden/>
          </w:rPr>
          <w:fldChar w:fldCharType="end"/>
        </w:r>
      </w:hyperlink>
    </w:p>
    <w:p w14:paraId="1F2E301C" w14:textId="3BC84142" w:rsidR="0026074F" w:rsidRDefault="00A6605E">
      <w:pPr>
        <w:pStyle w:val="TOC2"/>
        <w:rPr>
          <w:rFonts w:asciiTheme="minorHAnsi" w:eastAsiaTheme="minorEastAsia" w:hAnsiTheme="minorHAnsi"/>
          <w:lang w:eastAsia="en-AU"/>
        </w:rPr>
      </w:pPr>
      <w:hyperlink w:anchor="_Toc530546455" w:history="1">
        <w:r w:rsidR="0026074F" w:rsidRPr="005119EC">
          <w:rPr>
            <w:rStyle w:val="Hyperlink"/>
          </w:rPr>
          <w:t>2.1</w:t>
        </w:r>
        <w:r w:rsidR="0026074F">
          <w:rPr>
            <w:rFonts w:asciiTheme="minorHAnsi" w:eastAsiaTheme="minorEastAsia" w:hAnsiTheme="minorHAnsi"/>
            <w:lang w:eastAsia="en-AU"/>
          </w:rPr>
          <w:tab/>
        </w:r>
        <w:r w:rsidR="0026074F" w:rsidRPr="005119EC">
          <w:rPr>
            <w:rStyle w:val="Hyperlink"/>
          </w:rPr>
          <w:t>Key elements of the reform package</w:t>
        </w:r>
        <w:r w:rsidR="0026074F">
          <w:rPr>
            <w:webHidden/>
          </w:rPr>
          <w:tab/>
        </w:r>
        <w:r w:rsidR="0026074F">
          <w:rPr>
            <w:webHidden/>
          </w:rPr>
          <w:fldChar w:fldCharType="begin"/>
        </w:r>
        <w:r w:rsidR="0026074F">
          <w:rPr>
            <w:webHidden/>
          </w:rPr>
          <w:instrText xml:space="preserve"> PAGEREF _Toc530546455 \h </w:instrText>
        </w:r>
        <w:r w:rsidR="0026074F">
          <w:rPr>
            <w:webHidden/>
          </w:rPr>
        </w:r>
        <w:r w:rsidR="0026074F">
          <w:rPr>
            <w:webHidden/>
          </w:rPr>
          <w:fldChar w:fldCharType="separate"/>
        </w:r>
        <w:r w:rsidR="0026074F">
          <w:rPr>
            <w:webHidden/>
          </w:rPr>
          <w:t>21</w:t>
        </w:r>
        <w:r w:rsidR="0026074F">
          <w:rPr>
            <w:webHidden/>
          </w:rPr>
          <w:fldChar w:fldCharType="end"/>
        </w:r>
      </w:hyperlink>
    </w:p>
    <w:p w14:paraId="49F85499" w14:textId="6F7DAF76" w:rsidR="0026074F" w:rsidRDefault="00A6605E">
      <w:pPr>
        <w:pStyle w:val="TOC2"/>
        <w:rPr>
          <w:rFonts w:asciiTheme="minorHAnsi" w:eastAsiaTheme="minorEastAsia" w:hAnsiTheme="minorHAnsi"/>
          <w:lang w:eastAsia="en-AU"/>
        </w:rPr>
      </w:pPr>
      <w:hyperlink w:anchor="_Toc530546456" w:history="1">
        <w:r w:rsidR="0026074F" w:rsidRPr="005119EC">
          <w:rPr>
            <w:rStyle w:val="Hyperlink"/>
          </w:rPr>
          <w:t>2.2</w:t>
        </w:r>
        <w:r w:rsidR="0026074F">
          <w:rPr>
            <w:rFonts w:asciiTheme="minorHAnsi" w:eastAsiaTheme="minorEastAsia" w:hAnsiTheme="minorHAnsi"/>
            <w:lang w:eastAsia="en-AU"/>
          </w:rPr>
          <w:tab/>
        </w:r>
        <w:r w:rsidR="0026074F" w:rsidRPr="005119EC">
          <w:rPr>
            <w:rStyle w:val="Hyperlink"/>
          </w:rPr>
          <w:t>How capacity can be procured under the new framework</w:t>
        </w:r>
        <w:r w:rsidR="0026074F">
          <w:rPr>
            <w:webHidden/>
          </w:rPr>
          <w:tab/>
        </w:r>
        <w:r w:rsidR="0026074F">
          <w:rPr>
            <w:webHidden/>
          </w:rPr>
          <w:fldChar w:fldCharType="begin"/>
        </w:r>
        <w:r w:rsidR="0026074F">
          <w:rPr>
            <w:webHidden/>
          </w:rPr>
          <w:instrText xml:space="preserve"> PAGEREF _Toc530546456 \h </w:instrText>
        </w:r>
        <w:r w:rsidR="0026074F">
          <w:rPr>
            <w:webHidden/>
          </w:rPr>
        </w:r>
        <w:r w:rsidR="0026074F">
          <w:rPr>
            <w:webHidden/>
          </w:rPr>
          <w:fldChar w:fldCharType="separate"/>
        </w:r>
        <w:r w:rsidR="0026074F">
          <w:rPr>
            <w:webHidden/>
          </w:rPr>
          <w:t>24</w:t>
        </w:r>
        <w:r w:rsidR="0026074F">
          <w:rPr>
            <w:webHidden/>
          </w:rPr>
          <w:fldChar w:fldCharType="end"/>
        </w:r>
      </w:hyperlink>
    </w:p>
    <w:p w14:paraId="56D254C9" w14:textId="5BB96997" w:rsidR="0026074F" w:rsidRDefault="00A6605E">
      <w:pPr>
        <w:pStyle w:val="TOC1"/>
        <w:rPr>
          <w:rFonts w:asciiTheme="minorHAnsi" w:eastAsiaTheme="minorEastAsia" w:hAnsiTheme="minorHAnsi"/>
          <w:b w:val="0"/>
          <w:lang w:eastAsia="en-AU"/>
        </w:rPr>
      </w:pPr>
      <w:hyperlink w:anchor="_Toc530546457" w:history="1">
        <w:r w:rsidR="0026074F" w:rsidRPr="005119EC">
          <w:rPr>
            <w:rStyle w:val="Hyperlink"/>
          </w:rPr>
          <w:t>3.</w:t>
        </w:r>
        <w:r w:rsidR="0026074F">
          <w:rPr>
            <w:rFonts w:asciiTheme="minorHAnsi" w:eastAsiaTheme="minorEastAsia" w:hAnsiTheme="minorHAnsi"/>
            <w:b w:val="0"/>
            <w:lang w:eastAsia="en-AU"/>
          </w:rPr>
          <w:tab/>
        </w:r>
        <w:r w:rsidR="0026074F" w:rsidRPr="005119EC">
          <w:rPr>
            <w:rStyle w:val="Hyperlink"/>
          </w:rPr>
          <w:t>Legal and regulatory framework</w:t>
        </w:r>
        <w:r w:rsidR="0026074F">
          <w:rPr>
            <w:webHidden/>
          </w:rPr>
          <w:tab/>
        </w:r>
        <w:r w:rsidR="0026074F">
          <w:rPr>
            <w:webHidden/>
          </w:rPr>
          <w:fldChar w:fldCharType="begin"/>
        </w:r>
        <w:r w:rsidR="0026074F">
          <w:rPr>
            <w:webHidden/>
          </w:rPr>
          <w:instrText xml:space="preserve"> PAGEREF _Toc530546457 \h </w:instrText>
        </w:r>
        <w:r w:rsidR="0026074F">
          <w:rPr>
            <w:webHidden/>
          </w:rPr>
        </w:r>
        <w:r w:rsidR="0026074F">
          <w:rPr>
            <w:webHidden/>
          </w:rPr>
          <w:fldChar w:fldCharType="separate"/>
        </w:r>
        <w:r w:rsidR="0026074F">
          <w:rPr>
            <w:webHidden/>
          </w:rPr>
          <w:t>28</w:t>
        </w:r>
        <w:r w:rsidR="0026074F">
          <w:rPr>
            <w:webHidden/>
          </w:rPr>
          <w:fldChar w:fldCharType="end"/>
        </w:r>
      </w:hyperlink>
    </w:p>
    <w:p w14:paraId="5E0B8FBD" w14:textId="65526F16" w:rsidR="0026074F" w:rsidRDefault="00A6605E">
      <w:pPr>
        <w:pStyle w:val="TOC2"/>
        <w:rPr>
          <w:rFonts w:asciiTheme="minorHAnsi" w:eastAsiaTheme="minorEastAsia" w:hAnsiTheme="minorHAnsi"/>
          <w:lang w:eastAsia="en-AU"/>
        </w:rPr>
      </w:pPr>
      <w:hyperlink w:anchor="_Toc530546458" w:history="1">
        <w:r w:rsidR="0026074F" w:rsidRPr="005119EC">
          <w:rPr>
            <w:rStyle w:val="Hyperlink"/>
          </w:rPr>
          <w:t>3.1</w:t>
        </w:r>
        <w:r w:rsidR="0026074F">
          <w:rPr>
            <w:rFonts w:asciiTheme="minorHAnsi" w:eastAsiaTheme="minorEastAsia" w:hAnsiTheme="minorHAnsi"/>
            <w:lang w:eastAsia="en-AU"/>
          </w:rPr>
          <w:tab/>
        </w:r>
        <w:r w:rsidR="0026074F" w:rsidRPr="005119EC">
          <w:rPr>
            <w:rStyle w:val="Hyperlink"/>
          </w:rPr>
          <w:t>Legal and regulatory instruments</w:t>
        </w:r>
        <w:r w:rsidR="0026074F">
          <w:rPr>
            <w:webHidden/>
          </w:rPr>
          <w:tab/>
        </w:r>
        <w:r w:rsidR="0026074F">
          <w:rPr>
            <w:webHidden/>
          </w:rPr>
          <w:fldChar w:fldCharType="begin"/>
        </w:r>
        <w:r w:rsidR="0026074F">
          <w:rPr>
            <w:webHidden/>
          </w:rPr>
          <w:instrText xml:space="preserve"> PAGEREF _Toc530546458 \h </w:instrText>
        </w:r>
        <w:r w:rsidR="0026074F">
          <w:rPr>
            <w:webHidden/>
          </w:rPr>
        </w:r>
        <w:r w:rsidR="0026074F">
          <w:rPr>
            <w:webHidden/>
          </w:rPr>
          <w:fldChar w:fldCharType="separate"/>
        </w:r>
        <w:r w:rsidR="0026074F">
          <w:rPr>
            <w:webHidden/>
          </w:rPr>
          <w:t>28</w:t>
        </w:r>
        <w:r w:rsidR="0026074F">
          <w:rPr>
            <w:webHidden/>
          </w:rPr>
          <w:fldChar w:fldCharType="end"/>
        </w:r>
      </w:hyperlink>
    </w:p>
    <w:p w14:paraId="7C963500" w14:textId="37298CE7" w:rsidR="0026074F" w:rsidRDefault="00A6605E">
      <w:pPr>
        <w:pStyle w:val="TOC2"/>
        <w:rPr>
          <w:rFonts w:asciiTheme="minorHAnsi" w:eastAsiaTheme="minorEastAsia" w:hAnsiTheme="minorHAnsi"/>
          <w:lang w:eastAsia="en-AU"/>
        </w:rPr>
      </w:pPr>
      <w:hyperlink w:anchor="_Toc530546459" w:history="1">
        <w:r w:rsidR="0026074F" w:rsidRPr="005119EC">
          <w:rPr>
            <w:rStyle w:val="Hyperlink"/>
          </w:rPr>
          <w:t>3.2</w:t>
        </w:r>
        <w:r w:rsidR="0026074F">
          <w:rPr>
            <w:rFonts w:asciiTheme="minorHAnsi" w:eastAsiaTheme="minorEastAsia" w:hAnsiTheme="minorHAnsi"/>
            <w:lang w:eastAsia="en-AU"/>
          </w:rPr>
          <w:tab/>
        </w:r>
        <w:r w:rsidR="0026074F" w:rsidRPr="005119EC">
          <w:rPr>
            <w:rStyle w:val="Hyperlink"/>
          </w:rPr>
          <w:t>Governance of the legal instruments</w:t>
        </w:r>
        <w:r w:rsidR="0026074F">
          <w:rPr>
            <w:webHidden/>
          </w:rPr>
          <w:tab/>
        </w:r>
        <w:r w:rsidR="0026074F">
          <w:rPr>
            <w:webHidden/>
          </w:rPr>
          <w:fldChar w:fldCharType="begin"/>
        </w:r>
        <w:r w:rsidR="0026074F">
          <w:rPr>
            <w:webHidden/>
          </w:rPr>
          <w:instrText xml:space="preserve"> PAGEREF _Toc530546459 \h </w:instrText>
        </w:r>
        <w:r w:rsidR="0026074F">
          <w:rPr>
            <w:webHidden/>
          </w:rPr>
        </w:r>
        <w:r w:rsidR="0026074F">
          <w:rPr>
            <w:webHidden/>
          </w:rPr>
          <w:fldChar w:fldCharType="separate"/>
        </w:r>
        <w:r w:rsidR="0026074F">
          <w:rPr>
            <w:webHidden/>
          </w:rPr>
          <w:t>29</w:t>
        </w:r>
        <w:r w:rsidR="0026074F">
          <w:rPr>
            <w:webHidden/>
          </w:rPr>
          <w:fldChar w:fldCharType="end"/>
        </w:r>
      </w:hyperlink>
    </w:p>
    <w:p w14:paraId="297C3E0F" w14:textId="5F30A1A9" w:rsidR="0026074F" w:rsidRDefault="00A6605E">
      <w:pPr>
        <w:pStyle w:val="TOC2"/>
        <w:rPr>
          <w:rFonts w:asciiTheme="minorHAnsi" w:eastAsiaTheme="minorEastAsia" w:hAnsiTheme="minorHAnsi"/>
          <w:lang w:eastAsia="en-AU"/>
        </w:rPr>
      </w:pPr>
      <w:hyperlink w:anchor="_Toc530546460" w:history="1">
        <w:r w:rsidR="0026074F" w:rsidRPr="005119EC">
          <w:rPr>
            <w:rStyle w:val="Hyperlink"/>
          </w:rPr>
          <w:t>3.3</w:t>
        </w:r>
        <w:r w:rsidR="0026074F">
          <w:rPr>
            <w:rFonts w:asciiTheme="minorHAnsi" w:eastAsiaTheme="minorEastAsia" w:hAnsiTheme="minorHAnsi"/>
            <w:lang w:eastAsia="en-AU"/>
          </w:rPr>
          <w:tab/>
        </w:r>
        <w:r w:rsidR="0026074F" w:rsidRPr="005119EC">
          <w:rPr>
            <w:rStyle w:val="Hyperlink"/>
          </w:rPr>
          <w:t>New functions and powers for the AEMC, AEMO and the AER</w:t>
        </w:r>
        <w:r w:rsidR="0026074F">
          <w:rPr>
            <w:webHidden/>
          </w:rPr>
          <w:tab/>
        </w:r>
        <w:r w:rsidR="0026074F">
          <w:rPr>
            <w:webHidden/>
          </w:rPr>
          <w:fldChar w:fldCharType="begin"/>
        </w:r>
        <w:r w:rsidR="0026074F">
          <w:rPr>
            <w:webHidden/>
          </w:rPr>
          <w:instrText xml:space="preserve"> PAGEREF _Toc530546460 \h </w:instrText>
        </w:r>
        <w:r w:rsidR="0026074F">
          <w:rPr>
            <w:webHidden/>
          </w:rPr>
        </w:r>
        <w:r w:rsidR="0026074F">
          <w:rPr>
            <w:webHidden/>
          </w:rPr>
          <w:fldChar w:fldCharType="separate"/>
        </w:r>
        <w:r w:rsidR="0026074F">
          <w:rPr>
            <w:webHidden/>
          </w:rPr>
          <w:t>30</w:t>
        </w:r>
        <w:r w:rsidR="0026074F">
          <w:rPr>
            <w:webHidden/>
          </w:rPr>
          <w:fldChar w:fldCharType="end"/>
        </w:r>
      </w:hyperlink>
    </w:p>
    <w:p w14:paraId="1E657F12" w14:textId="772E01BA" w:rsidR="0026074F" w:rsidRDefault="00A6605E">
      <w:pPr>
        <w:pStyle w:val="TOC1"/>
        <w:rPr>
          <w:rFonts w:asciiTheme="minorHAnsi" w:eastAsiaTheme="minorEastAsia" w:hAnsiTheme="minorHAnsi"/>
          <w:b w:val="0"/>
          <w:lang w:eastAsia="en-AU"/>
        </w:rPr>
      </w:pPr>
      <w:hyperlink w:anchor="_Toc530546461" w:history="1">
        <w:r w:rsidR="0026074F" w:rsidRPr="005119EC">
          <w:rPr>
            <w:rStyle w:val="Hyperlink"/>
          </w:rPr>
          <w:t>4.</w:t>
        </w:r>
        <w:r w:rsidR="0026074F">
          <w:rPr>
            <w:rFonts w:asciiTheme="minorHAnsi" w:eastAsiaTheme="minorEastAsia" w:hAnsiTheme="minorHAnsi"/>
            <w:b w:val="0"/>
            <w:lang w:eastAsia="en-AU"/>
          </w:rPr>
          <w:tab/>
        </w:r>
        <w:r w:rsidR="0026074F" w:rsidRPr="005119EC">
          <w:rPr>
            <w:rStyle w:val="Hyperlink"/>
          </w:rPr>
          <w:t>Exemptions and registration requirements</w:t>
        </w:r>
        <w:r w:rsidR="0026074F">
          <w:rPr>
            <w:webHidden/>
          </w:rPr>
          <w:tab/>
        </w:r>
        <w:r w:rsidR="0026074F">
          <w:rPr>
            <w:webHidden/>
          </w:rPr>
          <w:fldChar w:fldCharType="begin"/>
        </w:r>
        <w:r w:rsidR="0026074F">
          <w:rPr>
            <w:webHidden/>
          </w:rPr>
          <w:instrText xml:space="preserve"> PAGEREF _Toc530546461 \h </w:instrText>
        </w:r>
        <w:r w:rsidR="0026074F">
          <w:rPr>
            <w:webHidden/>
          </w:rPr>
        </w:r>
        <w:r w:rsidR="0026074F">
          <w:rPr>
            <w:webHidden/>
          </w:rPr>
          <w:fldChar w:fldCharType="separate"/>
        </w:r>
        <w:r w:rsidR="0026074F">
          <w:rPr>
            <w:webHidden/>
          </w:rPr>
          <w:t>33</w:t>
        </w:r>
        <w:r w:rsidR="0026074F">
          <w:rPr>
            <w:webHidden/>
          </w:rPr>
          <w:fldChar w:fldCharType="end"/>
        </w:r>
      </w:hyperlink>
    </w:p>
    <w:p w14:paraId="36C8A32A" w14:textId="3341A97B" w:rsidR="0026074F" w:rsidRDefault="00A6605E">
      <w:pPr>
        <w:pStyle w:val="TOC2"/>
        <w:rPr>
          <w:rFonts w:asciiTheme="minorHAnsi" w:eastAsiaTheme="minorEastAsia" w:hAnsiTheme="minorHAnsi"/>
          <w:lang w:eastAsia="en-AU"/>
        </w:rPr>
      </w:pPr>
      <w:hyperlink w:anchor="_Toc530546462" w:history="1">
        <w:r w:rsidR="0026074F" w:rsidRPr="005119EC">
          <w:rPr>
            <w:rStyle w:val="Hyperlink"/>
          </w:rPr>
          <w:t>4.1</w:t>
        </w:r>
        <w:r w:rsidR="0026074F">
          <w:rPr>
            <w:rFonts w:asciiTheme="minorHAnsi" w:eastAsiaTheme="minorEastAsia" w:hAnsiTheme="minorHAnsi"/>
            <w:lang w:eastAsia="en-AU"/>
          </w:rPr>
          <w:tab/>
        </w:r>
        <w:r w:rsidR="0026074F" w:rsidRPr="005119EC">
          <w:rPr>
            <w:rStyle w:val="Hyperlink"/>
          </w:rPr>
          <w:t>Overview of the exemptions framework</w:t>
        </w:r>
        <w:r w:rsidR="0026074F">
          <w:rPr>
            <w:webHidden/>
          </w:rPr>
          <w:tab/>
        </w:r>
        <w:r w:rsidR="0026074F">
          <w:rPr>
            <w:webHidden/>
          </w:rPr>
          <w:fldChar w:fldCharType="begin"/>
        </w:r>
        <w:r w:rsidR="0026074F">
          <w:rPr>
            <w:webHidden/>
          </w:rPr>
          <w:instrText xml:space="preserve"> PAGEREF _Toc530546462 \h </w:instrText>
        </w:r>
        <w:r w:rsidR="0026074F">
          <w:rPr>
            <w:webHidden/>
          </w:rPr>
        </w:r>
        <w:r w:rsidR="0026074F">
          <w:rPr>
            <w:webHidden/>
          </w:rPr>
          <w:fldChar w:fldCharType="separate"/>
        </w:r>
        <w:r w:rsidR="0026074F">
          <w:rPr>
            <w:webHidden/>
          </w:rPr>
          <w:t>33</w:t>
        </w:r>
        <w:r w:rsidR="0026074F">
          <w:rPr>
            <w:webHidden/>
          </w:rPr>
          <w:fldChar w:fldCharType="end"/>
        </w:r>
      </w:hyperlink>
    </w:p>
    <w:p w14:paraId="4A2862FD" w14:textId="312E0390" w:rsidR="0026074F" w:rsidRDefault="00A6605E">
      <w:pPr>
        <w:pStyle w:val="TOC2"/>
        <w:rPr>
          <w:rFonts w:asciiTheme="minorHAnsi" w:eastAsiaTheme="minorEastAsia" w:hAnsiTheme="minorHAnsi"/>
          <w:lang w:eastAsia="en-AU"/>
        </w:rPr>
      </w:pPr>
      <w:hyperlink w:anchor="_Toc530546463" w:history="1">
        <w:r w:rsidR="0026074F" w:rsidRPr="005119EC">
          <w:rPr>
            <w:rStyle w:val="Hyperlink"/>
          </w:rPr>
          <w:t>4.2</w:t>
        </w:r>
        <w:r w:rsidR="0026074F">
          <w:rPr>
            <w:rFonts w:asciiTheme="minorHAnsi" w:eastAsiaTheme="minorEastAsia" w:hAnsiTheme="minorHAnsi"/>
            <w:lang w:eastAsia="en-AU"/>
          </w:rPr>
          <w:tab/>
        </w:r>
        <w:r w:rsidR="0026074F" w:rsidRPr="005119EC">
          <w:rPr>
            <w:rStyle w:val="Hyperlink"/>
          </w:rPr>
          <w:t>Overview of registration requirements</w:t>
        </w:r>
        <w:r w:rsidR="0026074F">
          <w:rPr>
            <w:webHidden/>
          </w:rPr>
          <w:tab/>
        </w:r>
        <w:r w:rsidR="0026074F">
          <w:rPr>
            <w:webHidden/>
          </w:rPr>
          <w:fldChar w:fldCharType="begin"/>
        </w:r>
        <w:r w:rsidR="0026074F">
          <w:rPr>
            <w:webHidden/>
          </w:rPr>
          <w:instrText xml:space="preserve"> PAGEREF _Toc530546463 \h </w:instrText>
        </w:r>
        <w:r w:rsidR="0026074F">
          <w:rPr>
            <w:webHidden/>
          </w:rPr>
        </w:r>
        <w:r w:rsidR="0026074F">
          <w:rPr>
            <w:webHidden/>
          </w:rPr>
          <w:fldChar w:fldCharType="separate"/>
        </w:r>
        <w:r w:rsidR="0026074F">
          <w:rPr>
            <w:webHidden/>
          </w:rPr>
          <w:t>36</w:t>
        </w:r>
        <w:r w:rsidR="0026074F">
          <w:rPr>
            <w:webHidden/>
          </w:rPr>
          <w:fldChar w:fldCharType="end"/>
        </w:r>
      </w:hyperlink>
    </w:p>
    <w:p w14:paraId="0A6A70DC" w14:textId="184E1CFF" w:rsidR="0026074F" w:rsidRDefault="00A6605E">
      <w:pPr>
        <w:pStyle w:val="TOC2"/>
        <w:rPr>
          <w:rFonts w:asciiTheme="minorHAnsi" w:eastAsiaTheme="minorEastAsia" w:hAnsiTheme="minorHAnsi"/>
          <w:lang w:eastAsia="en-AU"/>
        </w:rPr>
      </w:pPr>
      <w:hyperlink w:anchor="_Toc530546464" w:history="1">
        <w:r w:rsidR="0026074F" w:rsidRPr="005119EC">
          <w:rPr>
            <w:rStyle w:val="Hyperlink"/>
          </w:rPr>
          <w:t>4.3</w:t>
        </w:r>
        <w:r w:rsidR="0026074F">
          <w:rPr>
            <w:rFonts w:asciiTheme="minorHAnsi" w:eastAsiaTheme="minorEastAsia" w:hAnsiTheme="minorHAnsi"/>
            <w:lang w:eastAsia="en-AU"/>
          </w:rPr>
          <w:tab/>
        </w:r>
        <w:r w:rsidR="0026074F" w:rsidRPr="005119EC">
          <w:rPr>
            <w:rStyle w:val="Hyperlink"/>
          </w:rPr>
          <w:t>Legal and regulatory framework</w:t>
        </w:r>
        <w:r w:rsidR="0026074F">
          <w:rPr>
            <w:webHidden/>
          </w:rPr>
          <w:tab/>
        </w:r>
        <w:r w:rsidR="0026074F">
          <w:rPr>
            <w:webHidden/>
          </w:rPr>
          <w:fldChar w:fldCharType="begin"/>
        </w:r>
        <w:r w:rsidR="0026074F">
          <w:rPr>
            <w:webHidden/>
          </w:rPr>
          <w:instrText xml:space="preserve"> PAGEREF _Toc530546464 \h </w:instrText>
        </w:r>
        <w:r w:rsidR="0026074F">
          <w:rPr>
            <w:webHidden/>
          </w:rPr>
        </w:r>
        <w:r w:rsidR="0026074F">
          <w:rPr>
            <w:webHidden/>
          </w:rPr>
          <w:fldChar w:fldCharType="separate"/>
        </w:r>
        <w:r w:rsidR="0026074F">
          <w:rPr>
            <w:webHidden/>
          </w:rPr>
          <w:t>38</w:t>
        </w:r>
        <w:r w:rsidR="0026074F">
          <w:rPr>
            <w:webHidden/>
          </w:rPr>
          <w:fldChar w:fldCharType="end"/>
        </w:r>
      </w:hyperlink>
    </w:p>
    <w:p w14:paraId="30785F72" w14:textId="4BDD728B" w:rsidR="0026074F" w:rsidRDefault="00A6605E">
      <w:pPr>
        <w:pStyle w:val="TOC1"/>
        <w:rPr>
          <w:rFonts w:asciiTheme="minorHAnsi" w:eastAsiaTheme="minorEastAsia" w:hAnsiTheme="minorHAnsi"/>
          <w:b w:val="0"/>
          <w:lang w:eastAsia="en-AU"/>
        </w:rPr>
      </w:pPr>
      <w:hyperlink w:anchor="_Toc530546465" w:history="1">
        <w:r w:rsidR="0026074F" w:rsidRPr="005119EC">
          <w:rPr>
            <w:rStyle w:val="Hyperlink"/>
          </w:rPr>
          <w:t>5.</w:t>
        </w:r>
        <w:r w:rsidR="0026074F">
          <w:rPr>
            <w:rFonts w:asciiTheme="minorHAnsi" w:eastAsiaTheme="minorEastAsia" w:hAnsiTheme="minorHAnsi"/>
            <w:b w:val="0"/>
            <w:lang w:eastAsia="en-AU"/>
          </w:rPr>
          <w:tab/>
        </w:r>
        <w:r w:rsidR="0026074F" w:rsidRPr="005119EC">
          <w:rPr>
            <w:rStyle w:val="Hyperlink"/>
          </w:rPr>
          <w:t>Measures to facilitate capacity trading and auction</w:t>
        </w:r>
        <w:r w:rsidR="0026074F">
          <w:rPr>
            <w:webHidden/>
          </w:rPr>
          <w:tab/>
        </w:r>
        <w:r w:rsidR="0026074F">
          <w:rPr>
            <w:webHidden/>
          </w:rPr>
          <w:fldChar w:fldCharType="begin"/>
        </w:r>
        <w:r w:rsidR="0026074F">
          <w:rPr>
            <w:webHidden/>
          </w:rPr>
          <w:instrText xml:space="preserve"> PAGEREF _Toc530546465 \h </w:instrText>
        </w:r>
        <w:r w:rsidR="0026074F">
          <w:rPr>
            <w:webHidden/>
          </w:rPr>
        </w:r>
        <w:r w:rsidR="0026074F">
          <w:rPr>
            <w:webHidden/>
          </w:rPr>
          <w:fldChar w:fldCharType="separate"/>
        </w:r>
        <w:r w:rsidR="0026074F">
          <w:rPr>
            <w:webHidden/>
          </w:rPr>
          <w:t>43</w:t>
        </w:r>
        <w:r w:rsidR="0026074F">
          <w:rPr>
            <w:webHidden/>
          </w:rPr>
          <w:fldChar w:fldCharType="end"/>
        </w:r>
      </w:hyperlink>
    </w:p>
    <w:p w14:paraId="14F262BF" w14:textId="60BA414B" w:rsidR="0026074F" w:rsidRDefault="00A6605E">
      <w:pPr>
        <w:pStyle w:val="TOC2"/>
        <w:rPr>
          <w:rFonts w:asciiTheme="minorHAnsi" w:eastAsiaTheme="minorEastAsia" w:hAnsiTheme="minorHAnsi"/>
          <w:lang w:eastAsia="en-AU"/>
        </w:rPr>
      </w:pPr>
      <w:hyperlink w:anchor="_Toc530546466" w:history="1">
        <w:r w:rsidR="0026074F" w:rsidRPr="005119EC">
          <w:rPr>
            <w:rStyle w:val="Hyperlink"/>
          </w:rPr>
          <w:t>5.1</w:t>
        </w:r>
        <w:r w:rsidR="0026074F">
          <w:rPr>
            <w:rFonts w:asciiTheme="minorHAnsi" w:eastAsiaTheme="minorEastAsia" w:hAnsiTheme="minorHAnsi"/>
            <w:lang w:eastAsia="en-AU"/>
          </w:rPr>
          <w:tab/>
        </w:r>
        <w:r w:rsidR="0026074F" w:rsidRPr="005119EC">
          <w:rPr>
            <w:rStyle w:val="Hyperlink"/>
          </w:rPr>
          <w:t>Overview of measures to facilitate trades and the auction</w:t>
        </w:r>
        <w:r w:rsidR="0026074F">
          <w:rPr>
            <w:webHidden/>
          </w:rPr>
          <w:tab/>
        </w:r>
        <w:r w:rsidR="0026074F">
          <w:rPr>
            <w:webHidden/>
          </w:rPr>
          <w:fldChar w:fldCharType="begin"/>
        </w:r>
        <w:r w:rsidR="0026074F">
          <w:rPr>
            <w:webHidden/>
          </w:rPr>
          <w:instrText xml:space="preserve"> PAGEREF _Toc530546466 \h </w:instrText>
        </w:r>
        <w:r w:rsidR="0026074F">
          <w:rPr>
            <w:webHidden/>
          </w:rPr>
        </w:r>
        <w:r w:rsidR="0026074F">
          <w:rPr>
            <w:webHidden/>
          </w:rPr>
          <w:fldChar w:fldCharType="separate"/>
        </w:r>
        <w:r w:rsidR="0026074F">
          <w:rPr>
            <w:webHidden/>
          </w:rPr>
          <w:t>44</w:t>
        </w:r>
        <w:r w:rsidR="0026074F">
          <w:rPr>
            <w:webHidden/>
          </w:rPr>
          <w:fldChar w:fldCharType="end"/>
        </w:r>
      </w:hyperlink>
    </w:p>
    <w:p w14:paraId="31C2F40F" w14:textId="0CED6505" w:rsidR="0026074F" w:rsidRDefault="00A6605E">
      <w:pPr>
        <w:pStyle w:val="TOC2"/>
        <w:rPr>
          <w:rFonts w:asciiTheme="minorHAnsi" w:eastAsiaTheme="minorEastAsia" w:hAnsiTheme="minorHAnsi"/>
          <w:lang w:eastAsia="en-AU"/>
        </w:rPr>
      </w:pPr>
      <w:hyperlink w:anchor="_Toc530546467" w:history="1">
        <w:r w:rsidR="0026074F" w:rsidRPr="005119EC">
          <w:rPr>
            <w:rStyle w:val="Hyperlink"/>
          </w:rPr>
          <w:t>5.2</w:t>
        </w:r>
        <w:r w:rsidR="0026074F">
          <w:rPr>
            <w:rFonts w:asciiTheme="minorHAnsi" w:eastAsiaTheme="minorEastAsia" w:hAnsiTheme="minorHAnsi"/>
            <w:lang w:eastAsia="en-AU"/>
          </w:rPr>
          <w:tab/>
        </w:r>
        <w:r w:rsidR="0026074F" w:rsidRPr="005119EC">
          <w:rPr>
            <w:rStyle w:val="Hyperlink"/>
          </w:rPr>
          <w:t>Legal and regulatory framework</w:t>
        </w:r>
        <w:r w:rsidR="0026074F">
          <w:rPr>
            <w:webHidden/>
          </w:rPr>
          <w:tab/>
        </w:r>
        <w:r w:rsidR="0026074F">
          <w:rPr>
            <w:webHidden/>
          </w:rPr>
          <w:fldChar w:fldCharType="begin"/>
        </w:r>
        <w:r w:rsidR="0026074F">
          <w:rPr>
            <w:webHidden/>
          </w:rPr>
          <w:instrText xml:space="preserve"> PAGEREF _Toc530546467 \h </w:instrText>
        </w:r>
        <w:r w:rsidR="0026074F">
          <w:rPr>
            <w:webHidden/>
          </w:rPr>
        </w:r>
        <w:r w:rsidR="0026074F">
          <w:rPr>
            <w:webHidden/>
          </w:rPr>
          <w:fldChar w:fldCharType="separate"/>
        </w:r>
        <w:r w:rsidR="0026074F">
          <w:rPr>
            <w:webHidden/>
          </w:rPr>
          <w:t>50</w:t>
        </w:r>
        <w:r w:rsidR="0026074F">
          <w:rPr>
            <w:webHidden/>
          </w:rPr>
          <w:fldChar w:fldCharType="end"/>
        </w:r>
      </w:hyperlink>
    </w:p>
    <w:p w14:paraId="1F199F8B" w14:textId="24A1E758" w:rsidR="0026074F" w:rsidRDefault="00A6605E">
      <w:pPr>
        <w:pStyle w:val="TOC1"/>
        <w:rPr>
          <w:rFonts w:asciiTheme="minorHAnsi" w:eastAsiaTheme="minorEastAsia" w:hAnsiTheme="minorHAnsi"/>
          <w:b w:val="0"/>
          <w:lang w:eastAsia="en-AU"/>
        </w:rPr>
      </w:pPr>
      <w:hyperlink w:anchor="_Toc530546468" w:history="1">
        <w:r w:rsidR="0026074F" w:rsidRPr="005119EC">
          <w:rPr>
            <w:rStyle w:val="Hyperlink"/>
          </w:rPr>
          <w:t>6.</w:t>
        </w:r>
        <w:r w:rsidR="0026074F">
          <w:rPr>
            <w:rFonts w:asciiTheme="minorHAnsi" w:eastAsiaTheme="minorEastAsia" w:hAnsiTheme="minorHAnsi"/>
            <w:b w:val="0"/>
            <w:lang w:eastAsia="en-AU"/>
          </w:rPr>
          <w:tab/>
        </w:r>
        <w:r w:rsidR="0026074F" w:rsidRPr="005119EC">
          <w:rPr>
            <w:rStyle w:val="Hyperlink"/>
          </w:rPr>
          <w:t>Capacity trading platform</w:t>
        </w:r>
        <w:r w:rsidR="0026074F">
          <w:rPr>
            <w:webHidden/>
          </w:rPr>
          <w:tab/>
        </w:r>
        <w:r w:rsidR="0026074F">
          <w:rPr>
            <w:webHidden/>
          </w:rPr>
          <w:fldChar w:fldCharType="begin"/>
        </w:r>
        <w:r w:rsidR="0026074F">
          <w:rPr>
            <w:webHidden/>
          </w:rPr>
          <w:instrText xml:space="preserve"> PAGEREF _Toc530546468 \h </w:instrText>
        </w:r>
        <w:r w:rsidR="0026074F">
          <w:rPr>
            <w:webHidden/>
          </w:rPr>
        </w:r>
        <w:r w:rsidR="0026074F">
          <w:rPr>
            <w:webHidden/>
          </w:rPr>
          <w:fldChar w:fldCharType="separate"/>
        </w:r>
        <w:r w:rsidR="0026074F">
          <w:rPr>
            <w:webHidden/>
          </w:rPr>
          <w:t>59</w:t>
        </w:r>
        <w:r w:rsidR="0026074F">
          <w:rPr>
            <w:webHidden/>
          </w:rPr>
          <w:fldChar w:fldCharType="end"/>
        </w:r>
      </w:hyperlink>
    </w:p>
    <w:p w14:paraId="350A64E6" w14:textId="5D92EAD4" w:rsidR="0026074F" w:rsidRDefault="00A6605E">
      <w:pPr>
        <w:pStyle w:val="TOC2"/>
        <w:rPr>
          <w:rFonts w:asciiTheme="minorHAnsi" w:eastAsiaTheme="minorEastAsia" w:hAnsiTheme="minorHAnsi"/>
          <w:lang w:eastAsia="en-AU"/>
        </w:rPr>
      </w:pPr>
      <w:hyperlink w:anchor="_Toc530546469" w:history="1">
        <w:r w:rsidR="0026074F" w:rsidRPr="005119EC">
          <w:rPr>
            <w:rStyle w:val="Hyperlink"/>
          </w:rPr>
          <w:t>6.1</w:t>
        </w:r>
        <w:r w:rsidR="0026074F">
          <w:rPr>
            <w:rFonts w:asciiTheme="minorHAnsi" w:eastAsiaTheme="minorEastAsia" w:hAnsiTheme="minorHAnsi"/>
            <w:lang w:eastAsia="en-AU"/>
          </w:rPr>
          <w:tab/>
        </w:r>
        <w:r w:rsidR="0026074F" w:rsidRPr="005119EC">
          <w:rPr>
            <w:rStyle w:val="Hyperlink"/>
          </w:rPr>
          <w:t>Overview of the capacity trading platform</w:t>
        </w:r>
        <w:r w:rsidR="0026074F">
          <w:rPr>
            <w:webHidden/>
          </w:rPr>
          <w:tab/>
        </w:r>
        <w:r w:rsidR="0026074F">
          <w:rPr>
            <w:webHidden/>
          </w:rPr>
          <w:fldChar w:fldCharType="begin"/>
        </w:r>
        <w:r w:rsidR="0026074F">
          <w:rPr>
            <w:webHidden/>
          </w:rPr>
          <w:instrText xml:space="preserve"> PAGEREF _Toc530546469 \h </w:instrText>
        </w:r>
        <w:r w:rsidR="0026074F">
          <w:rPr>
            <w:webHidden/>
          </w:rPr>
        </w:r>
        <w:r w:rsidR="0026074F">
          <w:rPr>
            <w:webHidden/>
          </w:rPr>
          <w:fldChar w:fldCharType="separate"/>
        </w:r>
        <w:r w:rsidR="0026074F">
          <w:rPr>
            <w:webHidden/>
          </w:rPr>
          <w:t>59</w:t>
        </w:r>
        <w:r w:rsidR="0026074F">
          <w:rPr>
            <w:webHidden/>
          </w:rPr>
          <w:fldChar w:fldCharType="end"/>
        </w:r>
      </w:hyperlink>
    </w:p>
    <w:p w14:paraId="6ACD9761" w14:textId="405AE75E" w:rsidR="0026074F" w:rsidRDefault="00A6605E">
      <w:pPr>
        <w:pStyle w:val="TOC2"/>
        <w:rPr>
          <w:rFonts w:asciiTheme="minorHAnsi" w:eastAsiaTheme="minorEastAsia" w:hAnsiTheme="minorHAnsi"/>
          <w:lang w:eastAsia="en-AU"/>
        </w:rPr>
      </w:pPr>
      <w:hyperlink w:anchor="_Toc530546470" w:history="1">
        <w:r w:rsidR="0026074F" w:rsidRPr="005119EC">
          <w:rPr>
            <w:rStyle w:val="Hyperlink"/>
          </w:rPr>
          <w:t>6.2</w:t>
        </w:r>
        <w:r w:rsidR="0026074F">
          <w:rPr>
            <w:rFonts w:asciiTheme="minorHAnsi" w:eastAsiaTheme="minorEastAsia" w:hAnsiTheme="minorHAnsi"/>
            <w:lang w:eastAsia="en-AU"/>
          </w:rPr>
          <w:tab/>
        </w:r>
        <w:r w:rsidR="0026074F" w:rsidRPr="005119EC">
          <w:rPr>
            <w:rStyle w:val="Hyperlink"/>
          </w:rPr>
          <w:t>Legal and regulatory framework</w:t>
        </w:r>
        <w:r w:rsidR="0026074F">
          <w:rPr>
            <w:webHidden/>
          </w:rPr>
          <w:tab/>
        </w:r>
        <w:r w:rsidR="0026074F">
          <w:rPr>
            <w:webHidden/>
          </w:rPr>
          <w:fldChar w:fldCharType="begin"/>
        </w:r>
        <w:r w:rsidR="0026074F">
          <w:rPr>
            <w:webHidden/>
          </w:rPr>
          <w:instrText xml:space="preserve"> PAGEREF _Toc530546470 \h </w:instrText>
        </w:r>
        <w:r w:rsidR="0026074F">
          <w:rPr>
            <w:webHidden/>
          </w:rPr>
        </w:r>
        <w:r w:rsidR="0026074F">
          <w:rPr>
            <w:webHidden/>
          </w:rPr>
          <w:fldChar w:fldCharType="separate"/>
        </w:r>
        <w:r w:rsidR="0026074F">
          <w:rPr>
            <w:webHidden/>
          </w:rPr>
          <w:t>62</w:t>
        </w:r>
        <w:r w:rsidR="0026074F">
          <w:rPr>
            <w:webHidden/>
          </w:rPr>
          <w:fldChar w:fldCharType="end"/>
        </w:r>
      </w:hyperlink>
    </w:p>
    <w:p w14:paraId="6C355D8B" w14:textId="27222454" w:rsidR="0026074F" w:rsidRDefault="00A6605E">
      <w:pPr>
        <w:pStyle w:val="TOC1"/>
        <w:rPr>
          <w:rFonts w:asciiTheme="minorHAnsi" w:eastAsiaTheme="minorEastAsia" w:hAnsiTheme="minorHAnsi"/>
          <w:b w:val="0"/>
          <w:lang w:eastAsia="en-AU"/>
        </w:rPr>
      </w:pPr>
      <w:hyperlink w:anchor="_Toc530546471" w:history="1">
        <w:r w:rsidR="0026074F" w:rsidRPr="005119EC">
          <w:rPr>
            <w:rStyle w:val="Hyperlink"/>
          </w:rPr>
          <w:t>7.</w:t>
        </w:r>
        <w:r w:rsidR="0026074F">
          <w:rPr>
            <w:rFonts w:asciiTheme="minorHAnsi" w:eastAsiaTheme="minorEastAsia" w:hAnsiTheme="minorHAnsi"/>
            <w:b w:val="0"/>
            <w:lang w:eastAsia="en-AU"/>
          </w:rPr>
          <w:tab/>
        </w:r>
        <w:r w:rsidR="0026074F" w:rsidRPr="005119EC">
          <w:rPr>
            <w:rStyle w:val="Hyperlink"/>
          </w:rPr>
          <w:t>Day-ahead auction</w:t>
        </w:r>
        <w:r w:rsidR="0026074F">
          <w:rPr>
            <w:webHidden/>
          </w:rPr>
          <w:tab/>
        </w:r>
        <w:r w:rsidR="0026074F">
          <w:rPr>
            <w:webHidden/>
          </w:rPr>
          <w:fldChar w:fldCharType="begin"/>
        </w:r>
        <w:r w:rsidR="0026074F">
          <w:rPr>
            <w:webHidden/>
          </w:rPr>
          <w:instrText xml:space="preserve"> PAGEREF _Toc530546471 \h </w:instrText>
        </w:r>
        <w:r w:rsidR="0026074F">
          <w:rPr>
            <w:webHidden/>
          </w:rPr>
        </w:r>
        <w:r w:rsidR="0026074F">
          <w:rPr>
            <w:webHidden/>
          </w:rPr>
          <w:fldChar w:fldCharType="separate"/>
        </w:r>
        <w:r w:rsidR="0026074F">
          <w:rPr>
            <w:webHidden/>
          </w:rPr>
          <w:t>66</w:t>
        </w:r>
        <w:r w:rsidR="0026074F">
          <w:rPr>
            <w:webHidden/>
          </w:rPr>
          <w:fldChar w:fldCharType="end"/>
        </w:r>
      </w:hyperlink>
    </w:p>
    <w:p w14:paraId="5652A0B2" w14:textId="3C6D1508" w:rsidR="0026074F" w:rsidRDefault="00A6605E">
      <w:pPr>
        <w:pStyle w:val="TOC2"/>
        <w:rPr>
          <w:rFonts w:asciiTheme="minorHAnsi" w:eastAsiaTheme="minorEastAsia" w:hAnsiTheme="minorHAnsi"/>
          <w:lang w:eastAsia="en-AU"/>
        </w:rPr>
      </w:pPr>
      <w:hyperlink w:anchor="_Toc530546472" w:history="1">
        <w:r w:rsidR="0026074F" w:rsidRPr="005119EC">
          <w:rPr>
            <w:rStyle w:val="Hyperlink"/>
          </w:rPr>
          <w:t>7.1</w:t>
        </w:r>
        <w:r w:rsidR="0026074F">
          <w:rPr>
            <w:rFonts w:asciiTheme="minorHAnsi" w:eastAsiaTheme="minorEastAsia" w:hAnsiTheme="minorHAnsi"/>
            <w:lang w:eastAsia="en-AU"/>
          </w:rPr>
          <w:tab/>
        </w:r>
        <w:r w:rsidR="0026074F" w:rsidRPr="005119EC">
          <w:rPr>
            <w:rStyle w:val="Hyperlink"/>
          </w:rPr>
          <w:t>Overview of the day-ahead auction</w:t>
        </w:r>
        <w:r w:rsidR="0026074F">
          <w:rPr>
            <w:webHidden/>
          </w:rPr>
          <w:tab/>
        </w:r>
        <w:r w:rsidR="0026074F">
          <w:rPr>
            <w:webHidden/>
          </w:rPr>
          <w:fldChar w:fldCharType="begin"/>
        </w:r>
        <w:r w:rsidR="0026074F">
          <w:rPr>
            <w:webHidden/>
          </w:rPr>
          <w:instrText xml:space="preserve"> PAGEREF _Toc530546472 \h </w:instrText>
        </w:r>
        <w:r w:rsidR="0026074F">
          <w:rPr>
            <w:webHidden/>
          </w:rPr>
        </w:r>
        <w:r w:rsidR="0026074F">
          <w:rPr>
            <w:webHidden/>
          </w:rPr>
          <w:fldChar w:fldCharType="separate"/>
        </w:r>
        <w:r w:rsidR="0026074F">
          <w:rPr>
            <w:webHidden/>
          </w:rPr>
          <w:t>66</w:t>
        </w:r>
        <w:r w:rsidR="0026074F">
          <w:rPr>
            <w:webHidden/>
          </w:rPr>
          <w:fldChar w:fldCharType="end"/>
        </w:r>
      </w:hyperlink>
    </w:p>
    <w:p w14:paraId="3AEBA89A" w14:textId="131866D4" w:rsidR="0026074F" w:rsidRDefault="00A6605E">
      <w:pPr>
        <w:pStyle w:val="TOC2"/>
        <w:rPr>
          <w:rFonts w:asciiTheme="minorHAnsi" w:eastAsiaTheme="minorEastAsia" w:hAnsiTheme="minorHAnsi"/>
          <w:lang w:eastAsia="en-AU"/>
        </w:rPr>
      </w:pPr>
      <w:hyperlink w:anchor="_Toc530546473" w:history="1">
        <w:r w:rsidR="0026074F" w:rsidRPr="005119EC">
          <w:rPr>
            <w:rStyle w:val="Hyperlink"/>
          </w:rPr>
          <w:t>7.2</w:t>
        </w:r>
        <w:r w:rsidR="0026074F">
          <w:rPr>
            <w:rFonts w:asciiTheme="minorHAnsi" w:eastAsiaTheme="minorEastAsia" w:hAnsiTheme="minorHAnsi"/>
            <w:lang w:eastAsia="en-AU"/>
          </w:rPr>
          <w:tab/>
        </w:r>
        <w:r w:rsidR="0026074F" w:rsidRPr="005119EC">
          <w:rPr>
            <w:rStyle w:val="Hyperlink"/>
          </w:rPr>
          <w:t>Legal and regulatory framework</w:t>
        </w:r>
        <w:r w:rsidR="0026074F">
          <w:rPr>
            <w:webHidden/>
          </w:rPr>
          <w:tab/>
        </w:r>
        <w:r w:rsidR="0026074F">
          <w:rPr>
            <w:webHidden/>
          </w:rPr>
          <w:fldChar w:fldCharType="begin"/>
        </w:r>
        <w:r w:rsidR="0026074F">
          <w:rPr>
            <w:webHidden/>
          </w:rPr>
          <w:instrText xml:space="preserve"> PAGEREF _Toc530546473 \h </w:instrText>
        </w:r>
        <w:r w:rsidR="0026074F">
          <w:rPr>
            <w:webHidden/>
          </w:rPr>
        </w:r>
        <w:r w:rsidR="0026074F">
          <w:rPr>
            <w:webHidden/>
          </w:rPr>
          <w:fldChar w:fldCharType="separate"/>
        </w:r>
        <w:r w:rsidR="0026074F">
          <w:rPr>
            <w:webHidden/>
          </w:rPr>
          <w:t>74</w:t>
        </w:r>
        <w:r w:rsidR="0026074F">
          <w:rPr>
            <w:webHidden/>
          </w:rPr>
          <w:fldChar w:fldCharType="end"/>
        </w:r>
      </w:hyperlink>
    </w:p>
    <w:p w14:paraId="7DAFF0E9" w14:textId="5FC260A0" w:rsidR="0026074F" w:rsidRDefault="00A6605E">
      <w:pPr>
        <w:pStyle w:val="TOC1"/>
        <w:rPr>
          <w:rFonts w:asciiTheme="minorHAnsi" w:eastAsiaTheme="minorEastAsia" w:hAnsiTheme="minorHAnsi"/>
          <w:b w:val="0"/>
          <w:lang w:eastAsia="en-AU"/>
        </w:rPr>
      </w:pPr>
      <w:hyperlink w:anchor="_Toc530546474" w:history="1">
        <w:r w:rsidR="0026074F" w:rsidRPr="005119EC">
          <w:rPr>
            <w:rStyle w:val="Hyperlink"/>
          </w:rPr>
          <w:t>8.</w:t>
        </w:r>
        <w:r w:rsidR="0026074F">
          <w:rPr>
            <w:rFonts w:asciiTheme="minorHAnsi" w:eastAsiaTheme="minorEastAsia" w:hAnsiTheme="minorHAnsi"/>
            <w:b w:val="0"/>
            <w:lang w:eastAsia="en-AU"/>
          </w:rPr>
          <w:tab/>
        </w:r>
        <w:r w:rsidR="0026074F" w:rsidRPr="005119EC">
          <w:rPr>
            <w:rStyle w:val="Hyperlink"/>
          </w:rPr>
          <w:t>Reporting framework for secondary capacity trades and other transparency measures</w:t>
        </w:r>
        <w:r w:rsidR="0026074F">
          <w:rPr>
            <w:webHidden/>
          </w:rPr>
          <w:tab/>
        </w:r>
        <w:r w:rsidR="0026074F">
          <w:rPr>
            <w:webHidden/>
          </w:rPr>
          <w:fldChar w:fldCharType="begin"/>
        </w:r>
        <w:r w:rsidR="0026074F">
          <w:rPr>
            <w:webHidden/>
          </w:rPr>
          <w:instrText xml:space="preserve"> PAGEREF _Toc530546474 \h </w:instrText>
        </w:r>
        <w:r w:rsidR="0026074F">
          <w:rPr>
            <w:webHidden/>
          </w:rPr>
        </w:r>
        <w:r w:rsidR="0026074F">
          <w:rPr>
            <w:webHidden/>
          </w:rPr>
          <w:fldChar w:fldCharType="separate"/>
        </w:r>
        <w:r w:rsidR="0026074F">
          <w:rPr>
            <w:webHidden/>
          </w:rPr>
          <w:t>80</w:t>
        </w:r>
        <w:r w:rsidR="0026074F">
          <w:rPr>
            <w:webHidden/>
          </w:rPr>
          <w:fldChar w:fldCharType="end"/>
        </w:r>
      </w:hyperlink>
    </w:p>
    <w:p w14:paraId="61BA1A19" w14:textId="3E1DF655" w:rsidR="0026074F" w:rsidRDefault="00A6605E">
      <w:pPr>
        <w:pStyle w:val="TOC2"/>
        <w:rPr>
          <w:rFonts w:asciiTheme="minorHAnsi" w:eastAsiaTheme="minorEastAsia" w:hAnsiTheme="minorHAnsi"/>
          <w:lang w:eastAsia="en-AU"/>
        </w:rPr>
      </w:pPr>
      <w:hyperlink w:anchor="_Toc530546475" w:history="1">
        <w:r w:rsidR="0026074F" w:rsidRPr="005119EC">
          <w:rPr>
            <w:rStyle w:val="Hyperlink"/>
          </w:rPr>
          <w:t>8.1</w:t>
        </w:r>
        <w:r w:rsidR="0026074F">
          <w:rPr>
            <w:rFonts w:asciiTheme="minorHAnsi" w:eastAsiaTheme="minorEastAsia" w:hAnsiTheme="minorHAnsi"/>
            <w:lang w:eastAsia="en-AU"/>
          </w:rPr>
          <w:tab/>
        </w:r>
        <w:r w:rsidR="0026074F" w:rsidRPr="005119EC">
          <w:rPr>
            <w:rStyle w:val="Hyperlink"/>
          </w:rPr>
          <w:t>Overview of transparency measures</w:t>
        </w:r>
        <w:r w:rsidR="0026074F">
          <w:rPr>
            <w:webHidden/>
          </w:rPr>
          <w:tab/>
        </w:r>
        <w:r w:rsidR="0026074F">
          <w:rPr>
            <w:webHidden/>
          </w:rPr>
          <w:fldChar w:fldCharType="begin"/>
        </w:r>
        <w:r w:rsidR="0026074F">
          <w:rPr>
            <w:webHidden/>
          </w:rPr>
          <w:instrText xml:space="preserve"> PAGEREF _Toc530546475 \h </w:instrText>
        </w:r>
        <w:r w:rsidR="0026074F">
          <w:rPr>
            <w:webHidden/>
          </w:rPr>
        </w:r>
        <w:r w:rsidR="0026074F">
          <w:rPr>
            <w:webHidden/>
          </w:rPr>
          <w:fldChar w:fldCharType="separate"/>
        </w:r>
        <w:r w:rsidR="0026074F">
          <w:rPr>
            <w:webHidden/>
          </w:rPr>
          <w:t>80</w:t>
        </w:r>
        <w:r w:rsidR="0026074F">
          <w:rPr>
            <w:webHidden/>
          </w:rPr>
          <w:fldChar w:fldCharType="end"/>
        </w:r>
      </w:hyperlink>
    </w:p>
    <w:p w14:paraId="3B8809DF" w14:textId="0798DF1F" w:rsidR="0026074F" w:rsidRDefault="00A6605E">
      <w:pPr>
        <w:pStyle w:val="TOC2"/>
        <w:rPr>
          <w:rFonts w:asciiTheme="minorHAnsi" w:eastAsiaTheme="minorEastAsia" w:hAnsiTheme="minorHAnsi"/>
          <w:lang w:eastAsia="en-AU"/>
        </w:rPr>
      </w:pPr>
      <w:hyperlink w:anchor="_Toc530546476" w:history="1">
        <w:r w:rsidR="0026074F" w:rsidRPr="005119EC">
          <w:rPr>
            <w:rStyle w:val="Hyperlink"/>
          </w:rPr>
          <w:t>8.2</w:t>
        </w:r>
        <w:r w:rsidR="0026074F">
          <w:rPr>
            <w:rFonts w:asciiTheme="minorHAnsi" w:eastAsiaTheme="minorEastAsia" w:hAnsiTheme="minorHAnsi"/>
            <w:lang w:eastAsia="en-AU"/>
          </w:rPr>
          <w:tab/>
        </w:r>
        <w:r w:rsidR="0026074F" w:rsidRPr="005119EC">
          <w:rPr>
            <w:rStyle w:val="Hyperlink"/>
          </w:rPr>
          <w:t>Legal and regulatory framework</w:t>
        </w:r>
        <w:r w:rsidR="0026074F">
          <w:rPr>
            <w:webHidden/>
          </w:rPr>
          <w:tab/>
        </w:r>
        <w:r w:rsidR="0026074F">
          <w:rPr>
            <w:webHidden/>
          </w:rPr>
          <w:fldChar w:fldCharType="begin"/>
        </w:r>
        <w:r w:rsidR="0026074F">
          <w:rPr>
            <w:webHidden/>
          </w:rPr>
          <w:instrText xml:space="preserve"> PAGEREF _Toc530546476 \h </w:instrText>
        </w:r>
        <w:r w:rsidR="0026074F">
          <w:rPr>
            <w:webHidden/>
          </w:rPr>
        </w:r>
        <w:r w:rsidR="0026074F">
          <w:rPr>
            <w:webHidden/>
          </w:rPr>
          <w:fldChar w:fldCharType="separate"/>
        </w:r>
        <w:r w:rsidR="0026074F">
          <w:rPr>
            <w:webHidden/>
          </w:rPr>
          <w:t>84</w:t>
        </w:r>
        <w:r w:rsidR="0026074F">
          <w:rPr>
            <w:webHidden/>
          </w:rPr>
          <w:fldChar w:fldCharType="end"/>
        </w:r>
      </w:hyperlink>
    </w:p>
    <w:p w14:paraId="6CEF9337" w14:textId="0E165371" w:rsidR="0026074F" w:rsidRDefault="00A6605E">
      <w:pPr>
        <w:pStyle w:val="TOC1"/>
        <w:rPr>
          <w:rFonts w:asciiTheme="minorHAnsi" w:eastAsiaTheme="minorEastAsia" w:hAnsiTheme="minorHAnsi"/>
          <w:b w:val="0"/>
          <w:lang w:eastAsia="en-AU"/>
        </w:rPr>
      </w:pPr>
      <w:hyperlink w:anchor="_Toc530546477" w:history="1">
        <w:r w:rsidR="0026074F" w:rsidRPr="005119EC">
          <w:rPr>
            <w:rStyle w:val="Hyperlink"/>
          </w:rPr>
          <w:t>9.</w:t>
        </w:r>
        <w:r w:rsidR="0026074F">
          <w:rPr>
            <w:rFonts w:asciiTheme="minorHAnsi" w:eastAsiaTheme="minorEastAsia" w:hAnsiTheme="minorHAnsi"/>
            <w:b w:val="0"/>
            <w:lang w:eastAsia="en-AU"/>
          </w:rPr>
          <w:tab/>
        </w:r>
        <w:r w:rsidR="0026074F" w:rsidRPr="005119EC">
          <w:rPr>
            <w:rStyle w:val="Hyperlink"/>
          </w:rPr>
          <w:t>Standard market timetable</w:t>
        </w:r>
        <w:r w:rsidR="0026074F">
          <w:rPr>
            <w:webHidden/>
          </w:rPr>
          <w:tab/>
        </w:r>
        <w:r w:rsidR="0026074F">
          <w:rPr>
            <w:webHidden/>
          </w:rPr>
          <w:fldChar w:fldCharType="begin"/>
        </w:r>
        <w:r w:rsidR="0026074F">
          <w:rPr>
            <w:webHidden/>
          </w:rPr>
          <w:instrText xml:space="preserve"> PAGEREF _Toc530546477 \h </w:instrText>
        </w:r>
        <w:r w:rsidR="0026074F">
          <w:rPr>
            <w:webHidden/>
          </w:rPr>
        </w:r>
        <w:r w:rsidR="0026074F">
          <w:rPr>
            <w:webHidden/>
          </w:rPr>
          <w:fldChar w:fldCharType="separate"/>
        </w:r>
        <w:r w:rsidR="0026074F">
          <w:rPr>
            <w:webHidden/>
          </w:rPr>
          <w:t>88</w:t>
        </w:r>
        <w:r w:rsidR="0026074F">
          <w:rPr>
            <w:webHidden/>
          </w:rPr>
          <w:fldChar w:fldCharType="end"/>
        </w:r>
      </w:hyperlink>
    </w:p>
    <w:p w14:paraId="3DEF91B4" w14:textId="1E241ADA" w:rsidR="0026074F" w:rsidRDefault="00A6605E">
      <w:pPr>
        <w:pStyle w:val="TOC2"/>
        <w:rPr>
          <w:rFonts w:asciiTheme="minorHAnsi" w:eastAsiaTheme="minorEastAsia" w:hAnsiTheme="minorHAnsi"/>
          <w:lang w:eastAsia="en-AU"/>
        </w:rPr>
      </w:pPr>
      <w:hyperlink w:anchor="_Toc530546478" w:history="1">
        <w:r w:rsidR="0026074F" w:rsidRPr="005119EC">
          <w:rPr>
            <w:rStyle w:val="Hyperlink"/>
          </w:rPr>
          <w:t>9.1</w:t>
        </w:r>
        <w:r w:rsidR="0026074F">
          <w:rPr>
            <w:rFonts w:asciiTheme="minorHAnsi" w:eastAsiaTheme="minorEastAsia" w:hAnsiTheme="minorHAnsi"/>
            <w:lang w:eastAsia="en-AU"/>
          </w:rPr>
          <w:tab/>
        </w:r>
        <w:r w:rsidR="0026074F" w:rsidRPr="005119EC">
          <w:rPr>
            <w:rStyle w:val="Hyperlink"/>
          </w:rPr>
          <w:t>Overview of the standard market timetable</w:t>
        </w:r>
        <w:r w:rsidR="0026074F">
          <w:rPr>
            <w:webHidden/>
          </w:rPr>
          <w:tab/>
        </w:r>
        <w:r w:rsidR="0026074F">
          <w:rPr>
            <w:webHidden/>
          </w:rPr>
          <w:fldChar w:fldCharType="begin"/>
        </w:r>
        <w:r w:rsidR="0026074F">
          <w:rPr>
            <w:webHidden/>
          </w:rPr>
          <w:instrText xml:space="preserve"> PAGEREF _Toc530546478 \h </w:instrText>
        </w:r>
        <w:r w:rsidR="0026074F">
          <w:rPr>
            <w:webHidden/>
          </w:rPr>
        </w:r>
        <w:r w:rsidR="0026074F">
          <w:rPr>
            <w:webHidden/>
          </w:rPr>
          <w:fldChar w:fldCharType="separate"/>
        </w:r>
        <w:r w:rsidR="0026074F">
          <w:rPr>
            <w:webHidden/>
          </w:rPr>
          <w:t>88</w:t>
        </w:r>
        <w:r w:rsidR="0026074F">
          <w:rPr>
            <w:webHidden/>
          </w:rPr>
          <w:fldChar w:fldCharType="end"/>
        </w:r>
      </w:hyperlink>
    </w:p>
    <w:p w14:paraId="2AB56F73" w14:textId="6DBA9EA0" w:rsidR="0026074F" w:rsidRDefault="00A6605E">
      <w:pPr>
        <w:pStyle w:val="TOC2"/>
        <w:rPr>
          <w:rFonts w:asciiTheme="minorHAnsi" w:eastAsiaTheme="minorEastAsia" w:hAnsiTheme="minorHAnsi"/>
          <w:lang w:eastAsia="en-AU"/>
        </w:rPr>
      </w:pPr>
      <w:hyperlink w:anchor="_Toc530546479" w:history="1">
        <w:r w:rsidR="0026074F" w:rsidRPr="005119EC">
          <w:rPr>
            <w:rStyle w:val="Hyperlink"/>
          </w:rPr>
          <w:t>9.2</w:t>
        </w:r>
        <w:r w:rsidR="0026074F">
          <w:rPr>
            <w:rFonts w:asciiTheme="minorHAnsi" w:eastAsiaTheme="minorEastAsia" w:hAnsiTheme="minorHAnsi"/>
            <w:lang w:eastAsia="en-AU"/>
          </w:rPr>
          <w:tab/>
        </w:r>
        <w:r w:rsidR="0026074F" w:rsidRPr="005119EC">
          <w:rPr>
            <w:rStyle w:val="Hyperlink"/>
          </w:rPr>
          <w:t>Legal and regulatory framework</w:t>
        </w:r>
        <w:r w:rsidR="0026074F">
          <w:rPr>
            <w:webHidden/>
          </w:rPr>
          <w:tab/>
        </w:r>
        <w:r w:rsidR="0026074F">
          <w:rPr>
            <w:webHidden/>
          </w:rPr>
          <w:fldChar w:fldCharType="begin"/>
        </w:r>
        <w:r w:rsidR="0026074F">
          <w:rPr>
            <w:webHidden/>
          </w:rPr>
          <w:instrText xml:space="preserve"> PAGEREF _Toc530546479 \h </w:instrText>
        </w:r>
        <w:r w:rsidR="0026074F">
          <w:rPr>
            <w:webHidden/>
          </w:rPr>
        </w:r>
        <w:r w:rsidR="0026074F">
          <w:rPr>
            <w:webHidden/>
          </w:rPr>
          <w:fldChar w:fldCharType="separate"/>
        </w:r>
        <w:r w:rsidR="0026074F">
          <w:rPr>
            <w:webHidden/>
          </w:rPr>
          <w:t>90</w:t>
        </w:r>
        <w:r w:rsidR="0026074F">
          <w:rPr>
            <w:webHidden/>
          </w:rPr>
          <w:fldChar w:fldCharType="end"/>
        </w:r>
      </w:hyperlink>
    </w:p>
    <w:p w14:paraId="0D814614" w14:textId="3E1816A5" w:rsidR="0026074F" w:rsidRDefault="00A6605E">
      <w:pPr>
        <w:pStyle w:val="TOC1"/>
        <w:rPr>
          <w:rFonts w:asciiTheme="minorHAnsi" w:eastAsiaTheme="minorEastAsia" w:hAnsiTheme="minorHAnsi"/>
          <w:b w:val="0"/>
          <w:lang w:eastAsia="en-AU"/>
        </w:rPr>
      </w:pPr>
      <w:hyperlink w:anchor="_Toc530546480" w:history="1">
        <w:r w:rsidR="0026074F" w:rsidRPr="005119EC">
          <w:rPr>
            <w:rStyle w:val="Hyperlink"/>
          </w:rPr>
          <w:t>10.</w:t>
        </w:r>
        <w:r w:rsidR="0026074F">
          <w:rPr>
            <w:rFonts w:asciiTheme="minorHAnsi" w:eastAsiaTheme="minorEastAsia" w:hAnsiTheme="minorHAnsi"/>
            <w:b w:val="0"/>
            <w:lang w:eastAsia="en-AU"/>
          </w:rPr>
          <w:tab/>
        </w:r>
        <w:r w:rsidR="0026074F" w:rsidRPr="005119EC">
          <w:rPr>
            <w:rStyle w:val="Hyperlink"/>
          </w:rPr>
          <w:t>Key timings for obligations under the reform package</w:t>
        </w:r>
        <w:r w:rsidR="0026074F">
          <w:rPr>
            <w:webHidden/>
          </w:rPr>
          <w:tab/>
        </w:r>
        <w:r w:rsidR="0026074F">
          <w:rPr>
            <w:webHidden/>
          </w:rPr>
          <w:fldChar w:fldCharType="begin"/>
        </w:r>
        <w:r w:rsidR="0026074F">
          <w:rPr>
            <w:webHidden/>
          </w:rPr>
          <w:instrText xml:space="preserve"> PAGEREF _Toc530546480 \h </w:instrText>
        </w:r>
        <w:r w:rsidR="0026074F">
          <w:rPr>
            <w:webHidden/>
          </w:rPr>
        </w:r>
        <w:r w:rsidR="0026074F">
          <w:rPr>
            <w:webHidden/>
          </w:rPr>
          <w:fldChar w:fldCharType="separate"/>
        </w:r>
        <w:r w:rsidR="0026074F">
          <w:rPr>
            <w:webHidden/>
          </w:rPr>
          <w:t>93</w:t>
        </w:r>
        <w:r w:rsidR="0026074F">
          <w:rPr>
            <w:webHidden/>
          </w:rPr>
          <w:fldChar w:fldCharType="end"/>
        </w:r>
      </w:hyperlink>
    </w:p>
    <w:p w14:paraId="336A22B1" w14:textId="06DA79FF" w:rsidR="0026074F" w:rsidRDefault="00A6605E">
      <w:pPr>
        <w:pStyle w:val="TOC1"/>
        <w:tabs>
          <w:tab w:val="left" w:pos="1540"/>
        </w:tabs>
        <w:rPr>
          <w:rFonts w:asciiTheme="minorHAnsi" w:eastAsiaTheme="minorEastAsia" w:hAnsiTheme="minorHAnsi"/>
          <w:b w:val="0"/>
          <w:lang w:eastAsia="en-AU"/>
        </w:rPr>
      </w:pPr>
      <w:hyperlink w:anchor="_Toc530546481" w:history="1">
        <w:r w:rsidR="0026074F" w:rsidRPr="005119EC">
          <w:rPr>
            <w:rStyle w:val="Hyperlink"/>
          </w:rPr>
          <w:t>Appendix A</w:t>
        </w:r>
        <w:r w:rsidR="0026074F">
          <w:rPr>
            <w:rFonts w:asciiTheme="minorHAnsi" w:eastAsiaTheme="minorEastAsia" w:hAnsiTheme="minorHAnsi"/>
            <w:b w:val="0"/>
            <w:lang w:eastAsia="en-AU"/>
          </w:rPr>
          <w:tab/>
        </w:r>
        <w:r w:rsidR="0026074F" w:rsidRPr="005119EC">
          <w:rPr>
            <w:rStyle w:val="Hyperlink"/>
          </w:rPr>
          <w:t>Stakeholder feedback</w:t>
        </w:r>
        <w:r w:rsidR="0026074F">
          <w:rPr>
            <w:webHidden/>
          </w:rPr>
          <w:tab/>
        </w:r>
        <w:r w:rsidR="0026074F">
          <w:rPr>
            <w:webHidden/>
          </w:rPr>
          <w:fldChar w:fldCharType="begin"/>
        </w:r>
        <w:r w:rsidR="0026074F">
          <w:rPr>
            <w:webHidden/>
          </w:rPr>
          <w:instrText xml:space="preserve"> PAGEREF _Toc530546481 \h </w:instrText>
        </w:r>
        <w:r w:rsidR="0026074F">
          <w:rPr>
            <w:webHidden/>
          </w:rPr>
        </w:r>
        <w:r w:rsidR="0026074F">
          <w:rPr>
            <w:webHidden/>
          </w:rPr>
          <w:fldChar w:fldCharType="separate"/>
        </w:r>
        <w:r w:rsidR="0026074F">
          <w:rPr>
            <w:webHidden/>
          </w:rPr>
          <w:t>97</w:t>
        </w:r>
        <w:r w:rsidR="0026074F">
          <w:rPr>
            <w:webHidden/>
          </w:rPr>
          <w:fldChar w:fldCharType="end"/>
        </w:r>
      </w:hyperlink>
    </w:p>
    <w:p w14:paraId="7F223B8F" w14:textId="515B2D0D" w:rsidR="00C04CFF" w:rsidRPr="00C55946" w:rsidRDefault="005A552A" w:rsidP="00C04CFF">
      <w:pPr>
        <w:sectPr w:rsidR="00C04CFF" w:rsidRPr="00C55946" w:rsidSect="00C04CFF">
          <w:footerReference w:type="default" r:id="rId15"/>
          <w:pgSz w:w="11907" w:h="16840" w:code="9"/>
          <w:pgMar w:top="1361" w:right="1418" w:bottom="992" w:left="1701" w:header="567" w:footer="397" w:gutter="0"/>
          <w:pgNumType w:fmt="lowerRoman" w:start="1"/>
          <w:cols w:space="708"/>
          <w:docGrid w:linePitch="360"/>
        </w:sectPr>
      </w:pPr>
      <w:r>
        <w:rPr>
          <w:rFonts w:eastAsiaTheme="minorEastAsia" w:cstheme="minorBidi"/>
          <w:noProof/>
          <w:lang w:eastAsia="en-US"/>
        </w:rPr>
        <w:fldChar w:fldCharType="end"/>
      </w:r>
    </w:p>
    <w:p w14:paraId="5F53E4CB" w14:textId="77777777" w:rsidR="00C04CFF" w:rsidRDefault="00C04CFF" w:rsidP="00C04CFF">
      <w:pPr>
        <w:pStyle w:val="ExecSummHeading1"/>
        <w:spacing w:after="0"/>
      </w:pPr>
      <w:bookmarkStart w:id="6" w:name="_Toc530546444"/>
      <w:r>
        <w:lastRenderedPageBreak/>
        <w:t>Abbreviations</w:t>
      </w:r>
      <w:bookmarkEnd w:id="6"/>
    </w:p>
    <w:tbl>
      <w:tblPr>
        <w:tblStyle w:val="TableGrid"/>
        <w:tblW w:w="0" w:type="auto"/>
        <w:tblLook w:val="06A0" w:firstRow="1" w:lastRow="0" w:firstColumn="1" w:lastColumn="0" w:noHBand="1" w:noVBand="1"/>
        <w:tblCaption w:val="Abbreviations table"/>
        <w:tblDescription w:val="Table of abbreviations used throughout the document"/>
      </w:tblPr>
      <w:tblGrid>
        <w:gridCol w:w="2127"/>
        <w:gridCol w:w="6378"/>
      </w:tblGrid>
      <w:tr w:rsidR="00C04CFF" w:rsidRPr="004C3FE0" w14:paraId="116A63F0" w14:textId="77777777" w:rsidTr="00C04CFF">
        <w:trPr>
          <w:cnfStyle w:val="100000000000" w:firstRow="1" w:lastRow="0" w:firstColumn="0" w:lastColumn="0" w:oddVBand="0" w:evenVBand="0" w:oddHBand="0" w:evenHBand="0" w:firstRowFirstColumn="0" w:firstRowLastColumn="0" w:lastRowFirstColumn="0" w:lastRowLastColumn="0"/>
          <w:tblHeader/>
        </w:trPr>
        <w:tc>
          <w:tcPr>
            <w:tcW w:w="2127" w:type="dxa"/>
            <w:tcBorders>
              <w:bottom w:val="single" w:sz="4" w:space="0" w:color="auto"/>
            </w:tcBorders>
            <w:shd w:val="clear" w:color="auto" w:fill="0099CC"/>
          </w:tcPr>
          <w:p w14:paraId="307D25BA" w14:textId="77777777" w:rsidR="00C04CFF" w:rsidRPr="004C3FE0" w:rsidRDefault="00C04CFF" w:rsidP="00C04CFF">
            <w:pPr>
              <w:ind w:left="74" w:right="74"/>
              <w:rPr>
                <w:szCs w:val="18"/>
              </w:rPr>
            </w:pPr>
            <w:r w:rsidRPr="004C3FE0">
              <w:rPr>
                <w:szCs w:val="18"/>
              </w:rPr>
              <w:t>Term</w:t>
            </w:r>
          </w:p>
        </w:tc>
        <w:tc>
          <w:tcPr>
            <w:tcW w:w="6378" w:type="dxa"/>
            <w:tcBorders>
              <w:bottom w:val="single" w:sz="4" w:space="0" w:color="auto"/>
            </w:tcBorders>
            <w:shd w:val="clear" w:color="auto" w:fill="0099CC"/>
          </w:tcPr>
          <w:p w14:paraId="4C1D0C36" w14:textId="77777777" w:rsidR="00C04CFF" w:rsidRPr="004C3FE0" w:rsidRDefault="00C04CFF" w:rsidP="00C04CFF">
            <w:pPr>
              <w:ind w:left="74" w:right="74"/>
              <w:rPr>
                <w:szCs w:val="18"/>
              </w:rPr>
            </w:pPr>
            <w:r w:rsidRPr="004C3FE0">
              <w:rPr>
                <w:szCs w:val="18"/>
              </w:rPr>
              <w:t>Definition</w:t>
            </w:r>
          </w:p>
        </w:tc>
      </w:tr>
      <w:tr w:rsidR="00C04CFF" w:rsidRPr="004C3FE0" w14:paraId="6AA123B7" w14:textId="77777777" w:rsidTr="00C04CFF">
        <w:tc>
          <w:tcPr>
            <w:tcW w:w="2127" w:type="dxa"/>
          </w:tcPr>
          <w:p w14:paraId="3988AC61" w14:textId="77777777" w:rsidR="00C04CFF" w:rsidRPr="004C3FE0" w:rsidRDefault="00C04CFF" w:rsidP="00C04CFF">
            <w:pPr>
              <w:ind w:left="74" w:right="74"/>
              <w:rPr>
                <w:szCs w:val="18"/>
              </w:rPr>
            </w:pPr>
            <w:r w:rsidRPr="004C3FE0">
              <w:rPr>
                <w:szCs w:val="18"/>
              </w:rPr>
              <w:t>AEMC</w:t>
            </w:r>
          </w:p>
        </w:tc>
        <w:tc>
          <w:tcPr>
            <w:tcW w:w="6378" w:type="dxa"/>
          </w:tcPr>
          <w:p w14:paraId="4B49D5F0" w14:textId="77777777" w:rsidR="00C04CFF" w:rsidRPr="004C3FE0" w:rsidRDefault="00C04CFF" w:rsidP="00C04CFF">
            <w:pPr>
              <w:ind w:left="74" w:right="74"/>
              <w:rPr>
                <w:szCs w:val="18"/>
              </w:rPr>
            </w:pPr>
            <w:r w:rsidRPr="004C3FE0">
              <w:rPr>
                <w:szCs w:val="18"/>
              </w:rPr>
              <w:t>Australian Energy Market Commission</w:t>
            </w:r>
          </w:p>
        </w:tc>
      </w:tr>
      <w:tr w:rsidR="00C04CFF" w:rsidRPr="004C3FE0" w14:paraId="743DD701" w14:textId="77777777" w:rsidTr="00C04CFF">
        <w:tc>
          <w:tcPr>
            <w:tcW w:w="2127" w:type="dxa"/>
          </w:tcPr>
          <w:p w14:paraId="42E400EB" w14:textId="77777777" w:rsidR="00C04CFF" w:rsidRPr="004C3FE0" w:rsidRDefault="00C04CFF" w:rsidP="00C04CFF">
            <w:pPr>
              <w:ind w:left="74" w:right="74"/>
              <w:rPr>
                <w:szCs w:val="18"/>
              </w:rPr>
            </w:pPr>
            <w:r w:rsidRPr="004C3FE0">
              <w:rPr>
                <w:szCs w:val="18"/>
              </w:rPr>
              <w:t>AEMO</w:t>
            </w:r>
          </w:p>
        </w:tc>
        <w:tc>
          <w:tcPr>
            <w:tcW w:w="6378" w:type="dxa"/>
          </w:tcPr>
          <w:p w14:paraId="4003FE41" w14:textId="77777777" w:rsidR="00C04CFF" w:rsidRPr="004C3FE0" w:rsidRDefault="00C04CFF" w:rsidP="00C04CFF">
            <w:pPr>
              <w:ind w:left="74" w:right="74"/>
              <w:rPr>
                <w:szCs w:val="18"/>
              </w:rPr>
            </w:pPr>
            <w:r w:rsidRPr="004C3FE0">
              <w:rPr>
                <w:szCs w:val="18"/>
              </w:rPr>
              <w:t>Australian Energy Market Operator</w:t>
            </w:r>
          </w:p>
        </w:tc>
      </w:tr>
      <w:tr w:rsidR="00C04CFF" w:rsidRPr="004C3FE0" w14:paraId="4B5E3D6D" w14:textId="77777777" w:rsidTr="00C04CFF">
        <w:tc>
          <w:tcPr>
            <w:tcW w:w="2127" w:type="dxa"/>
          </w:tcPr>
          <w:p w14:paraId="036E47F0" w14:textId="77777777" w:rsidR="00C04CFF" w:rsidRPr="004C3FE0" w:rsidRDefault="00C04CFF" w:rsidP="00C04CFF">
            <w:pPr>
              <w:ind w:left="74" w:right="74"/>
              <w:rPr>
                <w:szCs w:val="18"/>
              </w:rPr>
            </w:pPr>
            <w:r w:rsidRPr="004C3FE0">
              <w:rPr>
                <w:szCs w:val="18"/>
              </w:rPr>
              <w:t>AER</w:t>
            </w:r>
          </w:p>
        </w:tc>
        <w:tc>
          <w:tcPr>
            <w:tcW w:w="6378" w:type="dxa"/>
          </w:tcPr>
          <w:p w14:paraId="38CA7E5B" w14:textId="77777777" w:rsidR="00C04CFF" w:rsidRPr="004C3FE0" w:rsidRDefault="00C04CFF" w:rsidP="00C04CFF">
            <w:pPr>
              <w:ind w:left="74" w:right="74"/>
              <w:rPr>
                <w:szCs w:val="18"/>
              </w:rPr>
            </w:pPr>
            <w:r w:rsidRPr="004C3FE0">
              <w:rPr>
                <w:szCs w:val="18"/>
              </w:rPr>
              <w:t>Australian Energy Regulator</w:t>
            </w:r>
          </w:p>
        </w:tc>
      </w:tr>
      <w:tr w:rsidR="00C04CFF" w:rsidRPr="004C3FE0" w14:paraId="6E175B4A" w14:textId="77777777" w:rsidTr="00C04CFF">
        <w:tc>
          <w:tcPr>
            <w:tcW w:w="2127" w:type="dxa"/>
          </w:tcPr>
          <w:p w14:paraId="79676CAA" w14:textId="77777777" w:rsidR="00C04CFF" w:rsidRPr="004C3FE0" w:rsidRDefault="00C04CFF" w:rsidP="00C04CFF">
            <w:pPr>
              <w:ind w:left="74" w:right="74"/>
              <w:rPr>
                <w:szCs w:val="18"/>
              </w:rPr>
            </w:pPr>
            <w:r w:rsidRPr="004C3FE0">
              <w:rPr>
                <w:szCs w:val="18"/>
              </w:rPr>
              <w:t>AEST</w:t>
            </w:r>
          </w:p>
        </w:tc>
        <w:tc>
          <w:tcPr>
            <w:tcW w:w="6378" w:type="dxa"/>
          </w:tcPr>
          <w:p w14:paraId="0FC0AF72" w14:textId="77777777" w:rsidR="00C04CFF" w:rsidRPr="004C3FE0" w:rsidRDefault="00C04CFF" w:rsidP="00C04CFF">
            <w:pPr>
              <w:ind w:left="74" w:right="74"/>
              <w:rPr>
                <w:szCs w:val="18"/>
              </w:rPr>
            </w:pPr>
            <w:r w:rsidRPr="004C3FE0">
              <w:rPr>
                <w:szCs w:val="18"/>
              </w:rPr>
              <w:t>Australian Eastern Standard Time</w:t>
            </w:r>
          </w:p>
        </w:tc>
      </w:tr>
      <w:tr w:rsidR="00C04CFF" w:rsidRPr="004C3FE0" w14:paraId="0EFB652D" w14:textId="77777777" w:rsidTr="00C04CFF">
        <w:tc>
          <w:tcPr>
            <w:tcW w:w="2127" w:type="dxa"/>
          </w:tcPr>
          <w:p w14:paraId="11160C8A" w14:textId="77777777" w:rsidR="00C04CFF" w:rsidRPr="004C3FE0" w:rsidRDefault="00C04CFF" w:rsidP="00C04CFF">
            <w:pPr>
              <w:ind w:left="74" w:right="74"/>
              <w:rPr>
                <w:szCs w:val="18"/>
              </w:rPr>
            </w:pPr>
            <w:r>
              <w:rPr>
                <w:szCs w:val="18"/>
              </w:rPr>
              <w:t>APGA</w:t>
            </w:r>
          </w:p>
        </w:tc>
        <w:tc>
          <w:tcPr>
            <w:tcW w:w="6378" w:type="dxa"/>
          </w:tcPr>
          <w:p w14:paraId="15EBB7EB" w14:textId="77777777" w:rsidR="00C04CFF" w:rsidRPr="004C3FE0" w:rsidRDefault="00C04CFF" w:rsidP="00C04CFF">
            <w:pPr>
              <w:ind w:left="74" w:right="74"/>
              <w:rPr>
                <w:szCs w:val="18"/>
              </w:rPr>
            </w:pPr>
            <w:r w:rsidRPr="009D1221">
              <w:rPr>
                <w:lang w:val="en-US"/>
              </w:rPr>
              <w:t>A</w:t>
            </w:r>
            <w:r>
              <w:rPr>
                <w:lang w:val="en-US"/>
              </w:rPr>
              <w:t xml:space="preserve">ustralian </w:t>
            </w:r>
            <w:r w:rsidRPr="009D1221">
              <w:rPr>
                <w:lang w:val="en-US"/>
              </w:rPr>
              <w:t>P</w:t>
            </w:r>
            <w:r>
              <w:rPr>
                <w:lang w:val="en-US"/>
              </w:rPr>
              <w:t xml:space="preserve">ipelines and </w:t>
            </w:r>
            <w:r w:rsidRPr="009D1221">
              <w:rPr>
                <w:lang w:val="en-US"/>
              </w:rPr>
              <w:t>G</w:t>
            </w:r>
            <w:r>
              <w:rPr>
                <w:lang w:val="en-US"/>
              </w:rPr>
              <w:t xml:space="preserve">as </w:t>
            </w:r>
            <w:r w:rsidRPr="009D1221">
              <w:rPr>
                <w:lang w:val="en-US"/>
              </w:rPr>
              <w:t>A</w:t>
            </w:r>
            <w:r>
              <w:rPr>
                <w:lang w:val="en-US"/>
              </w:rPr>
              <w:t>ssociation</w:t>
            </w:r>
          </w:p>
        </w:tc>
      </w:tr>
      <w:tr w:rsidR="00DC2486" w:rsidRPr="004C3FE0" w14:paraId="08D3EF04" w14:textId="77777777" w:rsidTr="00C04CFF">
        <w:tc>
          <w:tcPr>
            <w:tcW w:w="2127" w:type="dxa"/>
          </w:tcPr>
          <w:p w14:paraId="5D6528AB" w14:textId="77777777" w:rsidR="00DC2486" w:rsidRDefault="00DC2486" w:rsidP="00DC2486">
            <w:pPr>
              <w:ind w:left="74" w:right="74"/>
              <w:rPr>
                <w:szCs w:val="18"/>
              </w:rPr>
            </w:pPr>
            <w:r>
              <w:rPr>
                <w:szCs w:val="18"/>
              </w:rPr>
              <w:t>APLNG</w:t>
            </w:r>
          </w:p>
        </w:tc>
        <w:tc>
          <w:tcPr>
            <w:tcW w:w="6378" w:type="dxa"/>
          </w:tcPr>
          <w:p w14:paraId="0CD6003D" w14:textId="77777777" w:rsidR="00DC2486" w:rsidRPr="009D1221" w:rsidRDefault="00DC2486" w:rsidP="00DC2486">
            <w:pPr>
              <w:ind w:left="74" w:right="74"/>
              <w:rPr>
                <w:lang w:val="en-US"/>
              </w:rPr>
            </w:pPr>
            <w:r>
              <w:rPr>
                <w:lang w:val="en-US"/>
              </w:rPr>
              <w:t>Australia Pacific LNG Pty Limited</w:t>
            </w:r>
          </w:p>
        </w:tc>
      </w:tr>
      <w:tr w:rsidR="00C04CFF" w:rsidRPr="00E37A1E" w14:paraId="6722890B" w14:textId="77777777" w:rsidTr="00C04CFF">
        <w:tc>
          <w:tcPr>
            <w:tcW w:w="2127" w:type="dxa"/>
          </w:tcPr>
          <w:p w14:paraId="45853189" w14:textId="77777777" w:rsidR="00C04CFF" w:rsidRPr="00E37A1E" w:rsidRDefault="00C04CFF" w:rsidP="00C04CFF">
            <w:pPr>
              <w:ind w:left="74" w:right="74"/>
              <w:rPr>
                <w:rFonts w:cs="Arial"/>
                <w:szCs w:val="18"/>
              </w:rPr>
            </w:pPr>
            <w:r w:rsidRPr="00E37A1E">
              <w:rPr>
                <w:rFonts w:cs="Arial"/>
                <w:szCs w:val="18"/>
              </w:rPr>
              <w:t>BB</w:t>
            </w:r>
            <w:r w:rsidR="00D529D6">
              <w:rPr>
                <w:rFonts w:cs="Arial"/>
                <w:szCs w:val="18"/>
              </w:rPr>
              <w:t xml:space="preserve"> or Bulletin Board</w:t>
            </w:r>
          </w:p>
        </w:tc>
        <w:tc>
          <w:tcPr>
            <w:tcW w:w="6378" w:type="dxa"/>
          </w:tcPr>
          <w:p w14:paraId="21CA40BE" w14:textId="77777777" w:rsidR="00C04CFF" w:rsidRPr="00E37A1E" w:rsidRDefault="00C04CFF" w:rsidP="00C04CFF">
            <w:pPr>
              <w:ind w:left="74" w:right="74"/>
              <w:rPr>
                <w:rFonts w:cs="Arial"/>
                <w:szCs w:val="18"/>
              </w:rPr>
            </w:pPr>
            <w:r w:rsidRPr="00E37A1E">
              <w:rPr>
                <w:rFonts w:cs="Arial"/>
                <w:szCs w:val="18"/>
              </w:rPr>
              <w:t>Natural Gas Services Bulletin Board</w:t>
            </w:r>
          </w:p>
        </w:tc>
      </w:tr>
      <w:tr w:rsidR="00D529D6" w:rsidRPr="004C3FE0" w14:paraId="14B0B75B" w14:textId="77777777" w:rsidTr="00C04CFF">
        <w:tc>
          <w:tcPr>
            <w:tcW w:w="2127" w:type="dxa"/>
          </w:tcPr>
          <w:p w14:paraId="32F06AE6" w14:textId="77777777" w:rsidR="00D529D6" w:rsidRPr="004C3FE0" w:rsidRDefault="00D529D6" w:rsidP="00C04CFF">
            <w:pPr>
              <w:ind w:left="74" w:right="74"/>
              <w:rPr>
                <w:szCs w:val="18"/>
              </w:rPr>
            </w:pPr>
            <w:r>
              <w:rPr>
                <w:szCs w:val="18"/>
              </w:rPr>
              <w:t>CBU</w:t>
            </w:r>
          </w:p>
        </w:tc>
        <w:tc>
          <w:tcPr>
            <w:tcW w:w="6378" w:type="dxa"/>
          </w:tcPr>
          <w:p w14:paraId="4C41D5B7" w14:textId="77777777" w:rsidR="00D529D6" w:rsidRPr="004C3FE0" w:rsidRDefault="00D529D6" w:rsidP="00C04CFF">
            <w:pPr>
              <w:ind w:left="74" w:right="74"/>
              <w:rPr>
                <w:szCs w:val="18"/>
              </w:rPr>
            </w:pPr>
            <w:r>
              <w:rPr>
                <w:szCs w:val="18"/>
              </w:rPr>
              <w:t xml:space="preserve">Contracted but un-nominated capacity </w:t>
            </w:r>
          </w:p>
        </w:tc>
      </w:tr>
      <w:tr w:rsidR="00C04CFF" w:rsidRPr="004C3FE0" w14:paraId="42B99B98" w14:textId="77777777" w:rsidTr="00C04CFF">
        <w:tc>
          <w:tcPr>
            <w:tcW w:w="2127" w:type="dxa"/>
          </w:tcPr>
          <w:p w14:paraId="5A76EAC9" w14:textId="77777777" w:rsidR="00C04CFF" w:rsidRPr="004C3FE0" w:rsidRDefault="00C04CFF" w:rsidP="00C04CFF">
            <w:pPr>
              <w:ind w:left="74" w:right="74"/>
              <w:rPr>
                <w:szCs w:val="18"/>
              </w:rPr>
            </w:pPr>
            <w:r w:rsidRPr="004C3FE0">
              <w:rPr>
                <w:szCs w:val="18"/>
              </w:rPr>
              <w:t>COAG</w:t>
            </w:r>
          </w:p>
        </w:tc>
        <w:tc>
          <w:tcPr>
            <w:tcW w:w="6378" w:type="dxa"/>
          </w:tcPr>
          <w:p w14:paraId="1F19FADC" w14:textId="77777777" w:rsidR="00C04CFF" w:rsidRPr="004C3FE0" w:rsidRDefault="00C04CFF" w:rsidP="00C04CFF">
            <w:pPr>
              <w:ind w:left="74" w:right="74"/>
              <w:rPr>
                <w:szCs w:val="18"/>
              </w:rPr>
            </w:pPr>
            <w:r w:rsidRPr="004C3FE0">
              <w:rPr>
                <w:szCs w:val="18"/>
              </w:rPr>
              <w:t>Council of Australian Governments</w:t>
            </w:r>
          </w:p>
        </w:tc>
      </w:tr>
      <w:tr w:rsidR="00EE3E1B" w:rsidRPr="004C3FE0" w14:paraId="61F8A04E" w14:textId="77777777" w:rsidTr="00C04CFF">
        <w:tc>
          <w:tcPr>
            <w:tcW w:w="2127" w:type="dxa"/>
          </w:tcPr>
          <w:p w14:paraId="6592EF9B" w14:textId="77777777" w:rsidR="00EE3E1B" w:rsidRPr="004C3FE0" w:rsidRDefault="00EE3E1B" w:rsidP="00C04CFF">
            <w:pPr>
              <w:ind w:left="74" w:right="74"/>
              <w:rPr>
                <w:szCs w:val="18"/>
              </w:rPr>
            </w:pPr>
            <w:r>
              <w:rPr>
                <w:szCs w:val="18"/>
              </w:rPr>
              <w:t>Code</w:t>
            </w:r>
          </w:p>
        </w:tc>
        <w:tc>
          <w:tcPr>
            <w:tcW w:w="6378" w:type="dxa"/>
          </w:tcPr>
          <w:p w14:paraId="50FF01E5" w14:textId="77777777" w:rsidR="00EE3E1B" w:rsidRPr="004C3FE0" w:rsidRDefault="00EE3E1B" w:rsidP="00C04CFF">
            <w:pPr>
              <w:ind w:left="74" w:right="74"/>
              <w:rPr>
                <w:szCs w:val="18"/>
              </w:rPr>
            </w:pPr>
            <w:r>
              <w:rPr>
                <w:szCs w:val="18"/>
              </w:rPr>
              <w:t xml:space="preserve">Operational Transportation Service Code </w:t>
            </w:r>
          </w:p>
        </w:tc>
      </w:tr>
      <w:tr w:rsidR="00EE3E1B" w:rsidRPr="004C3FE0" w14:paraId="157BA575" w14:textId="77777777" w:rsidTr="00C04CFF">
        <w:tc>
          <w:tcPr>
            <w:tcW w:w="2127" w:type="dxa"/>
          </w:tcPr>
          <w:p w14:paraId="1A2AC2AE" w14:textId="77777777" w:rsidR="00EE3E1B" w:rsidRPr="004C3FE0" w:rsidRDefault="00EE3E1B" w:rsidP="00C04CFF">
            <w:pPr>
              <w:ind w:left="74" w:right="74"/>
              <w:rPr>
                <w:szCs w:val="18"/>
              </w:rPr>
            </w:pPr>
            <w:r>
              <w:rPr>
                <w:szCs w:val="18"/>
              </w:rPr>
              <w:t>CT&amp;A Procedures</w:t>
            </w:r>
          </w:p>
        </w:tc>
        <w:tc>
          <w:tcPr>
            <w:tcW w:w="6378" w:type="dxa"/>
          </w:tcPr>
          <w:p w14:paraId="757B47BA" w14:textId="77777777" w:rsidR="00EE3E1B" w:rsidRPr="004C3FE0" w:rsidRDefault="00EE3E1B" w:rsidP="00C04CFF">
            <w:pPr>
              <w:ind w:left="74" w:right="74"/>
              <w:rPr>
                <w:szCs w:val="18"/>
              </w:rPr>
            </w:pPr>
            <w:r>
              <w:rPr>
                <w:szCs w:val="18"/>
              </w:rPr>
              <w:t>Capacity Transfer and Auction Procedures</w:t>
            </w:r>
          </w:p>
        </w:tc>
      </w:tr>
      <w:tr w:rsidR="00C04CFF" w:rsidRPr="004C3FE0" w14:paraId="7E0A0311" w14:textId="77777777" w:rsidTr="00C04CFF">
        <w:tc>
          <w:tcPr>
            <w:tcW w:w="2127" w:type="dxa"/>
          </w:tcPr>
          <w:p w14:paraId="438728C9" w14:textId="77777777" w:rsidR="00C04CFF" w:rsidRPr="004C3FE0" w:rsidRDefault="00C04CFF" w:rsidP="00C04CFF">
            <w:pPr>
              <w:ind w:left="74" w:right="74"/>
              <w:rPr>
                <w:szCs w:val="18"/>
              </w:rPr>
            </w:pPr>
            <w:r>
              <w:rPr>
                <w:szCs w:val="18"/>
              </w:rPr>
              <w:t>DTS</w:t>
            </w:r>
          </w:p>
        </w:tc>
        <w:tc>
          <w:tcPr>
            <w:tcW w:w="6378" w:type="dxa"/>
          </w:tcPr>
          <w:p w14:paraId="33347219" w14:textId="77777777" w:rsidR="00C04CFF" w:rsidRPr="004C3FE0" w:rsidRDefault="00C04CFF" w:rsidP="00C04CFF">
            <w:pPr>
              <w:ind w:left="74" w:right="74"/>
              <w:rPr>
                <w:szCs w:val="18"/>
              </w:rPr>
            </w:pPr>
            <w:r>
              <w:rPr>
                <w:szCs w:val="18"/>
              </w:rPr>
              <w:t xml:space="preserve">Declared Transmission System </w:t>
            </w:r>
          </w:p>
        </w:tc>
      </w:tr>
      <w:tr w:rsidR="00C04CFF" w:rsidRPr="004C3FE0" w14:paraId="1DC44A9E" w14:textId="77777777" w:rsidTr="00C04CFF">
        <w:tc>
          <w:tcPr>
            <w:tcW w:w="2127" w:type="dxa"/>
          </w:tcPr>
          <w:p w14:paraId="6124A925" w14:textId="77777777" w:rsidR="00C04CFF" w:rsidRPr="004C3FE0" w:rsidRDefault="00C04CFF" w:rsidP="00C04CFF">
            <w:pPr>
              <w:ind w:left="74" w:right="74"/>
              <w:rPr>
                <w:szCs w:val="18"/>
              </w:rPr>
            </w:pPr>
            <w:r w:rsidRPr="004C3FE0">
              <w:rPr>
                <w:szCs w:val="18"/>
              </w:rPr>
              <w:t>DWGM</w:t>
            </w:r>
          </w:p>
        </w:tc>
        <w:tc>
          <w:tcPr>
            <w:tcW w:w="6378" w:type="dxa"/>
          </w:tcPr>
          <w:p w14:paraId="5679E7F3" w14:textId="77777777" w:rsidR="00C04CFF" w:rsidRPr="004C3FE0" w:rsidRDefault="00C04CFF" w:rsidP="00C04CFF">
            <w:pPr>
              <w:ind w:left="74" w:right="74"/>
              <w:rPr>
                <w:szCs w:val="18"/>
              </w:rPr>
            </w:pPr>
            <w:r w:rsidRPr="004C3FE0">
              <w:rPr>
                <w:szCs w:val="18"/>
              </w:rPr>
              <w:t>Declared Wholesale Gas Market</w:t>
            </w:r>
          </w:p>
        </w:tc>
      </w:tr>
      <w:tr w:rsidR="00C04CFF" w:rsidRPr="004C3FE0" w14:paraId="27F2919A" w14:textId="77777777" w:rsidTr="00C04CFF">
        <w:tc>
          <w:tcPr>
            <w:tcW w:w="2127" w:type="dxa"/>
          </w:tcPr>
          <w:p w14:paraId="0E6F541C" w14:textId="77777777" w:rsidR="00C04CFF" w:rsidRPr="004C3FE0" w:rsidRDefault="00C04CFF" w:rsidP="00C04CFF">
            <w:pPr>
              <w:ind w:left="74" w:right="74"/>
              <w:rPr>
                <w:szCs w:val="18"/>
              </w:rPr>
            </w:pPr>
            <w:r w:rsidRPr="004C3FE0">
              <w:rPr>
                <w:i/>
                <w:szCs w:val="18"/>
              </w:rPr>
              <w:t>East Coast Review</w:t>
            </w:r>
          </w:p>
        </w:tc>
        <w:tc>
          <w:tcPr>
            <w:tcW w:w="6378" w:type="dxa"/>
          </w:tcPr>
          <w:p w14:paraId="5FFA7F4D" w14:textId="77777777" w:rsidR="00C04CFF" w:rsidRPr="004C3FE0" w:rsidRDefault="00C04CFF" w:rsidP="00C04CFF">
            <w:pPr>
              <w:ind w:left="74" w:right="74"/>
              <w:rPr>
                <w:szCs w:val="18"/>
              </w:rPr>
            </w:pPr>
            <w:r w:rsidRPr="004C3FE0">
              <w:rPr>
                <w:szCs w:val="18"/>
              </w:rPr>
              <w:t xml:space="preserve">AEMC’s </w:t>
            </w:r>
            <w:r w:rsidRPr="004C3FE0">
              <w:rPr>
                <w:rFonts w:cs="Arial"/>
                <w:i/>
                <w:iCs/>
                <w:szCs w:val="18"/>
              </w:rPr>
              <w:t xml:space="preserve">Eastern Australian Wholesale Gas Market and Pipelines Framework Review </w:t>
            </w:r>
            <w:r w:rsidRPr="004C3FE0">
              <w:rPr>
                <w:rFonts w:cs="Arial"/>
                <w:iCs/>
                <w:szCs w:val="18"/>
              </w:rPr>
              <w:t>(May 2016)</w:t>
            </w:r>
          </w:p>
        </w:tc>
      </w:tr>
      <w:tr w:rsidR="00EE3E1B" w:rsidRPr="004C3FE0" w14:paraId="4F997ADC" w14:textId="77777777" w:rsidTr="00C04CFF">
        <w:tc>
          <w:tcPr>
            <w:tcW w:w="2127" w:type="dxa"/>
          </w:tcPr>
          <w:p w14:paraId="1FC8989D" w14:textId="77777777" w:rsidR="00EE3E1B" w:rsidRPr="00EE3E1B" w:rsidRDefault="00EE3E1B" w:rsidP="00C04CFF">
            <w:pPr>
              <w:ind w:left="74" w:right="74"/>
              <w:rPr>
                <w:szCs w:val="18"/>
              </w:rPr>
            </w:pPr>
            <w:r w:rsidRPr="00EE3E1B">
              <w:rPr>
                <w:szCs w:val="18"/>
              </w:rPr>
              <w:t>ECA</w:t>
            </w:r>
          </w:p>
        </w:tc>
        <w:tc>
          <w:tcPr>
            <w:tcW w:w="6378" w:type="dxa"/>
          </w:tcPr>
          <w:p w14:paraId="6D938670" w14:textId="77777777" w:rsidR="00EE3E1B" w:rsidRPr="004C3FE0" w:rsidRDefault="00EE3E1B" w:rsidP="00C04CFF">
            <w:pPr>
              <w:ind w:left="74" w:right="74"/>
              <w:rPr>
                <w:szCs w:val="18"/>
              </w:rPr>
            </w:pPr>
            <w:r>
              <w:rPr>
                <w:szCs w:val="18"/>
              </w:rPr>
              <w:t>Energy Consumers Australia</w:t>
            </w:r>
          </w:p>
        </w:tc>
      </w:tr>
      <w:tr w:rsidR="00C04CFF" w:rsidRPr="004C3FE0" w14:paraId="25C748CD" w14:textId="77777777" w:rsidTr="00C04CFF">
        <w:tc>
          <w:tcPr>
            <w:tcW w:w="2127" w:type="dxa"/>
          </w:tcPr>
          <w:p w14:paraId="4E0B33A5" w14:textId="77777777" w:rsidR="00C04CFF" w:rsidRPr="004C3FE0" w:rsidRDefault="00C04CFF" w:rsidP="00C04CFF">
            <w:pPr>
              <w:ind w:left="74" w:right="74"/>
              <w:rPr>
                <w:szCs w:val="18"/>
              </w:rPr>
            </w:pPr>
            <w:r>
              <w:rPr>
                <w:szCs w:val="18"/>
              </w:rPr>
              <w:t xml:space="preserve">Energy </w:t>
            </w:r>
            <w:r w:rsidRPr="004C3FE0">
              <w:rPr>
                <w:szCs w:val="18"/>
              </w:rPr>
              <w:t>Council</w:t>
            </w:r>
          </w:p>
        </w:tc>
        <w:tc>
          <w:tcPr>
            <w:tcW w:w="6378" w:type="dxa"/>
          </w:tcPr>
          <w:p w14:paraId="1EC92619" w14:textId="77777777" w:rsidR="00C04CFF" w:rsidRPr="004C3FE0" w:rsidRDefault="00C04CFF" w:rsidP="00C04CFF">
            <w:pPr>
              <w:ind w:left="74" w:right="74"/>
              <w:rPr>
                <w:szCs w:val="18"/>
              </w:rPr>
            </w:pPr>
            <w:r w:rsidRPr="004C3FE0">
              <w:rPr>
                <w:szCs w:val="18"/>
              </w:rPr>
              <w:t>COAG Energy Council</w:t>
            </w:r>
          </w:p>
        </w:tc>
      </w:tr>
      <w:tr w:rsidR="00EE3E1B" w:rsidRPr="004C3FE0" w14:paraId="1228ACB3" w14:textId="77777777" w:rsidTr="00C04CFF">
        <w:tc>
          <w:tcPr>
            <w:tcW w:w="2127" w:type="dxa"/>
          </w:tcPr>
          <w:p w14:paraId="6940B165" w14:textId="77777777" w:rsidR="00EE3E1B" w:rsidRDefault="00EE3E1B" w:rsidP="00C04CFF">
            <w:pPr>
              <w:ind w:left="74" w:right="74"/>
              <w:rPr>
                <w:szCs w:val="18"/>
              </w:rPr>
            </w:pPr>
            <w:r>
              <w:rPr>
                <w:szCs w:val="18"/>
              </w:rPr>
              <w:t>EUAA</w:t>
            </w:r>
          </w:p>
        </w:tc>
        <w:tc>
          <w:tcPr>
            <w:tcW w:w="6378" w:type="dxa"/>
          </w:tcPr>
          <w:p w14:paraId="71E2501F" w14:textId="77777777" w:rsidR="00EE3E1B" w:rsidRPr="004C3FE0" w:rsidRDefault="00EE3E1B" w:rsidP="00C04CFF">
            <w:pPr>
              <w:ind w:left="74" w:right="74"/>
              <w:rPr>
                <w:szCs w:val="18"/>
              </w:rPr>
            </w:pPr>
            <w:r>
              <w:rPr>
                <w:szCs w:val="18"/>
              </w:rPr>
              <w:t xml:space="preserve">Energy Users’ Association of Australia </w:t>
            </w:r>
          </w:p>
        </w:tc>
      </w:tr>
      <w:tr w:rsidR="00C04CFF" w:rsidRPr="004C3FE0" w14:paraId="7E7EEAFB" w14:textId="77777777" w:rsidTr="00C04CFF">
        <w:tc>
          <w:tcPr>
            <w:tcW w:w="2127" w:type="dxa"/>
          </w:tcPr>
          <w:p w14:paraId="3D76172F" w14:textId="77777777" w:rsidR="00C04CFF" w:rsidRPr="004C3FE0" w:rsidRDefault="00C04CFF" w:rsidP="00C04CFF">
            <w:pPr>
              <w:ind w:left="74" w:right="74"/>
              <w:rPr>
                <w:szCs w:val="18"/>
              </w:rPr>
            </w:pPr>
            <w:r w:rsidRPr="004C3FE0">
              <w:rPr>
                <w:szCs w:val="18"/>
              </w:rPr>
              <w:t>GMRG</w:t>
            </w:r>
          </w:p>
        </w:tc>
        <w:tc>
          <w:tcPr>
            <w:tcW w:w="6378" w:type="dxa"/>
          </w:tcPr>
          <w:p w14:paraId="76643CD7" w14:textId="77777777" w:rsidR="00C04CFF" w:rsidRPr="004C3FE0" w:rsidRDefault="00C04CFF" w:rsidP="00C04CFF">
            <w:pPr>
              <w:ind w:left="74" w:right="74"/>
              <w:rPr>
                <w:szCs w:val="18"/>
              </w:rPr>
            </w:pPr>
            <w:r w:rsidRPr="004C3FE0">
              <w:rPr>
                <w:szCs w:val="18"/>
              </w:rPr>
              <w:t>Gas Market Reform Group</w:t>
            </w:r>
          </w:p>
        </w:tc>
      </w:tr>
      <w:tr w:rsidR="00DC2486" w:rsidRPr="004C3FE0" w14:paraId="5EAA6E5E" w14:textId="77777777" w:rsidTr="00C04CFF">
        <w:tc>
          <w:tcPr>
            <w:tcW w:w="2127" w:type="dxa"/>
          </w:tcPr>
          <w:p w14:paraId="66098828" w14:textId="77777777" w:rsidR="00DC2486" w:rsidRPr="004C3FE0" w:rsidRDefault="00DC2486" w:rsidP="00DC2486">
            <w:pPr>
              <w:ind w:left="74" w:right="74"/>
              <w:rPr>
                <w:szCs w:val="18"/>
              </w:rPr>
            </w:pPr>
            <w:r>
              <w:rPr>
                <w:szCs w:val="18"/>
              </w:rPr>
              <w:t>GPV</w:t>
            </w:r>
          </w:p>
        </w:tc>
        <w:tc>
          <w:tcPr>
            <w:tcW w:w="6378" w:type="dxa"/>
          </w:tcPr>
          <w:p w14:paraId="16B952CE" w14:textId="77777777" w:rsidR="00DC2486" w:rsidRPr="004C3FE0" w:rsidRDefault="00DC2486" w:rsidP="00DC2486">
            <w:pPr>
              <w:ind w:left="74" w:right="74"/>
              <w:rPr>
                <w:szCs w:val="18"/>
              </w:rPr>
            </w:pPr>
            <w:r>
              <w:rPr>
                <w:szCs w:val="18"/>
              </w:rPr>
              <w:t>Gas Pipelines Victoria Pty Ltd</w:t>
            </w:r>
          </w:p>
        </w:tc>
      </w:tr>
      <w:tr w:rsidR="00C04CFF" w:rsidRPr="004C3FE0" w14:paraId="38670A08" w14:textId="77777777" w:rsidTr="00C04CFF">
        <w:tc>
          <w:tcPr>
            <w:tcW w:w="2127" w:type="dxa"/>
          </w:tcPr>
          <w:p w14:paraId="4B58FB91" w14:textId="77777777" w:rsidR="00C04CFF" w:rsidRPr="004C3FE0" w:rsidRDefault="00C04CFF" w:rsidP="00C04CFF">
            <w:pPr>
              <w:ind w:left="74" w:right="74"/>
              <w:rPr>
                <w:szCs w:val="18"/>
              </w:rPr>
            </w:pPr>
            <w:r w:rsidRPr="004C3FE0">
              <w:rPr>
                <w:szCs w:val="18"/>
              </w:rPr>
              <w:t>GSH</w:t>
            </w:r>
          </w:p>
        </w:tc>
        <w:tc>
          <w:tcPr>
            <w:tcW w:w="6378" w:type="dxa"/>
          </w:tcPr>
          <w:p w14:paraId="2FB7C756" w14:textId="77777777" w:rsidR="00C04CFF" w:rsidRPr="004C3FE0" w:rsidRDefault="00C04CFF" w:rsidP="00C04CFF">
            <w:pPr>
              <w:ind w:left="74" w:right="74"/>
              <w:rPr>
                <w:szCs w:val="18"/>
              </w:rPr>
            </w:pPr>
            <w:r w:rsidRPr="004C3FE0">
              <w:rPr>
                <w:szCs w:val="18"/>
              </w:rPr>
              <w:t>Gas Supply Hub</w:t>
            </w:r>
          </w:p>
        </w:tc>
      </w:tr>
      <w:tr w:rsidR="00C04CFF" w:rsidRPr="004C3FE0" w14:paraId="698FF148" w14:textId="77777777" w:rsidTr="00C04CFF">
        <w:tc>
          <w:tcPr>
            <w:tcW w:w="2127" w:type="dxa"/>
          </w:tcPr>
          <w:p w14:paraId="63F89BF0" w14:textId="77777777" w:rsidR="00C04CFF" w:rsidRPr="004C3FE0" w:rsidRDefault="00C04CFF" w:rsidP="00C04CFF">
            <w:pPr>
              <w:ind w:left="74" w:right="74"/>
              <w:rPr>
                <w:szCs w:val="18"/>
              </w:rPr>
            </w:pPr>
            <w:r w:rsidRPr="004C3FE0">
              <w:rPr>
                <w:szCs w:val="18"/>
              </w:rPr>
              <w:t>GTA</w:t>
            </w:r>
          </w:p>
        </w:tc>
        <w:tc>
          <w:tcPr>
            <w:tcW w:w="6378" w:type="dxa"/>
          </w:tcPr>
          <w:p w14:paraId="53832785" w14:textId="77777777" w:rsidR="00C04CFF" w:rsidRPr="004C3FE0" w:rsidRDefault="00C04CFF" w:rsidP="00C04CFF">
            <w:pPr>
              <w:ind w:left="74" w:right="74"/>
              <w:rPr>
                <w:szCs w:val="18"/>
              </w:rPr>
            </w:pPr>
            <w:r w:rsidRPr="004C3FE0">
              <w:rPr>
                <w:szCs w:val="18"/>
              </w:rPr>
              <w:t>Gas Transportation Agreement</w:t>
            </w:r>
          </w:p>
        </w:tc>
      </w:tr>
      <w:tr w:rsidR="00C04CFF" w:rsidRPr="004C3FE0" w14:paraId="53786650" w14:textId="77777777" w:rsidTr="00C04CFF">
        <w:tc>
          <w:tcPr>
            <w:tcW w:w="2127" w:type="dxa"/>
          </w:tcPr>
          <w:p w14:paraId="52283A6F" w14:textId="77777777" w:rsidR="00C04CFF" w:rsidRPr="004C3FE0" w:rsidRDefault="00C04CFF" w:rsidP="00C04CFF">
            <w:pPr>
              <w:ind w:left="74" w:right="74"/>
              <w:rPr>
                <w:szCs w:val="18"/>
              </w:rPr>
            </w:pPr>
            <w:r>
              <w:rPr>
                <w:szCs w:val="18"/>
              </w:rPr>
              <w:t>MDQ</w:t>
            </w:r>
          </w:p>
        </w:tc>
        <w:tc>
          <w:tcPr>
            <w:tcW w:w="6378" w:type="dxa"/>
          </w:tcPr>
          <w:p w14:paraId="6C56A803" w14:textId="77777777" w:rsidR="00C04CFF" w:rsidRPr="004C3FE0" w:rsidRDefault="00C04CFF" w:rsidP="00C04CFF">
            <w:pPr>
              <w:ind w:left="74" w:right="74"/>
              <w:rPr>
                <w:szCs w:val="18"/>
              </w:rPr>
            </w:pPr>
            <w:r>
              <w:rPr>
                <w:szCs w:val="18"/>
              </w:rPr>
              <w:t>Maximum Daily Quantity</w:t>
            </w:r>
          </w:p>
        </w:tc>
      </w:tr>
      <w:tr w:rsidR="00DC2486" w:rsidRPr="004C3FE0" w14:paraId="0D79ED2F" w14:textId="77777777" w:rsidTr="00C04CFF">
        <w:tc>
          <w:tcPr>
            <w:tcW w:w="2127" w:type="dxa"/>
          </w:tcPr>
          <w:p w14:paraId="4CF9E234" w14:textId="77777777" w:rsidR="00DC2486" w:rsidRDefault="00DC2486" w:rsidP="00DC2486">
            <w:pPr>
              <w:ind w:left="74" w:right="74"/>
              <w:rPr>
                <w:szCs w:val="18"/>
              </w:rPr>
            </w:pPr>
            <w:r>
              <w:rPr>
                <w:szCs w:val="18"/>
              </w:rPr>
              <w:t>MEU</w:t>
            </w:r>
          </w:p>
        </w:tc>
        <w:tc>
          <w:tcPr>
            <w:tcW w:w="6378" w:type="dxa"/>
          </w:tcPr>
          <w:p w14:paraId="2967C83F" w14:textId="77777777" w:rsidR="00DC2486" w:rsidRDefault="00DC2486" w:rsidP="00DC2486">
            <w:pPr>
              <w:ind w:left="74" w:right="74"/>
              <w:rPr>
                <w:szCs w:val="18"/>
              </w:rPr>
            </w:pPr>
            <w:r>
              <w:rPr>
                <w:szCs w:val="18"/>
              </w:rPr>
              <w:t>Major Energy Users Inc</w:t>
            </w:r>
          </w:p>
        </w:tc>
      </w:tr>
      <w:tr w:rsidR="00C04CFF" w:rsidRPr="004C3FE0" w14:paraId="326F1A3B" w14:textId="77777777" w:rsidTr="00C04CFF">
        <w:tc>
          <w:tcPr>
            <w:tcW w:w="2127" w:type="dxa"/>
          </w:tcPr>
          <w:p w14:paraId="198CE4D1" w14:textId="77777777" w:rsidR="00C04CFF" w:rsidRDefault="00C04CFF" w:rsidP="00C04CFF">
            <w:pPr>
              <w:ind w:left="74" w:right="74"/>
              <w:rPr>
                <w:szCs w:val="18"/>
              </w:rPr>
            </w:pPr>
            <w:r>
              <w:rPr>
                <w:szCs w:val="18"/>
              </w:rPr>
              <w:t>MHQ</w:t>
            </w:r>
          </w:p>
        </w:tc>
        <w:tc>
          <w:tcPr>
            <w:tcW w:w="6378" w:type="dxa"/>
          </w:tcPr>
          <w:p w14:paraId="4D32D701" w14:textId="77777777" w:rsidR="00C04CFF" w:rsidRDefault="00C04CFF" w:rsidP="00C04CFF">
            <w:pPr>
              <w:ind w:left="74" w:right="74"/>
              <w:rPr>
                <w:szCs w:val="18"/>
              </w:rPr>
            </w:pPr>
            <w:r>
              <w:rPr>
                <w:szCs w:val="18"/>
              </w:rPr>
              <w:t xml:space="preserve">Maximum Hourly Quantity </w:t>
            </w:r>
          </w:p>
        </w:tc>
      </w:tr>
      <w:tr w:rsidR="00C04CFF" w:rsidRPr="004C3FE0" w14:paraId="509550FB" w14:textId="77777777" w:rsidTr="00C04CFF">
        <w:tc>
          <w:tcPr>
            <w:tcW w:w="2127" w:type="dxa"/>
          </w:tcPr>
          <w:p w14:paraId="6B4E0D3E" w14:textId="77777777" w:rsidR="00C04CFF" w:rsidRPr="004C3FE0" w:rsidRDefault="00C04CFF" w:rsidP="00C04CFF">
            <w:pPr>
              <w:ind w:left="74" w:right="74"/>
              <w:rPr>
                <w:szCs w:val="18"/>
              </w:rPr>
            </w:pPr>
            <w:r w:rsidRPr="004C3FE0">
              <w:rPr>
                <w:szCs w:val="18"/>
              </w:rPr>
              <w:t>NGL</w:t>
            </w:r>
          </w:p>
        </w:tc>
        <w:tc>
          <w:tcPr>
            <w:tcW w:w="6378" w:type="dxa"/>
          </w:tcPr>
          <w:p w14:paraId="2C5EEC20" w14:textId="77777777" w:rsidR="00C04CFF" w:rsidRPr="004C3FE0" w:rsidRDefault="00C04CFF" w:rsidP="00C04CFF">
            <w:pPr>
              <w:ind w:left="74" w:right="74"/>
              <w:rPr>
                <w:szCs w:val="18"/>
              </w:rPr>
            </w:pPr>
            <w:r w:rsidRPr="004C3FE0">
              <w:rPr>
                <w:szCs w:val="18"/>
              </w:rPr>
              <w:t>National Gas Law</w:t>
            </w:r>
          </w:p>
        </w:tc>
      </w:tr>
      <w:tr w:rsidR="00C04CFF" w:rsidRPr="004C3FE0" w14:paraId="30BD2E51" w14:textId="77777777" w:rsidTr="00C04CFF">
        <w:tc>
          <w:tcPr>
            <w:tcW w:w="2127" w:type="dxa"/>
          </w:tcPr>
          <w:p w14:paraId="0B50805C" w14:textId="77777777" w:rsidR="00C04CFF" w:rsidRPr="004C3FE0" w:rsidRDefault="00C04CFF" w:rsidP="00C04CFF">
            <w:pPr>
              <w:ind w:left="74" w:right="74"/>
              <w:rPr>
                <w:szCs w:val="18"/>
              </w:rPr>
            </w:pPr>
            <w:r w:rsidRPr="004C3FE0">
              <w:rPr>
                <w:szCs w:val="18"/>
              </w:rPr>
              <w:t>NGO</w:t>
            </w:r>
          </w:p>
        </w:tc>
        <w:tc>
          <w:tcPr>
            <w:tcW w:w="6378" w:type="dxa"/>
          </w:tcPr>
          <w:p w14:paraId="2A58EE5D" w14:textId="77777777" w:rsidR="00C04CFF" w:rsidRPr="004C3FE0" w:rsidRDefault="00C04CFF" w:rsidP="00C04CFF">
            <w:pPr>
              <w:ind w:left="74" w:right="74"/>
              <w:rPr>
                <w:szCs w:val="18"/>
              </w:rPr>
            </w:pPr>
            <w:r w:rsidRPr="004C3FE0">
              <w:rPr>
                <w:szCs w:val="18"/>
              </w:rPr>
              <w:t>National Gas Objective</w:t>
            </w:r>
          </w:p>
        </w:tc>
      </w:tr>
      <w:tr w:rsidR="00C04CFF" w:rsidRPr="004C3FE0" w14:paraId="1A981AE4" w14:textId="77777777" w:rsidTr="00C04CFF">
        <w:tc>
          <w:tcPr>
            <w:tcW w:w="2127" w:type="dxa"/>
          </w:tcPr>
          <w:p w14:paraId="64A6ACAB" w14:textId="77777777" w:rsidR="00C04CFF" w:rsidRPr="004C3FE0" w:rsidRDefault="00C04CFF" w:rsidP="00C04CFF">
            <w:pPr>
              <w:ind w:left="74" w:right="74"/>
              <w:rPr>
                <w:szCs w:val="18"/>
              </w:rPr>
            </w:pPr>
            <w:r w:rsidRPr="004C3FE0">
              <w:rPr>
                <w:szCs w:val="18"/>
              </w:rPr>
              <w:t>NGR</w:t>
            </w:r>
            <w:r>
              <w:rPr>
                <w:szCs w:val="18"/>
              </w:rPr>
              <w:t xml:space="preserve"> or Rules</w:t>
            </w:r>
          </w:p>
        </w:tc>
        <w:tc>
          <w:tcPr>
            <w:tcW w:w="6378" w:type="dxa"/>
          </w:tcPr>
          <w:p w14:paraId="693B14C1" w14:textId="77777777" w:rsidR="00C04CFF" w:rsidRPr="004C3FE0" w:rsidRDefault="00C04CFF" w:rsidP="00C04CFF">
            <w:pPr>
              <w:ind w:left="74" w:right="74"/>
              <w:rPr>
                <w:szCs w:val="18"/>
              </w:rPr>
            </w:pPr>
            <w:r w:rsidRPr="004C3FE0">
              <w:rPr>
                <w:szCs w:val="18"/>
              </w:rPr>
              <w:t>National Gas Rules</w:t>
            </w:r>
          </w:p>
        </w:tc>
      </w:tr>
      <w:tr w:rsidR="00DC2486" w:rsidRPr="004C3FE0" w14:paraId="3066DB31" w14:textId="77777777" w:rsidTr="00C04CFF">
        <w:tc>
          <w:tcPr>
            <w:tcW w:w="2127" w:type="dxa"/>
          </w:tcPr>
          <w:p w14:paraId="584C4A15" w14:textId="77777777" w:rsidR="00DC2486" w:rsidRPr="004C3FE0" w:rsidRDefault="00DC2486" w:rsidP="00DC2486">
            <w:pPr>
              <w:ind w:left="74" w:right="74"/>
              <w:rPr>
                <w:szCs w:val="18"/>
              </w:rPr>
            </w:pPr>
            <w:r>
              <w:rPr>
                <w:szCs w:val="18"/>
              </w:rPr>
              <w:t>NQP</w:t>
            </w:r>
          </w:p>
        </w:tc>
        <w:tc>
          <w:tcPr>
            <w:tcW w:w="6378" w:type="dxa"/>
          </w:tcPr>
          <w:p w14:paraId="01C2FCBF" w14:textId="77777777" w:rsidR="00DC2486" w:rsidRPr="004C3FE0" w:rsidRDefault="00DC2486" w:rsidP="00DC2486">
            <w:pPr>
              <w:ind w:left="74" w:right="74"/>
              <w:rPr>
                <w:szCs w:val="18"/>
              </w:rPr>
            </w:pPr>
            <w:r>
              <w:rPr>
                <w:szCs w:val="18"/>
              </w:rPr>
              <w:t>North</w:t>
            </w:r>
            <w:r w:rsidR="00EE3E1B">
              <w:rPr>
                <w:szCs w:val="18"/>
              </w:rPr>
              <w:t xml:space="preserve">ern </w:t>
            </w:r>
            <w:r>
              <w:rPr>
                <w:szCs w:val="18"/>
              </w:rPr>
              <w:t>Gas Pipeline</w:t>
            </w:r>
          </w:p>
        </w:tc>
      </w:tr>
      <w:tr w:rsidR="00620E76" w:rsidRPr="004C3FE0" w14:paraId="144A5C5B" w14:textId="77777777" w:rsidTr="00C04CFF">
        <w:tc>
          <w:tcPr>
            <w:tcW w:w="2127" w:type="dxa"/>
          </w:tcPr>
          <w:p w14:paraId="74F3BC4B" w14:textId="77777777" w:rsidR="00620E76" w:rsidRDefault="00620E76" w:rsidP="00DC2486">
            <w:pPr>
              <w:ind w:left="74" w:right="74"/>
              <w:rPr>
                <w:szCs w:val="18"/>
              </w:rPr>
            </w:pPr>
            <w:r>
              <w:rPr>
                <w:szCs w:val="18"/>
              </w:rPr>
              <w:t>OTSA</w:t>
            </w:r>
          </w:p>
        </w:tc>
        <w:tc>
          <w:tcPr>
            <w:tcW w:w="6378" w:type="dxa"/>
          </w:tcPr>
          <w:p w14:paraId="458B83C1" w14:textId="77777777" w:rsidR="00620E76" w:rsidRDefault="00620E76" w:rsidP="00DC2486">
            <w:pPr>
              <w:ind w:left="74" w:right="74"/>
              <w:rPr>
                <w:szCs w:val="18"/>
              </w:rPr>
            </w:pPr>
            <w:r>
              <w:rPr>
                <w:szCs w:val="18"/>
              </w:rPr>
              <w:t>Operational Transportation Service Agreement</w:t>
            </w:r>
          </w:p>
        </w:tc>
      </w:tr>
      <w:tr w:rsidR="00EE3E1B" w:rsidRPr="004C3FE0" w14:paraId="46F92ABE" w14:textId="77777777" w:rsidTr="00C04CFF">
        <w:tc>
          <w:tcPr>
            <w:tcW w:w="2127" w:type="dxa"/>
          </w:tcPr>
          <w:p w14:paraId="03C5CF5A" w14:textId="77777777" w:rsidR="00EE3E1B" w:rsidRDefault="00EE3E1B" w:rsidP="00DC2486">
            <w:pPr>
              <w:ind w:left="74" w:right="74"/>
              <w:rPr>
                <w:szCs w:val="18"/>
              </w:rPr>
            </w:pPr>
            <w:r>
              <w:rPr>
                <w:szCs w:val="18"/>
              </w:rPr>
              <w:t>Panel</w:t>
            </w:r>
          </w:p>
        </w:tc>
        <w:tc>
          <w:tcPr>
            <w:tcW w:w="6378" w:type="dxa"/>
          </w:tcPr>
          <w:p w14:paraId="56B05D53" w14:textId="77777777" w:rsidR="00EE3E1B" w:rsidRDefault="00EE3E1B" w:rsidP="00DC2486">
            <w:pPr>
              <w:ind w:left="74" w:right="74"/>
              <w:rPr>
                <w:szCs w:val="18"/>
              </w:rPr>
            </w:pPr>
            <w:r>
              <w:rPr>
                <w:szCs w:val="18"/>
              </w:rPr>
              <w:t>Operational Transportation Service Code Panel</w:t>
            </w:r>
          </w:p>
        </w:tc>
      </w:tr>
      <w:tr w:rsidR="00DC2486" w:rsidRPr="004C3FE0" w14:paraId="74BA5AD6" w14:textId="77777777" w:rsidTr="00C04CFF">
        <w:tc>
          <w:tcPr>
            <w:tcW w:w="2127" w:type="dxa"/>
          </w:tcPr>
          <w:p w14:paraId="5FE9A2F3" w14:textId="77777777" w:rsidR="00DC2486" w:rsidRPr="004C3FE0" w:rsidRDefault="00DC2486" w:rsidP="00DC2486">
            <w:pPr>
              <w:ind w:left="74" w:right="74"/>
              <w:rPr>
                <w:szCs w:val="18"/>
              </w:rPr>
            </w:pPr>
            <w:r>
              <w:rPr>
                <w:szCs w:val="18"/>
              </w:rPr>
              <w:t>PIAC</w:t>
            </w:r>
          </w:p>
        </w:tc>
        <w:tc>
          <w:tcPr>
            <w:tcW w:w="6378" w:type="dxa"/>
          </w:tcPr>
          <w:p w14:paraId="211D1BA5" w14:textId="77777777" w:rsidR="00DC2486" w:rsidRPr="004C3FE0" w:rsidRDefault="00DC2486" w:rsidP="00DC2486">
            <w:pPr>
              <w:ind w:left="74" w:right="74"/>
              <w:rPr>
                <w:szCs w:val="18"/>
              </w:rPr>
            </w:pPr>
            <w:r>
              <w:rPr>
                <w:szCs w:val="18"/>
              </w:rPr>
              <w:t>Public Interest Advocacy Centre</w:t>
            </w:r>
          </w:p>
        </w:tc>
      </w:tr>
      <w:tr w:rsidR="00DC2486" w:rsidRPr="004C3FE0" w14:paraId="283C3404" w14:textId="77777777" w:rsidTr="00C04CFF">
        <w:tc>
          <w:tcPr>
            <w:tcW w:w="2127" w:type="dxa"/>
          </w:tcPr>
          <w:p w14:paraId="2C3BB20A" w14:textId="77777777" w:rsidR="00DC2486" w:rsidRPr="004C3FE0" w:rsidRDefault="00DC2486" w:rsidP="00DC2486">
            <w:pPr>
              <w:ind w:left="74" w:right="74"/>
              <w:rPr>
                <w:szCs w:val="18"/>
              </w:rPr>
            </w:pPr>
            <w:r>
              <w:rPr>
                <w:szCs w:val="18"/>
              </w:rPr>
              <w:t>PWC</w:t>
            </w:r>
          </w:p>
        </w:tc>
        <w:tc>
          <w:tcPr>
            <w:tcW w:w="6378" w:type="dxa"/>
          </w:tcPr>
          <w:p w14:paraId="0929EB80" w14:textId="77777777" w:rsidR="00DC2486" w:rsidRPr="004C3FE0" w:rsidRDefault="00DC2486" w:rsidP="00DC2486">
            <w:pPr>
              <w:ind w:left="74" w:right="74"/>
              <w:rPr>
                <w:szCs w:val="18"/>
              </w:rPr>
            </w:pPr>
            <w:r>
              <w:rPr>
                <w:szCs w:val="18"/>
              </w:rPr>
              <w:t>Power and Water Corporation</w:t>
            </w:r>
          </w:p>
        </w:tc>
      </w:tr>
      <w:tr w:rsidR="00EE3E1B" w:rsidRPr="004C3FE0" w14:paraId="3D999D68" w14:textId="77777777" w:rsidTr="00C04CFF">
        <w:tc>
          <w:tcPr>
            <w:tcW w:w="2127" w:type="dxa"/>
          </w:tcPr>
          <w:p w14:paraId="28A43EDE" w14:textId="77777777" w:rsidR="00EE3E1B" w:rsidRPr="004C3FE0" w:rsidRDefault="00EE3E1B" w:rsidP="00C04CFF">
            <w:pPr>
              <w:ind w:left="74" w:right="74"/>
              <w:rPr>
                <w:szCs w:val="18"/>
              </w:rPr>
            </w:pPr>
            <w:r>
              <w:rPr>
                <w:szCs w:val="18"/>
              </w:rPr>
              <w:t>SCO</w:t>
            </w:r>
          </w:p>
        </w:tc>
        <w:tc>
          <w:tcPr>
            <w:tcW w:w="6378" w:type="dxa"/>
          </w:tcPr>
          <w:p w14:paraId="400C9414" w14:textId="77777777" w:rsidR="00EE3E1B" w:rsidRPr="004C3FE0" w:rsidRDefault="00EE3E1B" w:rsidP="00C04CFF">
            <w:pPr>
              <w:ind w:left="74" w:right="74"/>
              <w:rPr>
                <w:szCs w:val="18"/>
              </w:rPr>
            </w:pPr>
            <w:r>
              <w:rPr>
                <w:szCs w:val="18"/>
              </w:rPr>
              <w:t xml:space="preserve">Energy Council’s Senior Committee of Officials </w:t>
            </w:r>
          </w:p>
        </w:tc>
      </w:tr>
      <w:tr w:rsidR="00C04CFF" w:rsidRPr="004C3FE0" w14:paraId="5B5CA5F0" w14:textId="77777777" w:rsidTr="00C04CFF">
        <w:tc>
          <w:tcPr>
            <w:tcW w:w="2127" w:type="dxa"/>
          </w:tcPr>
          <w:p w14:paraId="493865F7" w14:textId="77777777" w:rsidR="00C04CFF" w:rsidRPr="004C3FE0" w:rsidRDefault="00C04CFF" w:rsidP="00C04CFF">
            <w:pPr>
              <w:ind w:left="74" w:right="74"/>
              <w:rPr>
                <w:szCs w:val="18"/>
              </w:rPr>
            </w:pPr>
            <w:r w:rsidRPr="004C3FE0">
              <w:rPr>
                <w:szCs w:val="18"/>
              </w:rPr>
              <w:t>STTM</w:t>
            </w:r>
          </w:p>
        </w:tc>
        <w:tc>
          <w:tcPr>
            <w:tcW w:w="6378" w:type="dxa"/>
          </w:tcPr>
          <w:p w14:paraId="13AC7DA4" w14:textId="77777777" w:rsidR="00C04CFF" w:rsidRPr="004C3FE0" w:rsidRDefault="00C04CFF" w:rsidP="00C04CFF">
            <w:pPr>
              <w:ind w:left="74" w:right="74"/>
              <w:rPr>
                <w:szCs w:val="18"/>
              </w:rPr>
            </w:pPr>
            <w:r w:rsidRPr="004C3FE0">
              <w:rPr>
                <w:szCs w:val="18"/>
              </w:rPr>
              <w:t>Short Term Trading Market</w:t>
            </w:r>
          </w:p>
        </w:tc>
      </w:tr>
    </w:tbl>
    <w:p w14:paraId="0C56CC38" w14:textId="77777777" w:rsidR="00C04CFF" w:rsidRDefault="00C04CFF" w:rsidP="00C04CFF">
      <w:r>
        <w:br w:type="page"/>
      </w:r>
    </w:p>
    <w:p w14:paraId="78E546A0" w14:textId="77777777" w:rsidR="00C04CFF" w:rsidRDefault="00C04CFF" w:rsidP="00C04CFF">
      <w:pPr>
        <w:pStyle w:val="ExecSummHeading1"/>
        <w:spacing w:after="0"/>
        <w:ind w:left="0" w:firstLine="0"/>
      </w:pPr>
      <w:bookmarkStart w:id="7" w:name="_Toc530546445"/>
      <w:r>
        <w:lastRenderedPageBreak/>
        <w:t>Key terms used in legal and regulatory framework</w:t>
      </w:r>
      <w:bookmarkEnd w:id="7"/>
    </w:p>
    <w:p w14:paraId="0ED35081" w14:textId="77777777" w:rsidR="00B270D4" w:rsidRPr="00B270D4" w:rsidRDefault="00B270D4" w:rsidP="00B270D4">
      <w:pPr>
        <w:pStyle w:val="BodyText"/>
      </w:pPr>
      <w:r>
        <w:t xml:space="preserve">This table explains key terms used in the legal and regulatory framework. For the precise wording of the terms, refer to the </w:t>
      </w:r>
      <w:r w:rsidR="001475A7">
        <w:t>National Gas Law (</w:t>
      </w:r>
      <w:r>
        <w:t>NGL</w:t>
      </w:r>
      <w:r w:rsidR="001475A7">
        <w:t>)</w:t>
      </w:r>
      <w:r>
        <w:t xml:space="preserve"> and </w:t>
      </w:r>
      <w:r w:rsidR="001475A7">
        <w:t>the National Gas Rules (</w:t>
      </w:r>
      <w:r>
        <w:t>NGR</w:t>
      </w:r>
      <w:r w:rsidR="001475A7">
        <w:t>)</w:t>
      </w:r>
      <w:r>
        <w:t>.</w:t>
      </w:r>
    </w:p>
    <w:tbl>
      <w:tblPr>
        <w:tblStyle w:val="TableGrid"/>
        <w:tblW w:w="5323" w:type="pct"/>
        <w:tblLook w:val="06A0" w:firstRow="1" w:lastRow="0" w:firstColumn="1" w:lastColumn="0" w:noHBand="1" w:noVBand="1"/>
        <w:tblCaption w:val="Key terms"/>
        <w:tblDescription w:val="Key terms used in legal and regulatory framework"/>
      </w:tblPr>
      <w:tblGrid>
        <w:gridCol w:w="1843"/>
        <w:gridCol w:w="7513"/>
      </w:tblGrid>
      <w:tr w:rsidR="00C04CFF" w14:paraId="0C86AEA8" w14:textId="77777777" w:rsidTr="00A77CCE">
        <w:trPr>
          <w:cnfStyle w:val="100000000000" w:firstRow="1" w:lastRow="0" w:firstColumn="0" w:lastColumn="0" w:oddVBand="0" w:evenVBand="0" w:oddHBand="0" w:evenHBand="0" w:firstRowFirstColumn="0" w:firstRowLastColumn="0" w:lastRowFirstColumn="0" w:lastRowLastColumn="0"/>
          <w:cantSplit/>
          <w:tblHeader/>
        </w:trPr>
        <w:tc>
          <w:tcPr>
            <w:tcW w:w="985" w:type="pct"/>
            <w:tcBorders>
              <w:bottom w:val="single" w:sz="4" w:space="0" w:color="auto"/>
            </w:tcBorders>
            <w:shd w:val="clear" w:color="auto" w:fill="0099CC"/>
            <w:hideMark/>
          </w:tcPr>
          <w:p w14:paraId="5BC41963" w14:textId="77777777" w:rsidR="00C04CFF" w:rsidRDefault="00C04CFF" w:rsidP="00C04CFF">
            <w:pPr>
              <w:pStyle w:val="TableHeading"/>
            </w:pPr>
            <w:r>
              <w:t>Term</w:t>
            </w:r>
          </w:p>
        </w:tc>
        <w:tc>
          <w:tcPr>
            <w:tcW w:w="4015" w:type="pct"/>
            <w:tcBorders>
              <w:bottom w:val="single" w:sz="4" w:space="0" w:color="auto"/>
            </w:tcBorders>
            <w:shd w:val="clear" w:color="auto" w:fill="0099CC"/>
            <w:hideMark/>
          </w:tcPr>
          <w:p w14:paraId="0D0ED178" w14:textId="77777777" w:rsidR="00C04CFF" w:rsidRDefault="00C04CFF" w:rsidP="00C04CFF">
            <w:pPr>
              <w:pStyle w:val="TableHeading"/>
            </w:pPr>
            <w:r>
              <w:t xml:space="preserve">Definition </w:t>
            </w:r>
          </w:p>
        </w:tc>
      </w:tr>
      <w:tr w:rsidR="00C04CFF" w:rsidRPr="00177FE4" w14:paraId="2C62F5E5" w14:textId="77777777" w:rsidTr="00A77CCE">
        <w:trPr>
          <w:cantSplit/>
        </w:trPr>
        <w:tc>
          <w:tcPr>
            <w:tcW w:w="5000" w:type="pct"/>
            <w:gridSpan w:val="2"/>
            <w:shd w:val="clear" w:color="auto" w:fill="65697F" w:themeFill="background2" w:themeFillShade="80"/>
          </w:tcPr>
          <w:p w14:paraId="25E71024" w14:textId="77777777" w:rsidR="00C04CFF" w:rsidRPr="00177FE4" w:rsidRDefault="00C04CFF" w:rsidP="00C04CFF">
            <w:pPr>
              <w:pStyle w:val="TableBodyText"/>
              <w:jc w:val="center"/>
              <w:rPr>
                <w:b/>
                <w:color w:val="FFFFFF" w:themeColor="background1"/>
              </w:rPr>
            </w:pPr>
            <w:r w:rsidRPr="00177FE4">
              <w:rPr>
                <w:b/>
                <w:color w:val="FFFFFF" w:themeColor="background1"/>
              </w:rPr>
              <w:t>Types of market participants</w:t>
            </w:r>
          </w:p>
        </w:tc>
      </w:tr>
      <w:tr w:rsidR="00277776" w14:paraId="19E47A8B" w14:textId="77777777" w:rsidTr="00A77CCE">
        <w:trPr>
          <w:cantSplit/>
        </w:trPr>
        <w:tc>
          <w:tcPr>
            <w:tcW w:w="985" w:type="pct"/>
          </w:tcPr>
          <w:p w14:paraId="6B800A3C" w14:textId="77777777" w:rsidR="00277776" w:rsidRDefault="00277776" w:rsidP="00277776">
            <w:pPr>
              <w:pStyle w:val="TableBodyText"/>
            </w:pPr>
            <w:r>
              <w:t>auction participant</w:t>
            </w:r>
          </w:p>
        </w:tc>
        <w:tc>
          <w:tcPr>
            <w:tcW w:w="4015" w:type="pct"/>
          </w:tcPr>
          <w:p w14:paraId="2A159AE8" w14:textId="77777777" w:rsidR="00277776" w:rsidRDefault="00B270D4" w:rsidP="003423EB">
            <w:pPr>
              <w:pStyle w:val="TableBodyText"/>
            </w:pPr>
            <w:r>
              <w:t>A</w:t>
            </w:r>
            <w:r w:rsidR="00277776">
              <w:t xml:space="preserve"> </w:t>
            </w:r>
            <w:r w:rsidR="003423EB">
              <w:t xml:space="preserve">shipper </w:t>
            </w:r>
            <w:r>
              <w:t xml:space="preserve">becomes an auction </w:t>
            </w:r>
            <w:r w:rsidR="00676EF0">
              <w:t xml:space="preserve">participant by entering into </w:t>
            </w:r>
            <w:r w:rsidR="00277776">
              <w:t xml:space="preserve">an </w:t>
            </w:r>
            <w:r w:rsidR="000779AF">
              <w:t>a</w:t>
            </w:r>
            <w:r w:rsidR="00277776">
              <w:t xml:space="preserve">uction </w:t>
            </w:r>
            <w:r w:rsidR="000779AF">
              <w:t>a</w:t>
            </w:r>
            <w:r w:rsidR="00277776">
              <w:t>greement with AEMO.</w:t>
            </w:r>
          </w:p>
        </w:tc>
      </w:tr>
      <w:tr w:rsidR="00785939" w14:paraId="6FEF09E2" w14:textId="77777777" w:rsidTr="00A77CCE">
        <w:trPr>
          <w:cantSplit/>
        </w:trPr>
        <w:tc>
          <w:tcPr>
            <w:tcW w:w="985" w:type="pct"/>
          </w:tcPr>
          <w:p w14:paraId="6D3DEC2D" w14:textId="77777777" w:rsidR="00785939" w:rsidRDefault="00785939" w:rsidP="00277776">
            <w:pPr>
              <w:pStyle w:val="TableBodyText"/>
            </w:pPr>
            <w:r>
              <w:t>exchange member</w:t>
            </w:r>
          </w:p>
        </w:tc>
        <w:tc>
          <w:tcPr>
            <w:tcW w:w="4015" w:type="pct"/>
          </w:tcPr>
          <w:p w14:paraId="7B9A77B3" w14:textId="77777777" w:rsidR="00785939" w:rsidRDefault="00267A25" w:rsidP="00267A25">
            <w:pPr>
              <w:pStyle w:val="TableBodyText"/>
            </w:pPr>
            <w:r>
              <w:rPr>
                <w:lang w:val="en"/>
              </w:rPr>
              <w:t>A</w:t>
            </w:r>
            <w:r w:rsidR="00785939">
              <w:rPr>
                <w:lang w:val="en"/>
              </w:rPr>
              <w:t xml:space="preserve"> person </w:t>
            </w:r>
            <w:r>
              <w:rPr>
                <w:lang w:val="en"/>
              </w:rPr>
              <w:t xml:space="preserve">becomes </w:t>
            </w:r>
            <w:r w:rsidR="00785939">
              <w:rPr>
                <w:lang w:val="en"/>
              </w:rPr>
              <w:t xml:space="preserve">a member of </w:t>
            </w:r>
            <w:r w:rsidR="00D529D6">
              <w:rPr>
                <w:lang w:val="en"/>
              </w:rPr>
              <w:t xml:space="preserve">the </w:t>
            </w:r>
            <w:r w:rsidR="00785939">
              <w:rPr>
                <w:lang w:val="en"/>
              </w:rPr>
              <w:t xml:space="preserve">gas trading exchange </w:t>
            </w:r>
            <w:r w:rsidR="00D529D6">
              <w:rPr>
                <w:lang w:val="en"/>
              </w:rPr>
              <w:t xml:space="preserve">(Gas Supply Hub) </w:t>
            </w:r>
            <w:r>
              <w:rPr>
                <w:lang w:val="en"/>
              </w:rPr>
              <w:t>by becoming party to the E</w:t>
            </w:r>
            <w:r w:rsidR="005415B7">
              <w:rPr>
                <w:lang w:val="en"/>
              </w:rPr>
              <w:t xml:space="preserve">xchange </w:t>
            </w:r>
            <w:r>
              <w:rPr>
                <w:lang w:val="en"/>
              </w:rPr>
              <w:t>A</w:t>
            </w:r>
            <w:r w:rsidR="005415B7">
              <w:rPr>
                <w:lang w:val="en"/>
              </w:rPr>
              <w:t>greement</w:t>
            </w:r>
            <w:r w:rsidR="00785939">
              <w:rPr>
                <w:lang w:val="en"/>
              </w:rPr>
              <w:t>.</w:t>
            </w:r>
          </w:p>
        </w:tc>
      </w:tr>
      <w:tr w:rsidR="00277776" w14:paraId="7696B8C0" w14:textId="77777777" w:rsidTr="00A77CCE">
        <w:trPr>
          <w:cantSplit/>
        </w:trPr>
        <w:tc>
          <w:tcPr>
            <w:tcW w:w="985" w:type="pct"/>
            <w:vMerge w:val="restart"/>
            <w:hideMark/>
          </w:tcPr>
          <w:p w14:paraId="405B06AE" w14:textId="77777777" w:rsidR="00277776" w:rsidRDefault="00277776" w:rsidP="00277776">
            <w:pPr>
              <w:pStyle w:val="TableBodyText"/>
            </w:pPr>
            <w:r>
              <w:t>facility operator</w:t>
            </w:r>
          </w:p>
        </w:tc>
        <w:tc>
          <w:tcPr>
            <w:tcW w:w="4015" w:type="pct"/>
            <w:hideMark/>
          </w:tcPr>
          <w:p w14:paraId="7F1C2A7B" w14:textId="77777777" w:rsidR="00277776" w:rsidRDefault="00267A25" w:rsidP="00267A25">
            <w:pPr>
              <w:pStyle w:val="TableBodyText"/>
            </w:pPr>
            <w:r>
              <w:t xml:space="preserve">In </w:t>
            </w:r>
            <w:r w:rsidR="00277776">
              <w:t>Part</w:t>
            </w:r>
            <w:r>
              <w:t>s</w:t>
            </w:r>
            <w:r w:rsidR="00277776">
              <w:t xml:space="preserve"> 24</w:t>
            </w:r>
            <w:r w:rsidR="009A6B6F">
              <w:t xml:space="preserve"> </w:t>
            </w:r>
            <w:r>
              <w:t xml:space="preserve">and 25 </w:t>
            </w:r>
            <w:r w:rsidR="009A6B6F">
              <w:t>of the NGR</w:t>
            </w:r>
            <w:r w:rsidR="00277776">
              <w:t xml:space="preserve">, </w:t>
            </w:r>
            <w:r>
              <w:t xml:space="preserve">refers to </w:t>
            </w:r>
            <w:r w:rsidR="00277776">
              <w:t>the</w:t>
            </w:r>
            <w:r w:rsidR="00277776" w:rsidRPr="004D0466">
              <w:t xml:space="preserve"> transportation </w:t>
            </w:r>
            <w:r w:rsidR="00277776">
              <w:t>service</w:t>
            </w:r>
            <w:r w:rsidR="00277776" w:rsidRPr="004D0466">
              <w:t xml:space="preserve"> </w:t>
            </w:r>
            <w:r w:rsidR="00277776">
              <w:t>provider</w:t>
            </w:r>
            <w:r w:rsidR="00277776" w:rsidRPr="004D0466">
              <w:t xml:space="preserve"> registered under </w:t>
            </w:r>
            <w:r w:rsidR="00277776">
              <w:t>Part 24</w:t>
            </w:r>
            <w:r w:rsidR="00277776" w:rsidRPr="004D0466">
              <w:t xml:space="preserve"> as the </w:t>
            </w:r>
            <w:r w:rsidR="00277776">
              <w:t xml:space="preserve">facility operator </w:t>
            </w:r>
            <w:r w:rsidR="00277776" w:rsidRPr="004D0466">
              <w:t xml:space="preserve">for </w:t>
            </w:r>
            <w:r w:rsidR="00277776">
              <w:t xml:space="preserve">the </w:t>
            </w:r>
            <w:r w:rsidR="00277776" w:rsidRPr="004D0466">
              <w:t>Part 24 facilit</w:t>
            </w:r>
            <w:r w:rsidR="00277776">
              <w:t>y</w:t>
            </w:r>
            <w:r w:rsidR="00277776" w:rsidRPr="004D0466">
              <w:t>.</w:t>
            </w:r>
          </w:p>
        </w:tc>
      </w:tr>
      <w:tr w:rsidR="00277776" w14:paraId="7C5565FF" w14:textId="77777777" w:rsidTr="00A77CCE">
        <w:trPr>
          <w:cantSplit/>
        </w:trPr>
        <w:tc>
          <w:tcPr>
            <w:tcW w:w="985" w:type="pct"/>
            <w:vMerge/>
          </w:tcPr>
          <w:p w14:paraId="0F3A9890" w14:textId="77777777" w:rsidR="00277776" w:rsidRDefault="00277776" w:rsidP="00277776">
            <w:pPr>
              <w:pStyle w:val="TableBodyText"/>
            </w:pPr>
          </w:p>
        </w:tc>
        <w:tc>
          <w:tcPr>
            <w:tcW w:w="4015" w:type="pct"/>
          </w:tcPr>
          <w:p w14:paraId="55FB74B3" w14:textId="77777777" w:rsidR="00277776" w:rsidRDefault="00267A25" w:rsidP="00277776">
            <w:pPr>
              <w:pStyle w:val="TableBodyText"/>
            </w:pPr>
            <w:r>
              <w:t xml:space="preserve">In </w:t>
            </w:r>
            <w:r w:rsidR="00277776">
              <w:t>Part 26</w:t>
            </w:r>
            <w:r w:rsidR="009A6B6F">
              <w:t xml:space="preserve"> of the NGR</w:t>
            </w:r>
            <w:r w:rsidR="00852665">
              <w:t xml:space="preserve"> (the standard market timetable):</w:t>
            </w:r>
            <w:r w:rsidR="001475A7">
              <w:t>in the case of a</w:t>
            </w:r>
          </w:p>
          <w:p w14:paraId="2AB8CD32" w14:textId="77777777" w:rsidR="00277776" w:rsidRDefault="00277776" w:rsidP="00277776">
            <w:pPr>
              <w:pStyle w:val="TableBodyText"/>
              <w:ind w:left="369" w:hanging="284"/>
            </w:pPr>
            <w:r>
              <w:t>(a)</w:t>
            </w:r>
            <w:r>
              <w:tab/>
              <w:t>a production facility</w:t>
            </w:r>
            <w:r w:rsidR="00267A25">
              <w:t>, refers to</w:t>
            </w:r>
            <w:r>
              <w:t xml:space="preserve"> each producer, user or non-scheme pipeline user who owns, operates or controls the production facility;  </w:t>
            </w:r>
          </w:p>
          <w:p w14:paraId="0EA4CCA9" w14:textId="77777777" w:rsidR="00277776" w:rsidRDefault="00277776" w:rsidP="00277776">
            <w:pPr>
              <w:pStyle w:val="TableBodyText"/>
              <w:ind w:left="369" w:hanging="284"/>
            </w:pPr>
            <w:r>
              <w:t>(b)</w:t>
            </w:r>
            <w:r>
              <w:tab/>
              <w:t>a gas storage facility</w:t>
            </w:r>
            <w:r w:rsidR="00267A25">
              <w:t>, refers to</w:t>
            </w:r>
            <w:r>
              <w:t xml:space="preserve"> each storage provider for the gas storage facility; and</w:t>
            </w:r>
          </w:p>
          <w:p w14:paraId="634C2C89" w14:textId="77777777" w:rsidR="00277776" w:rsidRDefault="00277776" w:rsidP="00852665">
            <w:pPr>
              <w:pStyle w:val="TableBodyText"/>
              <w:ind w:left="369" w:hanging="284"/>
            </w:pPr>
            <w:r>
              <w:t>(c)</w:t>
            </w:r>
            <w:r>
              <w:tab/>
              <w:t>a transportation facility</w:t>
            </w:r>
            <w:r w:rsidR="00267A25">
              <w:t>, refers to</w:t>
            </w:r>
            <w:r>
              <w:t xml:space="preserve"> each transportation service provider for the facility.</w:t>
            </w:r>
          </w:p>
        </w:tc>
      </w:tr>
      <w:tr w:rsidR="00277776" w14:paraId="5DF6C62C" w14:textId="77777777" w:rsidTr="00A77CCE">
        <w:trPr>
          <w:cantSplit/>
        </w:trPr>
        <w:tc>
          <w:tcPr>
            <w:tcW w:w="985" w:type="pct"/>
          </w:tcPr>
          <w:p w14:paraId="7336ECDB" w14:textId="77777777" w:rsidR="00277776" w:rsidRDefault="00277776" w:rsidP="00277776">
            <w:pPr>
              <w:pStyle w:val="TableBodyText"/>
            </w:pPr>
            <w:r>
              <w:t>primary shipper</w:t>
            </w:r>
          </w:p>
        </w:tc>
        <w:tc>
          <w:tcPr>
            <w:tcW w:w="4015" w:type="pct"/>
          </w:tcPr>
          <w:p w14:paraId="1D298C44" w14:textId="77777777" w:rsidR="00277776" w:rsidRDefault="00267A25" w:rsidP="00267A25">
            <w:pPr>
              <w:pStyle w:val="TableBodyText"/>
            </w:pPr>
            <w:r>
              <w:t>A</w:t>
            </w:r>
            <w:r w:rsidR="00277776">
              <w:t xml:space="preserve"> transportation facility user in its capacity as a party to a primary facility agreement</w:t>
            </w:r>
            <w:r w:rsidR="00852665">
              <w:t xml:space="preserve"> – </w:t>
            </w:r>
            <w:r>
              <w:t>th</w:t>
            </w:r>
            <w:r w:rsidR="00852665">
              <w:t>a</w:t>
            </w:r>
            <w:r>
              <w:t>t is, the shipper has bought the capacity direct from the transportation service provider</w:t>
            </w:r>
            <w:r w:rsidR="00277776">
              <w:t>.</w:t>
            </w:r>
            <w:r>
              <w:t xml:space="preserve">  </w:t>
            </w:r>
          </w:p>
        </w:tc>
      </w:tr>
      <w:tr w:rsidR="00277776" w14:paraId="07E5FCB9" w14:textId="77777777" w:rsidTr="00A77CCE">
        <w:trPr>
          <w:cantSplit/>
        </w:trPr>
        <w:tc>
          <w:tcPr>
            <w:tcW w:w="985" w:type="pct"/>
          </w:tcPr>
          <w:p w14:paraId="5F1D6C09" w14:textId="77777777" w:rsidR="00277776" w:rsidRDefault="00277776" w:rsidP="00277776">
            <w:pPr>
              <w:pStyle w:val="TableBodyText"/>
            </w:pPr>
            <w:r>
              <w:t>secondary shipper</w:t>
            </w:r>
          </w:p>
        </w:tc>
        <w:tc>
          <w:tcPr>
            <w:tcW w:w="4015" w:type="pct"/>
          </w:tcPr>
          <w:p w14:paraId="06C67E3F" w14:textId="77777777" w:rsidR="00277776" w:rsidRDefault="00267A25" w:rsidP="00267A25">
            <w:pPr>
              <w:pStyle w:val="TableBodyText"/>
            </w:pPr>
            <w:r>
              <w:t>A</w:t>
            </w:r>
            <w:r w:rsidR="00277776">
              <w:t xml:space="preserve"> </w:t>
            </w:r>
            <w:r>
              <w:t xml:space="preserve">shipper </w:t>
            </w:r>
            <w:r w:rsidR="001475A7">
              <w:t xml:space="preserve">that </w:t>
            </w:r>
            <w:r>
              <w:t>has bought the capacity from another shipper on an operational transfer basis</w:t>
            </w:r>
            <w:r w:rsidR="00277776">
              <w:t>.</w:t>
            </w:r>
          </w:p>
        </w:tc>
      </w:tr>
      <w:tr w:rsidR="00277776" w14:paraId="4B733918" w14:textId="77777777" w:rsidTr="00A77CCE">
        <w:trPr>
          <w:cantSplit/>
        </w:trPr>
        <w:tc>
          <w:tcPr>
            <w:tcW w:w="985" w:type="pct"/>
          </w:tcPr>
          <w:p w14:paraId="1D1D03C6" w14:textId="77777777" w:rsidR="00277776" w:rsidRDefault="00277776" w:rsidP="00277776">
            <w:pPr>
              <w:pStyle w:val="TableBodyText"/>
            </w:pPr>
            <w:r>
              <w:t>transportation facility user</w:t>
            </w:r>
          </w:p>
        </w:tc>
        <w:tc>
          <w:tcPr>
            <w:tcW w:w="4015" w:type="pct"/>
          </w:tcPr>
          <w:p w14:paraId="7D26901A" w14:textId="77777777" w:rsidR="00277776" w:rsidRDefault="00267A25" w:rsidP="00267A25">
            <w:pPr>
              <w:pStyle w:val="TableBodyText"/>
            </w:pPr>
            <w:r>
              <w:t>The term used to describe a shipper, including both a primary shipper and a secondary shipper.</w:t>
            </w:r>
          </w:p>
        </w:tc>
      </w:tr>
      <w:tr w:rsidR="00277776" w14:paraId="5725CB0F" w14:textId="77777777" w:rsidTr="00A77CCE">
        <w:trPr>
          <w:cantSplit/>
        </w:trPr>
        <w:tc>
          <w:tcPr>
            <w:tcW w:w="985" w:type="pct"/>
          </w:tcPr>
          <w:p w14:paraId="1E622D1B" w14:textId="77777777" w:rsidR="00277776" w:rsidRDefault="00277776" w:rsidP="00277776">
            <w:pPr>
              <w:pStyle w:val="TableBodyText"/>
            </w:pPr>
            <w:r>
              <w:t>transportation service provider</w:t>
            </w:r>
          </w:p>
        </w:tc>
        <w:tc>
          <w:tcPr>
            <w:tcW w:w="4015" w:type="pct"/>
          </w:tcPr>
          <w:p w14:paraId="3769210D" w14:textId="77777777" w:rsidR="00277776" w:rsidRDefault="00852665" w:rsidP="003E6950">
            <w:pPr>
              <w:pStyle w:val="TableBodyText"/>
            </w:pPr>
            <w:r>
              <w:t>A</w:t>
            </w:r>
            <w:r w:rsidR="00277776">
              <w:t xml:space="preserve"> person that owns, controls or operates a </w:t>
            </w:r>
            <w:r w:rsidR="00635E5A">
              <w:t>transportation facility</w:t>
            </w:r>
            <w:r w:rsidR="00277776">
              <w:t xml:space="preserve">. </w:t>
            </w:r>
          </w:p>
        </w:tc>
      </w:tr>
      <w:tr w:rsidR="00277776" w:rsidRPr="00177FE4" w14:paraId="783F64BF" w14:textId="77777777" w:rsidTr="00A77CCE">
        <w:trPr>
          <w:cantSplit/>
        </w:trPr>
        <w:tc>
          <w:tcPr>
            <w:tcW w:w="5000" w:type="pct"/>
            <w:gridSpan w:val="2"/>
            <w:shd w:val="clear" w:color="auto" w:fill="65697F" w:themeFill="background2" w:themeFillShade="80"/>
          </w:tcPr>
          <w:p w14:paraId="5FEBE865" w14:textId="77777777" w:rsidR="00277776" w:rsidRPr="00177FE4" w:rsidRDefault="00277776" w:rsidP="00277776">
            <w:pPr>
              <w:pStyle w:val="TableBodyText"/>
              <w:jc w:val="center"/>
              <w:rPr>
                <w:b/>
                <w:color w:val="FFFFFF" w:themeColor="background1"/>
              </w:rPr>
            </w:pPr>
            <w:r w:rsidRPr="00177FE4">
              <w:rPr>
                <w:b/>
                <w:color w:val="FFFFFF" w:themeColor="background1"/>
              </w:rPr>
              <w:t>Types of facilities</w:t>
            </w:r>
          </w:p>
        </w:tc>
      </w:tr>
      <w:tr w:rsidR="00277776" w14:paraId="033A8973" w14:textId="77777777" w:rsidTr="00A77CCE">
        <w:trPr>
          <w:cantSplit/>
        </w:trPr>
        <w:tc>
          <w:tcPr>
            <w:tcW w:w="985" w:type="pct"/>
          </w:tcPr>
          <w:p w14:paraId="3308EF78" w14:textId="77777777" w:rsidR="00277776" w:rsidRDefault="00277776" w:rsidP="00277776">
            <w:pPr>
              <w:pStyle w:val="TableBodyText"/>
            </w:pPr>
            <w:r>
              <w:t xml:space="preserve">auction facility </w:t>
            </w:r>
          </w:p>
        </w:tc>
        <w:tc>
          <w:tcPr>
            <w:tcW w:w="4015" w:type="pct"/>
          </w:tcPr>
          <w:p w14:paraId="78D7A0A3" w14:textId="77777777" w:rsidR="00277776" w:rsidRDefault="00852665" w:rsidP="003E6950">
            <w:pPr>
              <w:pStyle w:val="TableBodyText"/>
            </w:pPr>
            <w:r>
              <w:t>A</w:t>
            </w:r>
            <w:r w:rsidR="00277776">
              <w:t xml:space="preserve"> transportation facility that </w:t>
            </w:r>
            <w:r w:rsidR="00D529D6">
              <w:t xml:space="preserve">is </w:t>
            </w:r>
            <w:r w:rsidR="0073711A">
              <w:t>subject to the auction</w:t>
            </w:r>
            <w:r w:rsidR="00277776">
              <w:t xml:space="preserve">. </w:t>
            </w:r>
          </w:p>
        </w:tc>
      </w:tr>
      <w:tr w:rsidR="00277776" w14:paraId="60F2B015" w14:textId="77777777" w:rsidTr="00A77CCE">
        <w:trPr>
          <w:cantSplit/>
        </w:trPr>
        <w:tc>
          <w:tcPr>
            <w:tcW w:w="985" w:type="pct"/>
          </w:tcPr>
          <w:p w14:paraId="77B7BA8B" w14:textId="77777777" w:rsidR="00277776" w:rsidRDefault="00277776" w:rsidP="003E6950">
            <w:pPr>
              <w:pStyle w:val="TableBodyText"/>
            </w:pPr>
            <w:r>
              <w:t xml:space="preserve">bidirectional pipeline </w:t>
            </w:r>
          </w:p>
        </w:tc>
        <w:tc>
          <w:tcPr>
            <w:tcW w:w="4015" w:type="pct"/>
          </w:tcPr>
          <w:p w14:paraId="5E7C686C" w14:textId="77777777" w:rsidR="00277776" w:rsidRDefault="00277776" w:rsidP="00277776">
            <w:pPr>
              <w:pStyle w:val="TableBodyText"/>
            </w:pPr>
            <w:r>
              <w:t xml:space="preserve">A pipeline (or part of a pipeline) </w:t>
            </w:r>
            <w:r w:rsidR="00D529D6">
              <w:t>that satisfies the following</w:t>
            </w:r>
            <w:r>
              <w:t>:</w:t>
            </w:r>
          </w:p>
          <w:p w14:paraId="65BEE6CD" w14:textId="77777777" w:rsidR="00277776" w:rsidRDefault="00277776" w:rsidP="003F25E1">
            <w:pPr>
              <w:pStyle w:val="TableBodyText"/>
              <w:numPr>
                <w:ilvl w:val="0"/>
                <w:numId w:val="35"/>
              </w:numPr>
            </w:pPr>
            <w:r>
              <w:t>the direction of the physical flow of natural gas on the pipeline (or part) is capable of being reversed under normal operating conditions; and</w:t>
            </w:r>
          </w:p>
          <w:p w14:paraId="67A93211" w14:textId="77777777" w:rsidR="00277776" w:rsidRDefault="00852665" w:rsidP="00852665">
            <w:pPr>
              <w:pStyle w:val="TableBodyText"/>
              <w:numPr>
                <w:ilvl w:val="0"/>
                <w:numId w:val="35"/>
              </w:numPr>
            </w:pPr>
            <w:r>
              <w:t xml:space="preserve">shippers </w:t>
            </w:r>
            <w:r w:rsidR="00277776" w:rsidRPr="00504B37">
              <w:t>have</w:t>
            </w:r>
            <w:r w:rsidR="00277776">
              <w:t xml:space="preserve"> transportation capacity for firm forward haul services on the pipeline in both physical flow directions.</w:t>
            </w:r>
          </w:p>
        </w:tc>
      </w:tr>
      <w:tr w:rsidR="004934E2" w14:paraId="014B9ABF" w14:textId="77777777" w:rsidTr="00A77CCE">
        <w:trPr>
          <w:cantSplit/>
        </w:trPr>
        <w:tc>
          <w:tcPr>
            <w:tcW w:w="985" w:type="pct"/>
          </w:tcPr>
          <w:p w14:paraId="595A03C6" w14:textId="77777777" w:rsidR="004934E2" w:rsidRDefault="004934E2" w:rsidP="004934E2">
            <w:pPr>
              <w:pStyle w:val="TableBodyText"/>
            </w:pPr>
            <w:r>
              <w:t>compression service facility</w:t>
            </w:r>
          </w:p>
        </w:tc>
        <w:tc>
          <w:tcPr>
            <w:tcW w:w="4015" w:type="pct"/>
          </w:tcPr>
          <w:p w14:paraId="6D4F9D37" w14:textId="77777777" w:rsidR="00852665" w:rsidRDefault="00852665" w:rsidP="001475A7">
            <w:pPr>
              <w:pStyle w:val="TableBodyText"/>
            </w:pPr>
            <w:r>
              <w:t xml:space="preserve">A facility for compressing natural gas. The term includes </w:t>
            </w:r>
            <w:r w:rsidR="003423EB">
              <w:t xml:space="preserve">the </w:t>
            </w:r>
            <w:r>
              <w:t>compression service facilit</w:t>
            </w:r>
            <w:r w:rsidR="003423EB">
              <w:t xml:space="preserve">ies </w:t>
            </w:r>
            <w:r>
              <w:t xml:space="preserve">designated in Schedule 2A of the Regulations, which </w:t>
            </w:r>
            <w:r w:rsidR="003423EB">
              <w:t>are</w:t>
            </w:r>
            <w:r w:rsidR="009B3EBF">
              <w:t xml:space="preserve"> </w:t>
            </w:r>
            <w:r>
              <w:t>the compressors located in Wallumbilla, Moomba, Ballera and Iona.</w:t>
            </w:r>
          </w:p>
          <w:p w14:paraId="224F4277" w14:textId="77777777" w:rsidR="00852665" w:rsidRDefault="00852665" w:rsidP="00852665">
            <w:pPr>
              <w:pStyle w:val="TableBodyText"/>
            </w:pPr>
            <w:r>
              <w:t>The term excludes:</w:t>
            </w:r>
          </w:p>
          <w:p w14:paraId="55B58FE5" w14:textId="77777777" w:rsidR="004934E2" w:rsidRDefault="004934E2" w:rsidP="00EA491F">
            <w:pPr>
              <w:pStyle w:val="TableBodyText"/>
              <w:numPr>
                <w:ilvl w:val="0"/>
                <w:numId w:val="37"/>
              </w:numPr>
            </w:pPr>
            <w:r>
              <w:t xml:space="preserve">a facility operated as part of a gathering system operated as part of an upstream producing operation; or </w:t>
            </w:r>
          </w:p>
          <w:p w14:paraId="315E14AA" w14:textId="77777777" w:rsidR="004934E2" w:rsidRDefault="004934E2" w:rsidP="00EA491F">
            <w:pPr>
              <w:pStyle w:val="TableBodyText"/>
              <w:numPr>
                <w:ilvl w:val="0"/>
                <w:numId w:val="37"/>
              </w:numPr>
            </w:pPr>
            <w:r>
              <w:t>anything downstream of a point on a pipeline from which a person takes natural gas for consumption purposes.</w:t>
            </w:r>
          </w:p>
        </w:tc>
      </w:tr>
      <w:tr w:rsidR="004934E2" w14:paraId="0FE19BB3" w14:textId="77777777" w:rsidTr="00A77CCE">
        <w:trPr>
          <w:cantSplit/>
        </w:trPr>
        <w:tc>
          <w:tcPr>
            <w:tcW w:w="985" w:type="pct"/>
          </w:tcPr>
          <w:p w14:paraId="4C7C54D2" w14:textId="77777777" w:rsidR="004934E2" w:rsidRDefault="004934E2" w:rsidP="004934E2">
            <w:pPr>
              <w:pStyle w:val="TableBodyText"/>
            </w:pPr>
            <w:r>
              <w:t>conditionally exempt facility</w:t>
            </w:r>
          </w:p>
        </w:tc>
        <w:tc>
          <w:tcPr>
            <w:tcW w:w="4015" w:type="pct"/>
          </w:tcPr>
          <w:p w14:paraId="58CEE869" w14:textId="77777777" w:rsidR="00D529D6" w:rsidRDefault="00852665" w:rsidP="00D529D6">
            <w:pPr>
              <w:pStyle w:val="TableBodyText"/>
            </w:pPr>
            <w:r>
              <w:t>A</w:t>
            </w:r>
            <w:r w:rsidR="00D529D6">
              <w:t xml:space="preserve"> </w:t>
            </w:r>
            <w:r w:rsidR="004934E2">
              <w:t xml:space="preserve">transportation facility that is the subject of an exemption granted by the AER </w:t>
            </w:r>
            <w:r w:rsidR="00D529D6">
              <w:t xml:space="preserve">because </w:t>
            </w:r>
            <w:r>
              <w:t xml:space="preserve">it </w:t>
            </w:r>
            <w:r w:rsidR="004934E2">
              <w:t>is</w:t>
            </w:r>
            <w:r w:rsidR="00D529D6">
              <w:t>:</w:t>
            </w:r>
            <w:r w:rsidR="004934E2">
              <w:t xml:space="preserve"> </w:t>
            </w:r>
          </w:p>
          <w:p w14:paraId="14B6ED92" w14:textId="77777777" w:rsidR="004934E2" w:rsidRDefault="004934E2" w:rsidP="00EA491F">
            <w:pPr>
              <w:pStyle w:val="TableBodyText"/>
              <w:numPr>
                <w:ilvl w:val="0"/>
                <w:numId w:val="50"/>
              </w:numPr>
            </w:pPr>
            <w:r>
              <w:t>a single user facility; or</w:t>
            </w:r>
          </w:p>
          <w:p w14:paraId="48C4C352" w14:textId="77777777" w:rsidR="004934E2" w:rsidRDefault="004934E2" w:rsidP="00EA491F">
            <w:pPr>
              <w:pStyle w:val="TableBodyText"/>
              <w:numPr>
                <w:ilvl w:val="0"/>
                <w:numId w:val="50"/>
              </w:numPr>
            </w:pPr>
            <w:r>
              <w:t>has a nameplate rating less than 10 TJ per day.</w:t>
            </w:r>
          </w:p>
          <w:p w14:paraId="3F85ECFE" w14:textId="77777777" w:rsidR="00D529D6" w:rsidRDefault="00D529D6" w:rsidP="00D529D6">
            <w:pPr>
              <w:pStyle w:val="TableBodyText"/>
            </w:pPr>
            <w:r>
              <w:t xml:space="preserve">While these facilities are exempt from the obligation to publish a standard OTSA and to be subject to the auction they are subject to a number of other obligations. </w:t>
            </w:r>
          </w:p>
        </w:tc>
      </w:tr>
      <w:tr w:rsidR="004934E2" w14:paraId="6AD395FB" w14:textId="77777777" w:rsidTr="00A77CCE">
        <w:trPr>
          <w:cantSplit/>
        </w:trPr>
        <w:tc>
          <w:tcPr>
            <w:tcW w:w="985" w:type="pct"/>
          </w:tcPr>
          <w:p w14:paraId="5D1EEA2F" w14:textId="77777777" w:rsidR="004934E2" w:rsidRDefault="004934E2" w:rsidP="004934E2">
            <w:pPr>
              <w:pStyle w:val="TableBodyText"/>
            </w:pPr>
            <w:r>
              <w:lastRenderedPageBreak/>
              <w:t>gas storage facility</w:t>
            </w:r>
          </w:p>
        </w:tc>
        <w:tc>
          <w:tcPr>
            <w:tcW w:w="4015" w:type="pct"/>
          </w:tcPr>
          <w:p w14:paraId="060AE3D8" w14:textId="77777777" w:rsidR="004934E2" w:rsidRDefault="00852665" w:rsidP="00852665">
            <w:pPr>
              <w:pStyle w:val="TableBodyText"/>
            </w:pPr>
            <w:r>
              <w:t>A</w:t>
            </w:r>
            <w:r w:rsidR="004934E2">
              <w:t xml:space="preserve"> facility for storing natural gas for injection into a pipeline.  </w:t>
            </w:r>
          </w:p>
        </w:tc>
      </w:tr>
      <w:tr w:rsidR="004934E2" w14:paraId="24A07B9C" w14:textId="77777777" w:rsidTr="00A77CCE">
        <w:trPr>
          <w:cantSplit/>
        </w:trPr>
        <w:tc>
          <w:tcPr>
            <w:tcW w:w="985" w:type="pct"/>
          </w:tcPr>
          <w:p w14:paraId="522DA715" w14:textId="77777777" w:rsidR="004934E2" w:rsidRDefault="004934E2" w:rsidP="004934E2">
            <w:pPr>
              <w:pStyle w:val="TableBodyText"/>
            </w:pPr>
            <w:r>
              <w:t>natural gas facility</w:t>
            </w:r>
          </w:p>
        </w:tc>
        <w:tc>
          <w:tcPr>
            <w:tcW w:w="4015" w:type="pct"/>
          </w:tcPr>
          <w:p w14:paraId="3C6FB5DC" w14:textId="77777777" w:rsidR="004934E2" w:rsidRDefault="00852665" w:rsidP="00852665">
            <w:pPr>
              <w:pStyle w:val="TableBodyText"/>
            </w:pPr>
            <w:r>
              <w:t>A</w:t>
            </w:r>
            <w:r w:rsidR="004934E2">
              <w:t xml:space="preserve"> production facility, a transportation facility or a gas storage facility.</w:t>
            </w:r>
          </w:p>
        </w:tc>
      </w:tr>
      <w:tr w:rsidR="004934E2" w14:paraId="1F94A2C2" w14:textId="77777777" w:rsidTr="00A77CCE">
        <w:trPr>
          <w:cantSplit/>
        </w:trPr>
        <w:tc>
          <w:tcPr>
            <w:tcW w:w="985" w:type="pct"/>
          </w:tcPr>
          <w:p w14:paraId="3BB2DC79" w14:textId="77777777" w:rsidR="004934E2" w:rsidRDefault="004934E2" w:rsidP="004934E2">
            <w:pPr>
              <w:pStyle w:val="TableBodyText"/>
            </w:pPr>
            <w:r>
              <w:t>Part 24 facility</w:t>
            </w:r>
          </w:p>
        </w:tc>
        <w:tc>
          <w:tcPr>
            <w:tcW w:w="4015" w:type="pct"/>
          </w:tcPr>
          <w:p w14:paraId="57C0EEC3" w14:textId="77777777" w:rsidR="004934E2" w:rsidRDefault="00852665" w:rsidP="00852665">
            <w:pPr>
              <w:pStyle w:val="TableBodyText"/>
            </w:pPr>
            <w:r>
              <w:t xml:space="preserve">A </w:t>
            </w:r>
            <w:r w:rsidR="004934E2">
              <w:t xml:space="preserve">transportation facility that is not an exempt transportation facility. </w:t>
            </w:r>
          </w:p>
        </w:tc>
      </w:tr>
      <w:tr w:rsidR="004934E2" w14:paraId="4A02DD90" w14:textId="77777777" w:rsidTr="00A77CCE">
        <w:trPr>
          <w:cantSplit/>
        </w:trPr>
        <w:tc>
          <w:tcPr>
            <w:tcW w:w="985" w:type="pct"/>
          </w:tcPr>
          <w:p w14:paraId="24349FE1" w14:textId="77777777" w:rsidR="004934E2" w:rsidRDefault="004934E2" w:rsidP="004934E2">
            <w:pPr>
              <w:pStyle w:val="TableBodyText"/>
            </w:pPr>
            <w:r>
              <w:t>production facility</w:t>
            </w:r>
          </w:p>
        </w:tc>
        <w:tc>
          <w:tcPr>
            <w:tcW w:w="4015" w:type="pct"/>
          </w:tcPr>
          <w:p w14:paraId="11E64572" w14:textId="77777777" w:rsidR="004934E2" w:rsidRDefault="00852665" w:rsidP="004934E2">
            <w:pPr>
              <w:pStyle w:val="TableBodyText"/>
            </w:pPr>
            <w:r>
              <w:t>A</w:t>
            </w:r>
            <w:r w:rsidR="004934E2">
              <w:t xml:space="preserve"> facility at which natural gas is produced so that it is in a form suitable for injection into a pipeline.</w:t>
            </w:r>
          </w:p>
        </w:tc>
      </w:tr>
      <w:tr w:rsidR="004934E2" w14:paraId="6AFCF723" w14:textId="77777777" w:rsidTr="00A77CCE">
        <w:trPr>
          <w:cantSplit/>
        </w:trPr>
        <w:tc>
          <w:tcPr>
            <w:tcW w:w="985" w:type="pct"/>
          </w:tcPr>
          <w:p w14:paraId="6AFAAB29" w14:textId="77777777" w:rsidR="004934E2" w:rsidRDefault="004934E2" w:rsidP="003E6950">
            <w:pPr>
              <w:pStyle w:val="TableBodyText"/>
            </w:pPr>
            <w:r>
              <w:t xml:space="preserve">single direction pipeline </w:t>
            </w:r>
          </w:p>
        </w:tc>
        <w:tc>
          <w:tcPr>
            <w:tcW w:w="4015" w:type="pct"/>
          </w:tcPr>
          <w:p w14:paraId="2D853989" w14:textId="77777777" w:rsidR="004934E2" w:rsidRDefault="00852665" w:rsidP="00852665">
            <w:pPr>
              <w:pStyle w:val="TableBodyText"/>
            </w:pPr>
            <w:r>
              <w:t>A</w:t>
            </w:r>
            <w:r w:rsidR="004934E2">
              <w:t xml:space="preserve"> pipeline </w:t>
            </w:r>
            <w:r w:rsidR="003E6950">
              <w:t>(</w:t>
            </w:r>
            <w:r w:rsidR="004934E2">
              <w:t>or part of a pipeline</w:t>
            </w:r>
            <w:r w:rsidR="003E6950">
              <w:t>)</w:t>
            </w:r>
            <w:r w:rsidR="004934E2">
              <w:t xml:space="preserve"> that is not classified as bidirectional.</w:t>
            </w:r>
          </w:p>
        </w:tc>
      </w:tr>
      <w:tr w:rsidR="004934E2" w14:paraId="302EB73A" w14:textId="77777777" w:rsidTr="00A77CCE">
        <w:trPr>
          <w:cantSplit/>
        </w:trPr>
        <w:tc>
          <w:tcPr>
            <w:tcW w:w="985" w:type="pct"/>
          </w:tcPr>
          <w:p w14:paraId="05A1E6AA" w14:textId="77777777" w:rsidR="004934E2" w:rsidRDefault="004934E2" w:rsidP="004934E2">
            <w:pPr>
              <w:pStyle w:val="TableBodyText"/>
            </w:pPr>
            <w:r>
              <w:t>single user facility</w:t>
            </w:r>
          </w:p>
        </w:tc>
        <w:tc>
          <w:tcPr>
            <w:tcW w:w="4015" w:type="pct"/>
          </w:tcPr>
          <w:p w14:paraId="2F1ABF6E" w14:textId="77777777" w:rsidR="004934E2" w:rsidRDefault="00852665" w:rsidP="004934E2">
            <w:pPr>
              <w:pStyle w:val="TableBodyText"/>
            </w:pPr>
            <w:r>
              <w:t>A</w:t>
            </w:r>
            <w:r w:rsidR="004934E2">
              <w:t xml:space="preserve"> transportation facility that </w:t>
            </w:r>
            <w:r w:rsidR="00D529D6">
              <w:t xml:space="preserve">provides </w:t>
            </w:r>
            <w:r w:rsidR="004934E2">
              <w:t>third party access and on which all transportation services are provided to a single transportation facility user</w:t>
            </w:r>
            <w:r w:rsidR="00D529D6">
              <w:t xml:space="preserve"> (</w:t>
            </w:r>
            <w:r w:rsidR="004934E2">
              <w:t>taking into account transportation services provided both directly and indirectly by the transportation service provider</w:t>
            </w:r>
            <w:r w:rsidR="00D529D6">
              <w:t>)</w:t>
            </w:r>
            <w:r w:rsidR="004934E2">
              <w:t>.</w:t>
            </w:r>
          </w:p>
        </w:tc>
      </w:tr>
      <w:tr w:rsidR="004934E2" w14:paraId="6FC1FE62" w14:textId="77777777" w:rsidTr="00A77CCE">
        <w:trPr>
          <w:cantSplit/>
        </w:trPr>
        <w:tc>
          <w:tcPr>
            <w:tcW w:w="985" w:type="pct"/>
          </w:tcPr>
          <w:p w14:paraId="0B3804DD" w14:textId="77777777" w:rsidR="004934E2" w:rsidRDefault="004934E2" w:rsidP="004934E2">
            <w:pPr>
              <w:pStyle w:val="TableBodyText"/>
            </w:pPr>
            <w:r>
              <w:t>stand-alone compression service facility</w:t>
            </w:r>
          </w:p>
        </w:tc>
        <w:tc>
          <w:tcPr>
            <w:tcW w:w="4015" w:type="pct"/>
          </w:tcPr>
          <w:p w14:paraId="7F1F4F20" w14:textId="77777777" w:rsidR="00DE1F52" w:rsidRDefault="00852665" w:rsidP="00DE1F52">
            <w:pPr>
              <w:pStyle w:val="TableBodyText"/>
              <w:rPr>
                <w:szCs w:val="16"/>
              </w:rPr>
            </w:pPr>
            <w:r>
              <w:t>A</w:t>
            </w:r>
            <w:r w:rsidR="004934E2">
              <w:t xml:space="preserve"> compression service facility </w:t>
            </w:r>
            <w:r w:rsidR="00DE1F52">
              <w:rPr>
                <w:szCs w:val="16"/>
              </w:rPr>
              <w:t>that</w:t>
            </w:r>
            <w:r w:rsidR="00DE1F52" w:rsidRPr="007F56DF">
              <w:rPr>
                <w:szCs w:val="16"/>
              </w:rPr>
              <w:t xml:space="preserve"> is or may be used to facilitate the flow of natural gas </w:t>
            </w:r>
            <w:r w:rsidR="00DE1F52" w:rsidRPr="00383523">
              <w:rPr>
                <w:i/>
                <w:szCs w:val="16"/>
              </w:rPr>
              <w:t>between</w:t>
            </w:r>
            <w:r w:rsidR="00DE1F52" w:rsidRPr="007F56DF">
              <w:rPr>
                <w:szCs w:val="16"/>
              </w:rPr>
              <w:t xml:space="preserve"> transmission pipelines and in respect of which compression services are or may be provided</w:t>
            </w:r>
            <w:r w:rsidR="00DE1F52">
              <w:rPr>
                <w:szCs w:val="16"/>
              </w:rPr>
              <w:t>, but</w:t>
            </w:r>
            <w:r w:rsidR="00DE1F52" w:rsidRPr="007F56DF">
              <w:rPr>
                <w:szCs w:val="16"/>
              </w:rPr>
              <w:t xml:space="preserve"> does not include a facility operated as part of a gathering system operated as part of a upstream production operation or downstream of a point on a pipeline from which a person consumes gas.</w:t>
            </w:r>
            <w:r w:rsidR="00DE1F52">
              <w:rPr>
                <w:szCs w:val="16"/>
              </w:rPr>
              <w:t xml:space="preserve"> </w:t>
            </w:r>
          </w:p>
          <w:p w14:paraId="6F2B6B58" w14:textId="77777777" w:rsidR="00E44C6F" w:rsidRDefault="00E44C6F" w:rsidP="00DE1F52">
            <w:pPr>
              <w:pStyle w:val="TableBodyText"/>
            </w:pPr>
            <w:r w:rsidRPr="00AD549E">
              <w:rPr>
                <w:szCs w:val="16"/>
              </w:rPr>
              <w:t>This term is not intended to capture facilities that form part of a pipeline and whose services are provided as part of the pipeline service.</w:t>
            </w:r>
          </w:p>
        </w:tc>
      </w:tr>
      <w:tr w:rsidR="004934E2" w14:paraId="77DAC509" w14:textId="77777777" w:rsidTr="00A77CCE">
        <w:trPr>
          <w:cantSplit/>
        </w:trPr>
        <w:tc>
          <w:tcPr>
            <w:tcW w:w="985" w:type="pct"/>
          </w:tcPr>
          <w:p w14:paraId="0048F9B4" w14:textId="77777777" w:rsidR="004934E2" w:rsidRDefault="004934E2" w:rsidP="004934E2">
            <w:pPr>
              <w:pStyle w:val="TableBodyText"/>
            </w:pPr>
            <w:r>
              <w:t xml:space="preserve">third party access facility </w:t>
            </w:r>
          </w:p>
        </w:tc>
        <w:tc>
          <w:tcPr>
            <w:tcW w:w="4015" w:type="pct"/>
          </w:tcPr>
          <w:p w14:paraId="0AA02ADD" w14:textId="77777777" w:rsidR="004934E2" w:rsidRDefault="006B70E1" w:rsidP="004934E2">
            <w:pPr>
              <w:pStyle w:val="TableBodyText"/>
            </w:pPr>
            <w:r>
              <w:t>A</w:t>
            </w:r>
            <w:r w:rsidR="004934E2">
              <w:t xml:space="preserve"> transportation facility (or the relevant part) on which any transportation services are offered or provided, directly or indirectly to any person other than:</w:t>
            </w:r>
          </w:p>
          <w:p w14:paraId="3D9903CE" w14:textId="77777777" w:rsidR="004934E2" w:rsidRDefault="004934E2" w:rsidP="003F25E1">
            <w:pPr>
              <w:pStyle w:val="TableBodyText"/>
              <w:numPr>
                <w:ilvl w:val="0"/>
                <w:numId w:val="36"/>
              </w:numPr>
            </w:pPr>
            <w:r>
              <w:t>the transportation service provider for the transportation facility;</w:t>
            </w:r>
          </w:p>
          <w:p w14:paraId="3233BB70" w14:textId="77777777" w:rsidR="004934E2" w:rsidRDefault="004934E2" w:rsidP="003F25E1">
            <w:pPr>
              <w:pStyle w:val="TableBodyText"/>
              <w:numPr>
                <w:ilvl w:val="0"/>
                <w:numId w:val="36"/>
              </w:numPr>
            </w:pPr>
            <w:r>
              <w:t xml:space="preserve">a related body corporate of the transportation service provider for the transportation facility; or </w:t>
            </w:r>
          </w:p>
          <w:p w14:paraId="05AA786E" w14:textId="77777777" w:rsidR="004934E2" w:rsidRDefault="004934E2" w:rsidP="003F25E1">
            <w:pPr>
              <w:pStyle w:val="TableBodyText"/>
              <w:numPr>
                <w:ilvl w:val="0"/>
                <w:numId w:val="36"/>
              </w:numPr>
            </w:pPr>
            <w:r>
              <w:t>a joint venture in which the transportation service provider for the transportation facility or a related body corporate of the transportation service provider for the transportation facility is a joint venture participant.</w:t>
            </w:r>
          </w:p>
        </w:tc>
      </w:tr>
      <w:tr w:rsidR="004934E2" w14:paraId="510E5A0A" w14:textId="77777777" w:rsidTr="00A77CCE">
        <w:trPr>
          <w:cantSplit/>
        </w:trPr>
        <w:tc>
          <w:tcPr>
            <w:tcW w:w="985" w:type="pct"/>
          </w:tcPr>
          <w:p w14:paraId="1EC5E980" w14:textId="77777777" w:rsidR="004934E2" w:rsidRDefault="004934E2" w:rsidP="004934E2">
            <w:pPr>
              <w:pStyle w:val="TableBodyText"/>
            </w:pPr>
            <w:r>
              <w:t>transportation facility</w:t>
            </w:r>
          </w:p>
        </w:tc>
        <w:tc>
          <w:tcPr>
            <w:tcW w:w="4015" w:type="pct"/>
          </w:tcPr>
          <w:p w14:paraId="299B9776" w14:textId="77777777" w:rsidR="004934E2" w:rsidRDefault="006B70E1" w:rsidP="006B70E1">
            <w:pPr>
              <w:pStyle w:val="TableBodyText"/>
            </w:pPr>
            <w:r>
              <w:t>A</w:t>
            </w:r>
            <w:r w:rsidR="004934E2">
              <w:t xml:space="preserve"> pipeline</w:t>
            </w:r>
            <w:r>
              <w:t xml:space="preserve"> or</w:t>
            </w:r>
            <w:r w:rsidR="004934E2">
              <w:t xml:space="preserve"> compression service facility</w:t>
            </w:r>
            <w:r>
              <w:t xml:space="preserve">. The NGL allows the Regulations to </w:t>
            </w:r>
            <w:r w:rsidR="004934E2">
              <w:t>specif</w:t>
            </w:r>
            <w:r>
              <w:t>y other types of transportation facility.</w:t>
            </w:r>
            <w:r w:rsidR="004934E2">
              <w:t>.</w:t>
            </w:r>
          </w:p>
        </w:tc>
      </w:tr>
      <w:tr w:rsidR="00277776" w:rsidRPr="00177FE4" w14:paraId="754D1B17" w14:textId="77777777" w:rsidTr="00A77CCE">
        <w:trPr>
          <w:cantSplit/>
        </w:trPr>
        <w:tc>
          <w:tcPr>
            <w:tcW w:w="5000" w:type="pct"/>
            <w:gridSpan w:val="2"/>
            <w:shd w:val="clear" w:color="auto" w:fill="65697F" w:themeFill="background2" w:themeFillShade="80"/>
          </w:tcPr>
          <w:p w14:paraId="2EA1191C" w14:textId="77777777" w:rsidR="00277776" w:rsidRPr="00177FE4" w:rsidRDefault="00277776" w:rsidP="00277776">
            <w:pPr>
              <w:pStyle w:val="TableBodyText"/>
              <w:keepNext/>
              <w:jc w:val="center"/>
              <w:rPr>
                <w:b/>
                <w:color w:val="FFFFFF" w:themeColor="background1"/>
              </w:rPr>
            </w:pPr>
            <w:r w:rsidRPr="00177FE4">
              <w:rPr>
                <w:b/>
                <w:color w:val="FFFFFF" w:themeColor="background1"/>
              </w:rPr>
              <w:t>Types of agreements</w:t>
            </w:r>
            <w:r>
              <w:rPr>
                <w:b/>
                <w:color w:val="FFFFFF" w:themeColor="background1"/>
              </w:rPr>
              <w:t xml:space="preserve"> and instruments</w:t>
            </w:r>
          </w:p>
        </w:tc>
      </w:tr>
      <w:tr w:rsidR="000779AF" w14:paraId="37685883" w14:textId="77777777" w:rsidTr="00A77CCE">
        <w:trPr>
          <w:cantSplit/>
        </w:trPr>
        <w:tc>
          <w:tcPr>
            <w:tcW w:w="985" w:type="pct"/>
          </w:tcPr>
          <w:p w14:paraId="2A152BFB" w14:textId="77777777" w:rsidR="000779AF" w:rsidRDefault="000779AF" w:rsidP="00277776">
            <w:pPr>
              <w:pStyle w:val="TableBodyText"/>
            </w:pPr>
            <w:r>
              <w:t>auction agreement</w:t>
            </w:r>
          </w:p>
        </w:tc>
        <w:tc>
          <w:tcPr>
            <w:tcW w:w="4015" w:type="pct"/>
          </w:tcPr>
          <w:p w14:paraId="094501F2" w14:textId="77777777" w:rsidR="000779AF" w:rsidRDefault="006B70E1" w:rsidP="006B70E1">
            <w:pPr>
              <w:pStyle w:val="TableBodyText"/>
            </w:pPr>
            <w:r>
              <w:t xml:space="preserve">An agreement between a shipper and AEMO under which the shipper becomes an auction participant.  The standard form auction agreement is </w:t>
            </w:r>
            <w:r w:rsidR="000779AF">
              <w:t xml:space="preserve">made by AEMO and set out in the </w:t>
            </w:r>
            <w:r w:rsidR="00221E73">
              <w:t>CT&amp;A Procedures</w:t>
            </w:r>
            <w:r w:rsidR="000779AF">
              <w:t xml:space="preserve">. </w:t>
            </w:r>
          </w:p>
        </w:tc>
      </w:tr>
      <w:tr w:rsidR="000779AF" w14:paraId="60F63CB4" w14:textId="77777777" w:rsidTr="00A77CCE">
        <w:trPr>
          <w:cantSplit/>
        </w:trPr>
        <w:tc>
          <w:tcPr>
            <w:tcW w:w="985" w:type="pct"/>
          </w:tcPr>
          <w:p w14:paraId="39186AE3" w14:textId="77777777" w:rsidR="000779AF" w:rsidRDefault="006B70E1" w:rsidP="00277776">
            <w:pPr>
              <w:pStyle w:val="TableBodyText"/>
            </w:pPr>
            <w:r>
              <w:t>E</w:t>
            </w:r>
            <w:r w:rsidR="005415B7">
              <w:t xml:space="preserve">xchange </w:t>
            </w:r>
            <w:r>
              <w:t>A</w:t>
            </w:r>
            <w:r w:rsidR="005415B7">
              <w:t>greement</w:t>
            </w:r>
          </w:p>
        </w:tc>
        <w:tc>
          <w:tcPr>
            <w:tcW w:w="4015" w:type="pct"/>
          </w:tcPr>
          <w:p w14:paraId="78C9635F" w14:textId="77777777" w:rsidR="000779AF" w:rsidRDefault="006B70E1" w:rsidP="009B3EBF">
            <w:pPr>
              <w:pStyle w:val="TableBodyText"/>
            </w:pPr>
            <w:r>
              <w:t xml:space="preserve">The </w:t>
            </w:r>
            <w:r w:rsidR="005E6B9C" w:rsidRPr="005E6B9C">
              <w:t xml:space="preserve">agreement </w:t>
            </w:r>
            <w:r>
              <w:t xml:space="preserve">made by AEMO under Part 22 of the NGR that establishes the GSH. </w:t>
            </w:r>
            <w:r w:rsidR="009B3EBF">
              <w:t>Shippers and others</w:t>
            </w:r>
            <w:r>
              <w:t xml:space="preserve"> are party to the agreement </w:t>
            </w:r>
            <w:r w:rsidR="009B3EBF">
              <w:t xml:space="preserve">to trade, </w:t>
            </w:r>
            <w:r>
              <w:t xml:space="preserve">as observers or to provide reallocation services. </w:t>
            </w:r>
          </w:p>
        </w:tc>
      </w:tr>
      <w:tr w:rsidR="00277776" w14:paraId="41443866" w14:textId="77777777" w:rsidTr="00A77CCE">
        <w:trPr>
          <w:cantSplit/>
        </w:trPr>
        <w:tc>
          <w:tcPr>
            <w:tcW w:w="985" w:type="pct"/>
          </w:tcPr>
          <w:p w14:paraId="6183B5B5" w14:textId="77777777" w:rsidR="00277776" w:rsidRDefault="00277776" w:rsidP="00277776">
            <w:pPr>
              <w:pStyle w:val="TableBodyText"/>
            </w:pPr>
            <w:r>
              <w:t>facility agreement</w:t>
            </w:r>
          </w:p>
        </w:tc>
        <w:tc>
          <w:tcPr>
            <w:tcW w:w="4015" w:type="pct"/>
          </w:tcPr>
          <w:p w14:paraId="14DEC550" w14:textId="77777777" w:rsidR="00277776" w:rsidRDefault="006B70E1" w:rsidP="006B70E1">
            <w:pPr>
              <w:pStyle w:val="TableBodyText"/>
            </w:pPr>
            <w:r>
              <w:t xml:space="preserve">An agreement between a shipper and a transportation service provider for the provision of pipeline or compression services, such as a </w:t>
            </w:r>
            <w:r w:rsidR="00277776">
              <w:t>primary gas transportation agreement or an OTSA.</w:t>
            </w:r>
          </w:p>
        </w:tc>
      </w:tr>
      <w:tr w:rsidR="004934E2" w14:paraId="5A161AA2" w14:textId="77777777" w:rsidTr="00A77CCE">
        <w:trPr>
          <w:cantSplit/>
        </w:trPr>
        <w:tc>
          <w:tcPr>
            <w:tcW w:w="985" w:type="pct"/>
          </w:tcPr>
          <w:p w14:paraId="71346C94" w14:textId="77777777" w:rsidR="004934E2" w:rsidRDefault="00D0013C" w:rsidP="004934E2">
            <w:pPr>
              <w:pStyle w:val="TableBodyText"/>
            </w:pPr>
            <w:r>
              <w:t>O</w:t>
            </w:r>
            <w:r w:rsidR="004934E2">
              <w:t xml:space="preserve">perational </w:t>
            </w:r>
            <w:r>
              <w:t>T</w:t>
            </w:r>
            <w:r w:rsidR="004934E2">
              <w:t xml:space="preserve">ransportation </w:t>
            </w:r>
            <w:r>
              <w:t>S</w:t>
            </w:r>
            <w:r w:rsidR="004934E2">
              <w:t xml:space="preserve">ervice </w:t>
            </w:r>
            <w:r>
              <w:t>A</w:t>
            </w:r>
            <w:r w:rsidR="004934E2">
              <w:t>greement (OTSA)</w:t>
            </w:r>
          </w:p>
        </w:tc>
        <w:tc>
          <w:tcPr>
            <w:tcW w:w="4015" w:type="pct"/>
          </w:tcPr>
          <w:p w14:paraId="03366D92" w14:textId="77777777" w:rsidR="004934E2" w:rsidRDefault="006B70E1" w:rsidP="00BB363B">
            <w:pPr>
              <w:pStyle w:val="TableBodyText"/>
            </w:pPr>
            <w:r>
              <w:t>A</w:t>
            </w:r>
            <w:r w:rsidR="004934E2">
              <w:t xml:space="preserve">n agreement between a transportation service provider and a transportation facility user </w:t>
            </w:r>
            <w:r>
              <w:t xml:space="preserve">(shipper) under which the shipper can user capacity bought from another shipper </w:t>
            </w:r>
            <w:r w:rsidR="00BB363B">
              <w:t xml:space="preserve">(including through the gas trading exchange) </w:t>
            </w:r>
            <w:r>
              <w:t>or through the auction.</w:t>
            </w:r>
            <w:r w:rsidR="00BB363B">
              <w:t xml:space="preserve"> </w:t>
            </w:r>
          </w:p>
        </w:tc>
      </w:tr>
      <w:tr w:rsidR="004934E2" w14:paraId="644AC460" w14:textId="77777777" w:rsidTr="00A77CCE">
        <w:trPr>
          <w:cantSplit/>
        </w:trPr>
        <w:tc>
          <w:tcPr>
            <w:tcW w:w="985" w:type="pct"/>
          </w:tcPr>
          <w:p w14:paraId="1D089338" w14:textId="77777777" w:rsidR="004934E2" w:rsidRDefault="00D0013C" w:rsidP="004934E2">
            <w:pPr>
              <w:pStyle w:val="TableBodyText"/>
            </w:pPr>
            <w:r>
              <w:t>O</w:t>
            </w:r>
            <w:r w:rsidR="004934E2">
              <w:t xml:space="preserve">perational </w:t>
            </w:r>
            <w:r>
              <w:t>T</w:t>
            </w:r>
            <w:r w:rsidR="004934E2">
              <w:t xml:space="preserve">ransportation </w:t>
            </w:r>
            <w:r>
              <w:t>S</w:t>
            </w:r>
            <w:r w:rsidR="004934E2">
              <w:t xml:space="preserve">ervice </w:t>
            </w:r>
            <w:r>
              <w:t>C</w:t>
            </w:r>
            <w:r w:rsidR="004934E2">
              <w:t>ode (Code)</w:t>
            </w:r>
          </w:p>
        </w:tc>
        <w:tc>
          <w:tcPr>
            <w:tcW w:w="4015" w:type="pct"/>
          </w:tcPr>
          <w:p w14:paraId="6D049811" w14:textId="77777777" w:rsidR="004934E2" w:rsidRDefault="00BB363B" w:rsidP="00BB363B">
            <w:pPr>
              <w:pStyle w:val="TableBodyText"/>
            </w:pPr>
            <w:r>
              <w:t>T</w:t>
            </w:r>
            <w:r w:rsidR="004934E2">
              <w:t xml:space="preserve">he </w:t>
            </w:r>
            <w:r>
              <w:t xml:space="preserve">Code is </w:t>
            </w:r>
            <w:r w:rsidR="004934E2">
              <w:t>made</w:t>
            </w:r>
            <w:r w:rsidR="004934E2" w:rsidRPr="00A423C4">
              <w:t xml:space="preserve"> </w:t>
            </w:r>
            <w:r w:rsidR="004934E2">
              <w:t xml:space="preserve">under </w:t>
            </w:r>
            <w:r w:rsidR="004934E2" w:rsidRPr="00A423C4">
              <w:t xml:space="preserve">the </w:t>
            </w:r>
            <w:r w:rsidR="004934E2">
              <w:t>NGR</w:t>
            </w:r>
            <w:r w:rsidR="004934E2" w:rsidRPr="00A423C4">
              <w:t xml:space="preserve"> </w:t>
            </w:r>
            <w:r>
              <w:t>and</w:t>
            </w:r>
            <w:r w:rsidRPr="00A423C4">
              <w:t xml:space="preserve"> </w:t>
            </w:r>
            <w:r w:rsidR="004934E2" w:rsidRPr="00A423C4">
              <w:t xml:space="preserve">specifies </w:t>
            </w:r>
            <w:r>
              <w:t xml:space="preserve">what must be included in </w:t>
            </w:r>
            <w:r w:rsidR="004934E2">
              <w:t>standard OTSA</w:t>
            </w:r>
            <w:r w:rsidR="004934E2" w:rsidRPr="00A423C4">
              <w:t>s, including the transportation</w:t>
            </w:r>
            <w:r w:rsidR="004934E2">
              <w:t xml:space="preserve"> </w:t>
            </w:r>
            <w:r w:rsidR="004934E2" w:rsidRPr="00A423C4">
              <w:t xml:space="preserve">services that may be provided under a </w:t>
            </w:r>
            <w:r w:rsidR="004934E2">
              <w:t>standard OTSA</w:t>
            </w:r>
            <w:r w:rsidR="004934E2" w:rsidRPr="00A423C4">
              <w:t xml:space="preserve"> and the terms</w:t>
            </w:r>
            <w:r w:rsidR="004934E2">
              <w:t xml:space="preserve"> </w:t>
            </w:r>
            <w:r w:rsidR="004934E2" w:rsidRPr="00A423C4">
              <w:t>and conditions applicable for use of those transportation services</w:t>
            </w:r>
            <w:r w:rsidR="004934E2">
              <w:t>.</w:t>
            </w:r>
          </w:p>
        </w:tc>
      </w:tr>
      <w:tr w:rsidR="00277776" w14:paraId="0B484364" w14:textId="77777777" w:rsidTr="00A77CCE">
        <w:trPr>
          <w:cantSplit/>
        </w:trPr>
        <w:tc>
          <w:tcPr>
            <w:tcW w:w="985" w:type="pct"/>
          </w:tcPr>
          <w:p w14:paraId="235C8EFD" w14:textId="77777777" w:rsidR="00277776" w:rsidRDefault="00277776" w:rsidP="00277776">
            <w:pPr>
              <w:pStyle w:val="TableBodyText"/>
            </w:pPr>
            <w:r>
              <w:lastRenderedPageBreak/>
              <w:t>primary facility agreement</w:t>
            </w:r>
          </w:p>
        </w:tc>
        <w:tc>
          <w:tcPr>
            <w:tcW w:w="4015" w:type="pct"/>
          </w:tcPr>
          <w:p w14:paraId="30E639E8" w14:textId="77777777" w:rsidR="00277776" w:rsidRDefault="00BB363B" w:rsidP="00BB363B">
            <w:pPr>
              <w:pStyle w:val="TableBodyText"/>
            </w:pPr>
            <w:r>
              <w:t>A</w:t>
            </w:r>
            <w:r w:rsidR="00277776">
              <w:t xml:space="preserve">n agreement </w:t>
            </w:r>
            <w:r>
              <w:t xml:space="preserve">under which a shipper buys capacity direct from the </w:t>
            </w:r>
            <w:r w:rsidR="00277776">
              <w:t xml:space="preserve">transportation service provider. If an agreement provides for the use of primary capacity and </w:t>
            </w:r>
            <w:r>
              <w:t xml:space="preserve">secondary </w:t>
            </w:r>
            <w:r w:rsidR="00277776">
              <w:t xml:space="preserve">capacity, a reference to a primary facility agreement </w:t>
            </w:r>
            <w:r>
              <w:t>only includes the agreement as it applies to</w:t>
            </w:r>
            <w:r w:rsidR="00277776">
              <w:t xml:space="preserve"> primary capacity.</w:t>
            </w:r>
          </w:p>
        </w:tc>
      </w:tr>
      <w:tr w:rsidR="00277776" w14:paraId="517A48B3" w14:textId="77777777" w:rsidTr="00A77CCE">
        <w:trPr>
          <w:cantSplit/>
        </w:trPr>
        <w:tc>
          <w:tcPr>
            <w:tcW w:w="985" w:type="pct"/>
            <w:tcBorders>
              <w:bottom w:val="single" w:sz="4" w:space="0" w:color="auto"/>
            </w:tcBorders>
          </w:tcPr>
          <w:p w14:paraId="6E4DF917" w14:textId="77777777" w:rsidR="00277776" w:rsidRDefault="00277776" w:rsidP="00277776">
            <w:pPr>
              <w:pStyle w:val="TableBodyText"/>
            </w:pPr>
            <w:r>
              <w:rPr>
                <w:lang w:eastAsia="fr-CA"/>
              </w:rPr>
              <w:t>standard OTSA</w:t>
            </w:r>
          </w:p>
        </w:tc>
        <w:tc>
          <w:tcPr>
            <w:tcW w:w="4015" w:type="pct"/>
            <w:tcBorders>
              <w:bottom w:val="single" w:sz="4" w:space="0" w:color="auto"/>
            </w:tcBorders>
          </w:tcPr>
          <w:p w14:paraId="4059D62D" w14:textId="77777777" w:rsidR="00277776" w:rsidRDefault="00BB363B" w:rsidP="00980144">
            <w:pPr>
              <w:pStyle w:val="TableBodyText"/>
            </w:pPr>
            <w:r>
              <w:t>T</w:t>
            </w:r>
            <w:r w:rsidR="00277776">
              <w:t xml:space="preserve">he OTSA that transportation </w:t>
            </w:r>
            <w:r w:rsidR="00277776" w:rsidRPr="00086528">
              <w:t xml:space="preserve">service providers </w:t>
            </w:r>
            <w:r w:rsidR="00980144">
              <w:t xml:space="preserve">for </w:t>
            </w:r>
            <w:r w:rsidR="00D0013C">
              <w:t xml:space="preserve">Part 24 facilities and conditionally exempt facilities </w:t>
            </w:r>
            <w:r w:rsidR="00277776" w:rsidRPr="00086528">
              <w:t>must prepare and offer to enter into</w:t>
            </w:r>
            <w:r w:rsidR="00980144">
              <w:t>.  The terms of the standard OTSA must principally comply with Code.</w:t>
            </w:r>
          </w:p>
        </w:tc>
      </w:tr>
      <w:tr w:rsidR="00277776" w:rsidRPr="00177FE4" w14:paraId="54D1343E" w14:textId="77777777" w:rsidTr="00A77CCE">
        <w:trPr>
          <w:cantSplit/>
        </w:trPr>
        <w:tc>
          <w:tcPr>
            <w:tcW w:w="5000" w:type="pct"/>
            <w:gridSpan w:val="2"/>
            <w:shd w:val="clear" w:color="auto" w:fill="65697F" w:themeFill="background2" w:themeFillShade="80"/>
          </w:tcPr>
          <w:p w14:paraId="5B43D863" w14:textId="77777777" w:rsidR="00277776" w:rsidRPr="00177FE4" w:rsidRDefault="00635E5A" w:rsidP="003E6950">
            <w:pPr>
              <w:pStyle w:val="TableBodyText"/>
              <w:jc w:val="center"/>
              <w:rPr>
                <w:b/>
                <w:color w:val="FFFFFF" w:themeColor="background1"/>
              </w:rPr>
            </w:pPr>
            <w:r>
              <w:rPr>
                <w:b/>
                <w:color w:val="FFFFFF" w:themeColor="background1"/>
              </w:rPr>
              <w:t>Types of s</w:t>
            </w:r>
            <w:r w:rsidR="00277776" w:rsidRPr="00177FE4">
              <w:rPr>
                <w:b/>
                <w:color w:val="FFFFFF" w:themeColor="background1"/>
              </w:rPr>
              <w:t>ervices</w:t>
            </w:r>
          </w:p>
        </w:tc>
      </w:tr>
      <w:tr w:rsidR="004934E2" w14:paraId="4EB8E6B1" w14:textId="77777777" w:rsidTr="00A77CCE">
        <w:trPr>
          <w:cantSplit/>
        </w:trPr>
        <w:tc>
          <w:tcPr>
            <w:tcW w:w="985" w:type="pct"/>
          </w:tcPr>
          <w:p w14:paraId="78CE0609" w14:textId="77777777" w:rsidR="004934E2" w:rsidRDefault="004934E2" w:rsidP="004934E2">
            <w:pPr>
              <w:pStyle w:val="TableBodyText"/>
            </w:pPr>
            <w:r>
              <w:t>auction service</w:t>
            </w:r>
          </w:p>
        </w:tc>
        <w:tc>
          <w:tcPr>
            <w:tcW w:w="4015" w:type="pct"/>
          </w:tcPr>
          <w:p w14:paraId="12CA8D78" w14:textId="77777777" w:rsidR="004934E2" w:rsidRDefault="00980144" w:rsidP="004934E2">
            <w:pPr>
              <w:pStyle w:val="TableBodyText"/>
            </w:pPr>
            <w:r>
              <w:t>E</w:t>
            </w:r>
            <w:r w:rsidR="00F63BBF">
              <w:t xml:space="preserve">ach of the </w:t>
            </w:r>
            <w:r w:rsidR="004934E2">
              <w:t>following services, as applicable to the relevant auction facility:</w:t>
            </w:r>
          </w:p>
          <w:p w14:paraId="7FA1F45B" w14:textId="77777777" w:rsidR="004934E2" w:rsidRDefault="004934E2" w:rsidP="00EA491F">
            <w:pPr>
              <w:pStyle w:val="TableBodyText"/>
              <w:numPr>
                <w:ilvl w:val="0"/>
                <w:numId w:val="38"/>
              </w:numPr>
            </w:pPr>
            <w:r>
              <w:t>forward haul auction service;</w:t>
            </w:r>
          </w:p>
          <w:p w14:paraId="03283701" w14:textId="77777777" w:rsidR="004934E2" w:rsidRDefault="004934E2" w:rsidP="00EA491F">
            <w:pPr>
              <w:pStyle w:val="TableBodyText"/>
              <w:numPr>
                <w:ilvl w:val="0"/>
                <w:numId w:val="38"/>
              </w:numPr>
            </w:pPr>
            <w:r>
              <w:t>backhaul auction service; and</w:t>
            </w:r>
          </w:p>
          <w:p w14:paraId="38D2E33A" w14:textId="77777777" w:rsidR="004934E2" w:rsidRDefault="004934E2" w:rsidP="00EA491F">
            <w:pPr>
              <w:pStyle w:val="TableBodyText"/>
              <w:numPr>
                <w:ilvl w:val="0"/>
                <w:numId w:val="38"/>
              </w:numPr>
            </w:pPr>
            <w:r>
              <w:t>compression auction service</w:t>
            </w:r>
            <w:r w:rsidR="00D17C78">
              <w:t>,</w:t>
            </w:r>
          </w:p>
          <w:p w14:paraId="0D63F4F4" w14:textId="77777777" w:rsidR="00D17C78" w:rsidRDefault="00980144" w:rsidP="00980144">
            <w:pPr>
              <w:pStyle w:val="TableBodyText"/>
            </w:pPr>
            <w:r>
              <w:t xml:space="preserve">The Rules assume the auction service is provided </w:t>
            </w:r>
            <w:r w:rsidR="00D17C78">
              <w:t>on the terms and conditions of the standard OTSA for the auction facility.</w:t>
            </w:r>
          </w:p>
        </w:tc>
      </w:tr>
      <w:tr w:rsidR="004934E2" w14:paraId="4F314055" w14:textId="77777777" w:rsidTr="00A77CCE">
        <w:trPr>
          <w:cantSplit/>
        </w:trPr>
        <w:tc>
          <w:tcPr>
            <w:tcW w:w="985" w:type="pct"/>
          </w:tcPr>
          <w:p w14:paraId="2676FB08" w14:textId="77777777" w:rsidR="004934E2" w:rsidRDefault="004934E2" w:rsidP="004934E2">
            <w:pPr>
              <w:pStyle w:val="TableBodyText"/>
            </w:pPr>
            <w:r>
              <w:t>backhaul service</w:t>
            </w:r>
          </w:p>
        </w:tc>
        <w:tc>
          <w:tcPr>
            <w:tcW w:w="4015" w:type="pct"/>
          </w:tcPr>
          <w:p w14:paraId="3D891682" w14:textId="77777777" w:rsidR="004934E2" w:rsidRDefault="00980144" w:rsidP="00980144">
            <w:pPr>
              <w:pStyle w:val="TableBodyText"/>
            </w:pPr>
            <w:r>
              <w:t>A</w:t>
            </w:r>
            <w:r w:rsidR="004934E2">
              <w:t xml:space="preserve"> pipeline service provided by means of a single direction pipeline</w:t>
            </w:r>
            <w:r w:rsidR="00DE6F00">
              <w:t xml:space="preserve"> (or part of a pipeline)</w:t>
            </w:r>
            <w:r w:rsidR="004934E2">
              <w:t xml:space="preserve">, where the direction of service is predominantly opposite to the actual physical flow of gas in the pipeline. </w:t>
            </w:r>
          </w:p>
        </w:tc>
      </w:tr>
      <w:tr w:rsidR="004934E2" w14:paraId="7585D03D" w14:textId="77777777" w:rsidTr="00A77CCE">
        <w:trPr>
          <w:cantSplit/>
        </w:trPr>
        <w:tc>
          <w:tcPr>
            <w:tcW w:w="985" w:type="pct"/>
          </w:tcPr>
          <w:p w14:paraId="2F7DE52E" w14:textId="77777777" w:rsidR="004934E2" w:rsidRDefault="004934E2" w:rsidP="004934E2">
            <w:pPr>
              <w:pStyle w:val="TableBodyText"/>
            </w:pPr>
            <w:r>
              <w:t>compression service</w:t>
            </w:r>
          </w:p>
        </w:tc>
        <w:tc>
          <w:tcPr>
            <w:tcW w:w="4015" w:type="pct"/>
          </w:tcPr>
          <w:p w14:paraId="0BCDE98F" w14:textId="77777777" w:rsidR="004934E2" w:rsidRDefault="00980DAC" w:rsidP="004934E2">
            <w:pPr>
              <w:pStyle w:val="TableBodyText"/>
            </w:pPr>
            <w:r>
              <w:t>A</w:t>
            </w:r>
            <w:r w:rsidR="004934E2">
              <w:t xml:space="preserve"> service provided by means of a compression service facility.</w:t>
            </w:r>
          </w:p>
        </w:tc>
      </w:tr>
      <w:tr w:rsidR="004934E2" w14:paraId="7CB62E29" w14:textId="77777777" w:rsidTr="00A77CCE">
        <w:trPr>
          <w:cantSplit/>
        </w:trPr>
        <w:tc>
          <w:tcPr>
            <w:tcW w:w="985" w:type="pct"/>
          </w:tcPr>
          <w:p w14:paraId="2992A454" w14:textId="77777777" w:rsidR="004934E2" w:rsidRDefault="004934E2" w:rsidP="004934E2">
            <w:pPr>
              <w:pStyle w:val="TableBodyText"/>
            </w:pPr>
            <w:r>
              <w:t>operational transportation service</w:t>
            </w:r>
          </w:p>
        </w:tc>
        <w:tc>
          <w:tcPr>
            <w:tcW w:w="4015" w:type="pct"/>
          </w:tcPr>
          <w:p w14:paraId="79B70134" w14:textId="77777777" w:rsidR="004934E2" w:rsidRDefault="00980DAC" w:rsidP="004810CD">
            <w:pPr>
              <w:pStyle w:val="TableBodyText"/>
            </w:pPr>
            <w:r>
              <w:t>A</w:t>
            </w:r>
            <w:r w:rsidR="004934E2">
              <w:t xml:space="preserve"> transportation service provided under an OTSA</w:t>
            </w:r>
            <w:r w:rsidR="004810CD">
              <w:t xml:space="preserve">.  </w:t>
            </w:r>
          </w:p>
        </w:tc>
      </w:tr>
      <w:tr w:rsidR="002C3C70" w14:paraId="4BFF0470" w14:textId="77777777" w:rsidTr="00A77CCE">
        <w:trPr>
          <w:cantSplit/>
        </w:trPr>
        <w:tc>
          <w:tcPr>
            <w:tcW w:w="985" w:type="pct"/>
          </w:tcPr>
          <w:p w14:paraId="7415C7EA" w14:textId="77777777" w:rsidR="002C3C70" w:rsidRDefault="002C3C70" w:rsidP="004934E2">
            <w:pPr>
              <w:pStyle w:val="TableBodyText"/>
            </w:pPr>
            <w:r>
              <w:t>park service</w:t>
            </w:r>
          </w:p>
        </w:tc>
        <w:tc>
          <w:tcPr>
            <w:tcW w:w="4015" w:type="pct"/>
          </w:tcPr>
          <w:p w14:paraId="02A340F1" w14:textId="77777777" w:rsidR="002C3C70" w:rsidRDefault="004810CD" w:rsidP="004934E2">
            <w:pPr>
              <w:pStyle w:val="TableBodyText"/>
            </w:pPr>
            <w:r>
              <w:t>A</w:t>
            </w:r>
            <w:r w:rsidR="002C3C70">
              <w:t xml:space="preserve"> transportation service under which transportation capacity in a pipeline is made available for use as a storage service and which may also permit a transportation facility user to loan natural gas from the pipeline</w:t>
            </w:r>
            <w:r w:rsidR="004E493E">
              <w:t>.</w:t>
            </w:r>
          </w:p>
        </w:tc>
      </w:tr>
      <w:tr w:rsidR="004810CD" w14:paraId="4D98DEF8" w14:textId="77777777" w:rsidTr="00A77CCE">
        <w:trPr>
          <w:cantSplit/>
        </w:trPr>
        <w:tc>
          <w:tcPr>
            <w:tcW w:w="985" w:type="pct"/>
          </w:tcPr>
          <w:p w14:paraId="115A20F2" w14:textId="77777777" w:rsidR="004810CD" w:rsidRDefault="004810CD" w:rsidP="004934E2">
            <w:pPr>
              <w:pStyle w:val="TableBodyText"/>
            </w:pPr>
            <w:r>
              <w:t>pipeline service</w:t>
            </w:r>
          </w:p>
        </w:tc>
        <w:tc>
          <w:tcPr>
            <w:tcW w:w="4015" w:type="pct"/>
          </w:tcPr>
          <w:p w14:paraId="49AEAFBE" w14:textId="77777777" w:rsidR="004810CD" w:rsidDel="004810CD" w:rsidRDefault="004810CD" w:rsidP="004934E2">
            <w:pPr>
              <w:pStyle w:val="TableBodyText"/>
            </w:pPr>
            <w:r>
              <w:t>A service provided by means of a pipeline.</w:t>
            </w:r>
          </w:p>
        </w:tc>
      </w:tr>
      <w:tr w:rsidR="004934E2" w14:paraId="6F788E56" w14:textId="77777777" w:rsidTr="00A77CCE">
        <w:trPr>
          <w:cantSplit/>
        </w:trPr>
        <w:tc>
          <w:tcPr>
            <w:tcW w:w="985" w:type="pct"/>
          </w:tcPr>
          <w:p w14:paraId="7CAEACDA" w14:textId="77777777" w:rsidR="004934E2" w:rsidRDefault="004934E2" w:rsidP="004934E2">
            <w:pPr>
              <w:pStyle w:val="TableBodyText"/>
            </w:pPr>
            <w:r>
              <w:rPr>
                <w:lang w:eastAsia="fr-CA"/>
              </w:rPr>
              <w:t>s</w:t>
            </w:r>
            <w:r w:rsidRPr="00086528">
              <w:rPr>
                <w:lang w:eastAsia="fr-CA"/>
              </w:rPr>
              <w:t>tandard operational transportation service</w:t>
            </w:r>
          </w:p>
        </w:tc>
        <w:tc>
          <w:tcPr>
            <w:tcW w:w="4015" w:type="pct"/>
          </w:tcPr>
          <w:p w14:paraId="542A2274" w14:textId="77777777" w:rsidR="004934E2" w:rsidRDefault="004810CD" w:rsidP="004810CD">
            <w:pPr>
              <w:pStyle w:val="TableBodyText"/>
            </w:pPr>
            <w:r>
              <w:rPr>
                <w:lang w:eastAsia="fr-CA"/>
              </w:rPr>
              <w:t>Each of the</w:t>
            </w:r>
            <w:r w:rsidR="004934E2">
              <w:rPr>
                <w:lang w:eastAsia="fr-CA"/>
              </w:rPr>
              <w:t xml:space="preserve"> operational transportation </w:t>
            </w:r>
            <w:r w:rsidR="004934E2" w:rsidRPr="00086528">
              <w:rPr>
                <w:lang w:eastAsia="fr-CA"/>
              </w:rPr>
              <w:t>service</w:t>
            </w:r>
            <w:r>
              <w:rPr>
                <w:lang w:eastAsia="fr-CA"/>
              </w:rPr>
              <w:t xml:space="preserve">s described in the Code, including the auction services. </w:t>
            </w:r>
          </w:p>
        </w:tc>
      </w:tr>
      <w:tr w:rsidR="00277776" w14:paraId="4A2D4CE5" w14:textId="77777777" w:rsidTr="00A77CCE">
        <w:trPr>
          <w:cantSplit/>
        </w:trPr>
        <w:tc>
          <w:tcPr>
            <w:tcW w:w="985" w:type="pct"/>
          </w:tcPr>
          <w:p w14:paraId="7EF95D0B" w14:textId="77777777" w:rsidR="00277776" w:rsidRDefault="00277776" w:rsidP="00277776">
            <w:pPr>
              <w:pStyle w:val="TableBodyText"/>
            </w:pPr>
            <w:r>
              <w:t>transportation service</w:t>
            </w:r>
          </w:p>
        </w:tc>
        <w:tc>
          <w:tcPr>
            <w:tcW w:w="4015" w:type="pct"/>
          </w:tcPr>
          <w:p w14:paraId="3F736D1A" w14:textId="77777777" w:rsidR="00277776" w:rsidRDefault="004810CD" w:rsidP="004810CD">
            <w:pPr>
              <w:pStyle w:val="TableBodyText"/>
            </w:pPr>
            <w:r>
              <w:t>A pipeline service or a compression service</w:t>
            </w:r>
            <w:r w:rsidR="00277776">
              <w:t>.</w:t>
            </w:r>
          </w:p>
        </w:tc>
      </w:tr>
      <w:tr w:rsidR="00277776" w:rsidRPr="002D4EBF" w14:paraId="5F44E3CF" w14:textId="77777777" w:rsidTr="00A77CCE">
        <w:trPr>
          <w:cantSplit/>
        </w:trPr>
        <w:tc>
          <w:tcPr>
            <w:tcW w:w="5000" w:type="pct"/>
            <w:gridSpan w:val="2"/>
            <w:shd w:val="clear" w:color="auto" w:fill="65697F" w:themeFill="background2" w:themeFillShade="80"/>
          </w:tcPr>
          <w:p w14:paraId="46EBCDD9" w14:textId="77777777" w:rsidR="00277776" w:rsidRPr="002D4EBF" w:rsidRDefault="00277776" w:rsidP="00DE6F00">
            <w:pPr>
              <w:pStyle w:val="TableBodyText"/>
              <w:keepNext/>
              <w:jc w:val="center"/>
              <w:rPr>
                <w:b/>
                <w:color w:val="FFFFFF" w:themeColor="background1"/>
              </w:rPr>
            </w:pPr>
            <w:r w:rsidRPr="002D4EBF">
              <w:rPr>
                <w:b/>
                <w:color w:val="FFFFFF" w:themeColor="background1"/>
              </w:rPr>
              <w:t xml:space="preserve">Other </w:t>
            </w:r>
            <w:r>
              <w:rPr>
                <w:b/>
                <w:color w:val="FFFFFF" w:themeColor="background1"/>
              </w:rPr>
              <w:t xml:space="preserve">capacity trading and day-ahead auction </w:t>
            </w:r>
            <w:r w:rsidRPr="002D4EBF">
              <w:rPr>
                <w:b/>
                <w:color w:val="FFFFFF" w:themeColor="background1"/>
              </w:rPr>
              <w:t>concepts</w:t>
            </w:r>
          </w:p>
        </w:tc>
      </w:tr>
      <w:tr w:rsidR="004934E2" w14:paraId="641292E1" w14:textId="77777777" w:rsidTr="00A77CCE">
        <w:trPr>
          <w:cantSplit/>
        </w:trPr>
        <w:tc>
          <w:tcPr>
            <w:tcW w:w="985" w:type="pct"/>
          </w:tcPr>
          <w:p w14:paraId="70E45E34" w14:textId="77777777" w:rsidR="004934E2" w:rsidRPr="001355EB" w:rsidRDefault="004934E2" w:rsidP="004934E2">
            <w:pPr>
              <w:pStyle w:val="TableBodyText"/>
              <w:rPr>
                <w:sz w:val="19"/>
                <w:szCs w:val="19"/>
              </w:rPr>
            </w:pPr>
            <w:r>
              <w:t>auction capacity</w:t>
            </w:r>
          </w:p>
        </w:tc>
        <w:tc>
          <w:tcPr>
            <w:tcW w:w="4015" w:type="pct"/>
          </w:tcPr>
          <w:p w14:paraId="03FEE136" w14:textId="77777777" w:rsidR="004934E2" w:rsidRPr="001355EB" w:rsidRDefault="004810CD" w:rsidP="004810CD">
            <w:pPr>
              <w:pStyle w:val="TableBodyText"/>
              <w:rPr>
                <w:sz w:val="19"/>
                <w:szCs w:val="19"/>
              </w:rPr>
            </w:pPr>
            <w:r>
              <w:t>T</w:t>
            </w:r>
            <w:r w:rsidR="004934E2">
              <w:t xml:space="preserve">he quantity of the auction product available to be allocated in the </w:t>
            </w:r>
            <w:r w:rsidR="00D0013C">
              <w:t xml:space="preserve">day-ahead </w:t>
            </w:r>
            <w:r w:rsidR="004934E2">
              <w:t xml:space="preserve">auction for </w:t>
            </w:r>
            <w:r w:rsidR="004934E2" w:rsidRPr="004934E2">
              <w:t>the gas day</w:t>
            </w:r>
            <w:r>
              <w:t>. The auction capacity is</w:t>
            </w:r>
            <w:r w:rsidR="004934E2" w:rsidRPr="004934E2">
              <w:t xml:space="preserve"> determined </w:t>
            </w:r>
            <w:r>
              <w:t xml:space="preserve">using </w:t>
            </w:r>
            <w:r w:rsidR="004934E2" w:rsidRPr="004934E2">
              <w:t>the auction quantity limits for the gas day.</w:t>
            </w:r>
          </w:p>
        </w:tc>
      </w:tr>
      <w:tr w:rsidR="004934E2" w14:paraId="6B91C144" w14:textId="77777777" w:rsidTr="00A77CCE">
        <w:trPr>
          <w:cantSplit/>
        </w:trPr>
        <w:tc>
          <w:tcPr>
            <w:tcW w:w="985" w:type="pct"/>
          </w:tcPr>
          <w:p w14:paraId="3799BFC5" w14:textId="77777777" w:rsidR="004934E2" w:rsidRPr="009A6B6F" w:rsidRDefault="004934E2" w:rsidP="004934E2">
            <w:pPr>
              <w:pStyle w:val="TableBodyText"/>
              <w:rPr>
                <w:sz w:val="19"/>
                <w:szCs w:val="19"/>
              </w:rPr>
            </w:pPr>
            <w:r w:rsidRPr="00CF72C1">
              <w:t>auction quantity limit</w:t>
            </w:r>
          </w:p>
        </w:tc>
        <w:tc>
          <w:tcPr>
            <w:tcW w:w="4015" w:type="pct"/>
          </w:tcPr>
          <w:p w14:paraId="205EAFFA" w14:textId="77777777" w:rsidR="004934E2" w:rsidRPr="009A6B6F" w:rsidRDefault="004810CD" w:rsidP="004810CD">
            <w:pPr>
              <w:pStyle w:val="TableBodyText"/>
              <w:rPr>
                <w:sz w:val="19"/>
                <w:szCs w:val="19"/>
              </w:rPr>
            </w:pPr>
            <w:r>
              <w:t>The</w:t>
            </w:r>
            <w:r w:rsidR="004934E2" w:rsidRPr="00CF72C1">
              <w:t xml:space="preserve"> auction quantity limit</w:t>
            </w:r>
            <w:r>
              <w:t>s</w:t>
            </w:r>
            <w:r w:rsidR="004934E2" w:rsidRPr="00CF72C1">
              <w:t xml:space="preserve"> </w:t>
            </w:r>
            <w:r>
              <w:t xml:space="preserve">are </w:t>
            </w:r>
            <w:r w:rsidR="004934E2" w:rsidRPr="00CF72C1">
              <w:t xml:space="preserve">determined </w:t>
            </w:r>
            <w:r>
              <w:t xml:space="preserve">by transportation service providers each day applying the calculations in the </w:t>
            </w:r>
            <w:r w:rsidR="00221E73">
              <w:t>CT&amp;A Procedures</w:t>
            </w:r>
            <w:r w:rsidR="00221E73" w:rsidRPr="00CF72C1">
              <w:t xml:space="preserve"> </w:t>
            </w:r>
            <w:r w:rsidR="004934E2" w:rsidRPr="00CF72C1">
              <w:t>and provided to AEMO</w:t>
            </w:r>
            <w:r w:rsidR="009A6B6F" w:rsidRPr="009A6B6F">
              <w:t>.</w:t>
            </w:r>
          </w:p>
        </w:tc>
      </w:tr>
      <w:tr w:rsidR="004934E2" w14:paraId="7071EE59" w14:textId="77777777" w:rsidTr="00A77CCE">
        <w:trPr>
          <w:cantSplit/>
        </w:trPr>
        <w:tc>
          <w:tcPr>
            <w:tcW w:w="985" w:type="pct"/>
          </w:tcPr>
          <w:p w14:paraId="51B0376D" w14:textId="77777777" w:rsidR="004934E2" w:rsidRPr="001355EB" w:rsidRDefault="004934E2" w:rsidP="004934E2">
            <w:pPr>
              <w:pStyle w:val="TableBodyText"/>
              <w:rPr>
                <w:sz w:val="19"/>
                <w:szCs w:val="19"/>
              </w:rPr>
            </w:pPr>
            <w:r>
              <w:t xml:space="preserve">firm </w:t>
            </w:r>
          </w:p>
        </w:tc>
        <w:tc>
          <w:tcPr>
            <w:tcW w:w="4015" w:type="pct"/>
          </w:tcPr>
          <w:p w14:paraId="704B35D3" w14:textId="77777777" w:rsidR="004934E2" w:rsidRPr="0048261F" w:rsidRDefault="004810CD" w:rsidP="004934E2">
            <w:pPr>
              <w:pStyle w:val="TableBodyText"/>
            </w:pPr>
            <w:r>
              <w:t xml:space="preserve">In general terms, refers to </w:t>
            </w:r>
            <w:r w:rsidR="002B27B2">
              <w:t xml:space="preserve">the high priority </w:t>
            </w:r>
            <w:r>
              <w:t xml:space="preserve">transportation services </w:t>
            </w:r>
            <w:r w:rsidR="002B27B2">
              <w:t xml:space="preserve">that are </w:t>
            </w:r>
            <w:r>
              <w:t>typically described a</w:t>
            </w:r>
            <w:r w:rsidR="002B27B2">
              <w:t xml:space="preserve">s firm in facility agreements. </w:t>
            </w:r>
            <w:r>
              <w:t>The term is defined in Part 2</w:t>
            </w:r>
            <w:r w:rsidR="00F36821">
              <w:t>5</w:t>
            </w:r>
            <w:r>
              <w:t xml:space="preserve"> </w:t>
            </w:r>
            <w:r w:rsidR="002B27B2">
              <w:t xml:space="preserve">by reference to when the capacity </w:t>
            </w:r>
            <w:r w:rsidR="009B3EBF">
              <w:t>is</w:t>
            </w:r>
            <w:r w:rsidR="002B27B2">
              <w:t xml:space="preserve"> reserved for use and the priority it is given in scheduling.</w:t>
            </w:r>
          </w:p>
          <w:p w14:paraId="105CC8B4" w14:textId="77777777" w:rsidR="004934E2" w:rsidRDefault="004934E2" w:rsidP="004934E2">
            <w:pPr>
              <w:pStyle w:val="TableBodyText"/>
            </w:pPr>
            <w:r w:rsidRPr="0048261F">
              <w:t>Auction services sold in the a</w:t>
            </w:r>
            <w:r>
              <w:t xml:space="preserve">uction are not firm </w:t>
            </w:r>
            <w:r w:rsidR="002B27B2">
              <w:t>services.</w:t>
            </w:r>
          </w:p>
          <w:p w14:paraId="528C6E57" w14:textId="77777777" w:rsidR="004934E2" w:rsidRPr="001355EB" w:rsidRDefault="004934E2" w:rsidP="005B63BD">
            <w:pPr>
              <w:pStyle w:val="TableBodyText"/>
              <w:rPr>
                <w:sz w:val="19"/>
                <w:szCs w:val="19"/>
              </w:rPr>
            </w:pPr>
            <w:r>
              <w:t xml:space="preserve">Note that </w:t>
            </w:r>
            <w:r w:rsidR="005B63BD">
              <w:t>Schedule 5 of the NGR</w:t>
            </w:r>
            <w:r>
              <w:t xml:space="preserve"> provide</w:t>
            </w:r>
            <w:r w:rsidR="001475A7">
              <w:t>s</w:t>
            </w:r>
            <w:r>
              <w:t xml:space="preserve"> for </w:t>
            </w:r>
            <w:r w:rsidR="00DA0876">
              <w:t xml:space="preserve">certain </w:t>
            </w:r>
            <w:r>
              <w:t xml:space="preserve">services to be treated as </w:t>
            </w:r>
            <w:r w:rsidR="00DE6F00">
              <w:t xml:space="preserve">‘transitional </w:t>
            </w:r>
            <w:r>
              <w:t>firm</w:t>
            </w:r>
            <w:r w:rsidR="00DE6F00">
              <w:t>’</w:t>
            </w:r>
            <w:r>
              <w:t xml:space="preserve"> for the purposes of this definition.</w:t>
            </w:r>
          </w:p>
        </w:tc>
      </w:tr>
      <w:tr w:rsidR="004934E2" w14:paraId="236BD345" w14:textId="77777777" w:rsidTr="00A77CCE">
        <w:trPr>
          <w:cantSplit/>
        </w:trPr>
        <w:tc>
          <w:tcPr>
            <w:tcW w:w="985" w:type="pct"/>
          </w:tcPr>
          <w:p w14:paraId="5DD1B801" w14:textId="77777777" w:rsidR="004934E2" w:rsidRPr="00DE6F00" w:rsidRDefault="004934E2" w:rsidP="004934E2">
            <w:pPr>
              <w:pStyle w:val="TableBodyText"/>
              <w:rPr>
                <w:szCs w:val="18"/>
              </w:rPr>
            </w:pPr>
            <w:r w:rsidRPr="00DE6F00">
              <w:rPr>
                <w:szCs w:val="18"/>
              </w:rPr>
              <w:t>gas trading exchange</w:t>
            </w:r>
          </w:p>
        </w:tc>
        <w:tc>
          <w:tcPr>
            <w:tcW w:w="4015" w:type="pct"/>
          </w:tcPr>
          <w:p w14:paraId="518CD8F3" w14:textId="77777777" w:rsidR="004934E2" w:rsidRPr="00DE6F00" w:rsidRDefault="00F36821" w:rsidP="00F36821">
            <w:pPr>
              <w:pStyle w:val="TableBodyText"/>
              <w:rPr>
                <w:szCs w:val="18"/>
              </w:rPr>
            </w:pPr>
            <w:r>
              <w:rPr>
                <w:szCs w:val="18"/>
              </w:rPr>
              <w:t xml:space="preserve">Another term for the Gas Supply Hub (GSH) operated by AEMO. It </w:t>
            </w:r>
            <w:r w:rsidR="004934E2" w:rsidRPr="00DE6F00">
              <w:rPr>
                <w:szCs w:val="18"/>
              </w:rPr>
              <w:t xml:space="preserve">is also referred to as the ‘exchange’ in this </w:t>
            </w:r>
            <w:r w:rsidR="00B81D4D" w:rsidRPr="00DE6F00">
              <w:rPr>
                <w:szCs w:val="18"/>
              </w:rPr>
              <w:t>Explanatory Note</w:t>
            </w:r>
            <w:r w:rsidR="004934E2" w:rsidRPr="00DE6F00">
              <w:rPr>
                <w:szCs w:val="18"/>
              </w:rPr>
              <w:t>.</w:t>
            </w:r>
          </w:p>
        </w:tc>
      </w:tr>
      <w:tr w:rsidR="004934E2" w14:paraId="46E2A9F3" w14:textId="77777777" w:rsidTr="00A77CCE">
        <w:trPr>
          <w:cantSplit/>
        </w:trPr>
        <w:tc>
          <w:tcPr>
            <w:tcW w:w="985" w:type="pct"/>
          </w:tcPr>
          <w:p w14:paraId="7A94D49B" w14:textId="77777777" w:rsidR="004934E2" w:rsidRPr="001355EB" w:rsidRDefault="004934E2" w:rsidP="004934E2">
            <w:pPr>
              <w:pStyle w:val="TableBodyText"/>
              <w:rPr>
                <w:sz w:val="19"/>
                <w:szCs w:val="19"/>
              </w:rPr>
            </w:pPr>
            <w:r>
              <w:t>lower tier service</w:t>
            </w:r>
          </w:p>
        </w:tc>
        <w:tc>
          <w:tcPr>
            <w:tcW w:w="4015" w:type="pct"/>
          </w:tcPr>
          <w:p w14:paraId="3AAD36A5" w14:textId="77777777" w:rsidR="004934E2" w:rsidRDefault="00F36821" w:rsidP="004934E2">
            <w:pPr>
              <w:pStyle w:val="TableBodyText"/>
            </w:pPr>
            <w:r>
              <w:t xml:space="preserve">In general terms, refers to a service that is not a firm service or an auction service. </w:t>
            </w:r>
          </w:p>
          <w:p w14:paraId="221626FE" w14:textId="77777777" w:rsidR="004934E2" w:rsidRPr="001355EB" w:rsidRDefault="004934E2" w:rsidP="00785939">
            <w:pPr>
              <w:pStyle w:val="TableBodyText"/>
              <w:rPr>
                <w:sz w:val="19"/>
                <w:szCs w:val="19"/>
              </w:rPr>
            </w:pPr>
            <w:r>
              <w:t>Examples of lower tier services include transportation services described as “interruptible”, “as available” or “authorised overrun” (or services equivalent in nature to such services).</w:t>
            </w:r>
          </w:p>
        </w:tc>
      </w:tr>
      <w:tr w:rsidR="004934E2" w14:paraId="050145D9" w14:textId="77777777" w:rsidTr="00A77CCE">
        <w:trPr>
          <w:cantSplit/>
        </w:trPr>
        <w:tc>
          <w:tcPr>
            <w:tcW w:w="985" w:type="pct"/>
          </w:tcPr>
          <w:p w14:paraId="009EBAA7" w14:textId="77777777" w:rsidR="004934E2" w:rsidRPr="001355EB" w:rsidRDefault="004934E2" w:rsidP="004934E2">
            <w:pPr>
              <w:pStyle w:val="TableBodyText"/>
              <w:rPr>
                <w:sz w:val="19"/>
                <w:szCs w:val="19"/>
              </w:rPr>
            </w:pPr>
            <w:r>
              <w:lastRenderedPageBreak/>
              <w:t>nomination</w:t>
            </w:r>
          </w:p>
        </w:tc>
        <w:tc>
          <w:tcPr>
            <w:tcW w:w="4015" w:type="pct"/>
          </w:tcPr>
          <w:p w14:paraId="646B574E" w14:textId="77777777" w:rsidR="004934E2" w:rsidRPr="001355EB" w:rsidRDefault="00F36821" w:rsidP="00EC0DBF">
            <w:pPr>
              <w:pStyle w:val="TableBodyText"/>
              <w:rPr>
                <w:sz w:val="19"/>
                <w:szCs w:val="19"/>
              </w:rPr>
            </w:pPr>
            <w:r>
              <w:t>A</w:t>
            </w:r>
            <w:r w:rsidR="004934E2">
              <w:t xml:space="preserve"> nomination for use of a transportation service</w:t>
            </w:r>
            <w:r w:rsidR="00EC0DBF">
              <w:t xml:space="preserve">, which may </w:t>
            </w:r>
            <w:r w:rsidR="004934E2">
              <w:t>include the quantity of natural gas and service points in respect of which the transportation service will be used.</w:t>
            </w:r>
          </w:p>
        </w:tc>
      </w:tr>
      <w:tr w:rsidR="004934E2" w14:paraId="62E37F57" w14:textId="77777777" w:rsidTr="00A77CCE">
        <w:trPr>
          <w:cantSplit/>
        </w:trPr>
        <w:tc>
          <w:tcPr>
            <w:tcW w:w="985" w:type="pct"/>
          </w:tcPr>
          <w:p w14:paraId="1CE1541A" w14:textId="77777777" w:rsidR="004934E2" w:rsidRPr="001355EB" w:rsidRDefault="004934E2" w:rsidP="004934E2">
            <w:pPr>
              <w:pStyle w:val="TableBodyText"/>
              <w:rPr>
                <w:sz w:val="19"/>
                <w:szCs w:val="19"/>
              </w:rPr>
            </w:pPr>
            <w:r>
              <w:t>operational transfer</w:t>
            </w:r>
          </w:p>
        </w:tc>
        <w:tc>
          <w:tcPr>
            <w:tcW w:w="4015" w:type="pct"/>
          </w:tcPr>
          <w:p w14:paraId="0B641AC0" w14:textId="77777777" w:rsidR="004934E2" w:rsidRDefault="00AE3849" w:rsidP="00AE3849">
            <w:pPr>
              <w:pStyle w:val="TableBodyText"/>
            </w:pPr>
            <w:r>
              <w:t>A</w:t>
            </w:r>
            <w:r w:rsidR="004934E2">
              <w:t xml:space="preserve"> transfer of transportation capacity </w:t>
            </w:r>
            <w:r>
              <w:t xml:space="preserve">where the shipper uses the capacity under </w:t>
            </w:r>
            <w:r w:rsidR="004934E2">
              <w:t xml:space="preserve">an </w:t>
            </w:r>
            <w:r w:rsidR="00D0013C">
              <w:t>OTSA</w:t>
            </w:r>
            <w:r>
              <w:t xml:space="preserve"> and can nominate to the transportation service provider</w:t>
            </w:r>
            <w:r w:rsidR="004934E2">
              <w:t>.</w:t>
            </w:r>
          </w:p>
          <w:p w14:paraId="1A62FF29" w14:textId="77777777" w:rsidR="00AE3849" w:rsidRPr="001355EB" w:rsidRDefault="00AE3849" w:rsidP="00AE3849">
            <w:pPr>
              <w:pStyle w:val="TableBodyText"/>
              <w:rPr>
                <w:sz w:val="19"/>
                <w:szCs w:val="19"/>
              </w:rPr>
            </w:pPr>
            <w:r>
              <w:t>An operational transfer can be distinguished from a bare transfer, under which the buyer (secondary shipper) does not have an agreement with the transportation service provider and relies on the seller (primary shipper) to nominate on its behalf.</w:t>
            </w:r>
          </w:p>
        </w:tc>
      </w:tr>
      <w:tr w:rsidR="004934E2" w14:paraId="4F1A7734" w14:textId="77777777" w:rsidTr="00A77CCE">
        <w:trPr>
          <w:cantSplit/>
        </w:trPr>
        <w:tc>
          <w:tcPr>
            <w:tcW w:w="985" w:type="pct"/>
          </w:tcPr>
          <w:p w14:paraId="4C991654" w14:textId="77777777" w:rsidR="004934E2" w:rsidRPr="001355EB" w:rsidRDefault="004934E2" w:rsidP="004934E2">
            <w:pPr>
              <w:pStyle w:val="TableBodyText"/>
              <w:rPr>
                <w:sz w:val="19"/>
                <w:szCs w:val="19"/>
              </w:rPr>
            </w:pPr>
            <w:r>
              <w:t>primary capacity transaction</w:t>
            </w:r>
          </w:p>
        </w:tc>
        <w:tc>
          <w:tcPr>
            <w:tcW w:w="4015" w:type="pct"/>
          </w:tcPr>
          <w:p w14:paraId="27FA79AC" w14:textId="77777777" w:rsidR="004934E2" w:rsidRPr="001355EB" w:rsidRDefault="004C1D23" w:rsidP="004C1D23">
            <w:pPr>
              <w:pStyle w:val="TableBodyText"/>
              <w:rPr>
                <w:sz w:val="19"/>
                <w:szCs w:val="19"/>
              </w:rPr>
            </w:pPr>
            <w:r>
              <w:t>A transaction under which a shipper buys capacity direct from the transportation service provider</w:t>
            </w:r>
            <w:r w:rsidR="00785939">
              <w:t>.</w:t>
            </w:r>
          </w:p>
        </w:tc>
      </w:tr>
      <w:tr w:rsidR="004934E2" w14:paraId="6FEE0CB5" w14:textId="77777777" w:rsidTr="00A77CCE">
        <w:trPr>
          <w:cantSplit/>
        </w:trPr>
        <w:tc>
          <w:tcPr>
            <w:tcW w:w="985" w:type="pct"/>
          </w:tcPr>
          <w:p w14:paraId="455BD6D0" w14:textId="77777777" w:rsidR="004934E2" w:rsidRPr="001355EB" w:rsidRDefault="004934E2" w:rsidP="004934E2">
            <w:pPr>
              <w:pStyle w:val="TableBodyText"/>
              <w:rPr>
                <w:sz w:val="19"/>
                <w:szCs w:val="19"/>
              </w:rPr>
            </w:pPr>
            <w:r>
              <w:t>primary transportation capacity</w:t>
            </w:r>
          </w:p>
        </w:tc>
        <w:tc>
          <w:tcPr>
            <w:tcW w:w="4015" w:type="pct"/>
          </w:tcPr>
          <w:p w14:paraId="6F4CC9FE" w14:textId="77777777" w:rsidR="004934E2" w:rsidRPr="001355EB" w:rsidRDefault="004C1D23" w:rsidP="004C1D23">
            <w:pPr>
              <w:pStyle w:val="TableBodyText"/>
              <w:rPr>
                <w:sz w:val="19"/>
                <w:szCs w:val="19"/>
              </w:rPr>
            </w:pPr>
            <w:r>
              <w:t xml:space="preserve">The </w:t>
            </w:r>
            <w:r w:rsidR="004934E2" w:rsidRPr="00CF72C1">
              <w:t xml:space="preserve">transportation capacity acquired by a </w:t>
            </w:r>
            <w:r>
              <w:t xml:space="preserve">shipper in a primary capacity transaction. </w:t>
            </w:r>
            <w:r w:rsidR="004934E2" w:rsidRPr="00CF72C1">
              <w:t>T</w:t>
            </w:r>
            <w:r w:rsidR="004934E2" w:rsidRPr="00980925">
              <w:t xml:space="preserve">ransportation capacity ceases to be primary transportation capacity </w:t>
            </w:r>
            <w:r>
              <w:t xml:space="preserve">once </w:t>
            </w:r>
            <w:r w:rsidR="004934E2" w:rsidRPr="00980925">
              <w:t>it is transferred by means of an operational transfer</w:t>
            </w:r>
            <w:r>
              <w:t xml:space="preserve"> (even if later bought back by the primary shipper)</w:t>
            </w:r>
            <w:r w:rsidR="004934E2">
              <w:t xml:space="preserve">. </w:t>
            </w:r>
          </w:p>
        </w:tc>
      </w:tr>
      <w:tr w:rsidR="004934E2" w14:paraId="4CD802E9" w14:textId="77777777" w:rsidTr="00A77CCE">
        <w:trPr>
          <w:cantSplit/>
        </w:trPr>
        <w:tc>
          <w:tcPr>
            <w:tcW w:w="985" w:type="pct"/>
          </w:tcPr>
          <w:p w14:paraId="1A6A6A47" w14:textId="77777777" w:rsidR="004934E2" w:rsidRPr="001355EB" w:rsidRDefault="004934E2" w:rsidP="004934E2">
            <w:pPr>
              <w:pStyle w:val="TableBodyText"/>
              <w:rPr>
                <w:sz w:val="19"/>
                <w:szCs w:val="19"/>
              </w:rPr>
            </w:pPr>
            <w:r>
              <w:t>renomination</w:t>
            </w:r>
          </w:p>
        </w:tc>
        <w:tc>
          <w:tcPr>
            <w:tcW w:w="4015" w:type="pct"/>
          </w:tcPr>
          <w:p w14:paraId="7F7BD645" w14:textId="77777777" w:rsidR="004934E2" w:rsidRPr="001355EB" w:rsidRDefault="004C1D23" w:rsidP="004934E2">
            <w:pPr>
              <w:pStyle w:val="TableBodyText"/>
              <w:rPr>
                <w:sz w:val="19"/>
                <w:szCs w:val="19"/>
              </w:rPr>
            </w:pPr>
            <w:r>
              <w:t>A</w:t>
            </w:r>
            <w:r w:rsidR="004934E2" w:rsidRPr="00D431AE">
              <w:t xml:space="preserve"> request made after the nomination cut-off time </w:t>
            </w:r>
            <w:r w:rsidR="004934E2">
              <w:t xml:space="preserve">for a gas day </w:t>
            </w:r>
            <w:r w:rsidR="004934E2" w:rsidRPr="00D431AE">
              <w:t xml:space="preserve">to vary a nomination </w:t>
            </w:r>
            <w:r w:rsidR="004934E2">
              <w:t xml:space="preserve">for the gas day, including </w:t>
            </w:r>
            <w:r w:rsidR="00D0013C">
              <w:t xml:space="preserve">a </w:t>
            </w:r>
            <w:r w:rsidR="004934E2">
              <w:t>variation to a deemed or default day-ahead nomination</w:t>
            </w:r>
            <w:r w:rsidR="004934E2" w:rsidRPr="00D431AE">
              <w:t>.</w:t>
            </w:r>
          </w:p>
        </w:tc>
      </w:tr>
      <w:tr w:rsidR="004934E2" w14:paraId="1F66A00E" w14:textId="77777777" w:rsidTr="00A77CCE">
        <w:trPr>
          <w:cantSplit/>
        </w:trPr>
        <w:tc>
          <w:tcPr>
            <w:tcW w:w="985" w:type="pct"/>
          </w:tcPr>
          <w:p w14:paraId="15F48993" w14:textId="77777777" w:rsidR="004934E2" w:rsidRPr="001355EB" w:rsidRDefault="004934E2" w:rsidP="004934E2">
            <w:pPr>
              <w:pStyle w:val="TableBodyText"/>
              <w:rPr>
                <w:sz w:val="19"/>
                <w:szCs w:val="19"/>
              </w:rPr>
            </w:pPr>
            <w:r>
              <w:t>reserved</w:t>
            </w:r>
          </w:p>
        </w:tc>
        <w:tc>
          <w:tcPr>
            <w:tcW w:w="4015" w:type="pct"/>
          </w:tcPr>
          <w:p w14:paraId="614E9994" w14:textId="77777777" w:rsidR="004934E2" w:rsidRPr="001355EB" w:rsidRDefault="004C1D23" w:rsidP="001475A7">
            <w:pPr>
              <w:pStyle w:val="TableBodyText"/>
              <w:rPr>
                <w:sz w:val="19"/>
                <w:szCs w:val="19"/>
              </w:rPr>
            </w:pPr>
            <w:r>
              <w:t>I</w:t>
            </w:r>
            <w:r w:rsidR="004934E2" w:rsidRPr="0047295B">
              <w:t xml:space="preserve">n </w:t>
            </w:r>
            <w:r>
              <w:t xml:space="preserve">general terms, refers to a booking of a specific quantity of capacity before nomination cut-off time. The term is used as part of the definition of ‘firm’ in Part 25 to distinguish it from capacity that is sold on the basis it becomes firm only after other firm services have been scheduled. </w:t>
            </w:r>
          </w:p>
        </w:tc>
      </w:tr>
      <w:tr w:rsidR="004934E2" w14:paraId="0CFECBF5" w14:textId="77777777" w:rsidTr="00A77CCE">
        <w:trPr>
          <w:cantSplit/>
        </w:trPr>
        <w:tc>
          <w:tcPr>
            <w:tcW w:w="985" w:type="pct"/>
          </w:tcPr>
          <w:p w14:paraId="3F16F208" w14:textId="77777777" w:rsidR="004934E2" w:rsidRPr="001355EB" w:rsidRDefault="004934E2" w:rsidP="004934E2">
            <w:pPr>
              <w:pStyle w:val="TableBodyText"/>
              <w:rPr>
                <w:sz w:val="19"/>
                <w:szCs w:val="19"/>
              </w:rPr>
            </w:pPr>
            <w:r>
              <w:t>secondary capacity transaction</w:t>
            </w:r>
          </w:p>
        </w:tc>
        <w:tc>
          <w:tcPr>
            <w:tcW w:w="4015" w:type="pct"/>
          </w:tcPr>
          <w:p w14:paraId="6E4FF88B" w14:textId="77777777" w:rsidR="004934E2" w:rsidRPr="001355EB" w:rsidRDefault="004C1D23" w:rsidP="004C1D23">
            <w:pPr>
              <w:pStyle w:val="TableBodyText"/>
              <w:rPr>
                <w:sz w:val="19"/>
                <w:szCs w:val="19"/>
              </w:rPr>
            </w:pPr>
            <w:r>
              <w:t xml:space="preserve">A transaction between shippers for the sale of capacity, including both bare transfers and </w:t>
            </w:r>
            <w:r w:rsidR="00C8115D">
              <w:t>operational transfers</w:t>
            </w:r>
            <w:r>
              <w:t xml:space="preserve">. </w:t>
            </w:r>
          </w:p>
        </w:tc>
      </w:tr>
      <w:tr w:rsidR="004934E2" w14:paraId="76E49E44" w14:textId="77777777" w:rsidTr="00A77CCE">
        <w:trPr>
          <w:cantSplit/>
        </w:trPr>
        <w:tc>
          <w:tcPr>
            <w:tcW w:w="985" w:type="pct"/>
          </w:tcPr>
          <w:p w14:paraId="25E3395E" w14:textId="77777777" w:rsidR="004934E2" w:rsidRPr="001355EB" w:rsidRDefault="004934E2" w:rsidP="004934E2">
            <w:pPr>
              <w:pStyle w:val="TableBodyText"/>
              <w:rPr>
                <w:sz w:val="19"/>
                <w:szCs w:val="19"/>
              </w:rPr>
            </w:pPr>
            <w:r>
              <w:rPr>
                <w:lang w:eastAsia="fr-CA"/>
              </w:rPr>
              <w:t>t</w:t>
            </w:r>
            <w:r w:rsidRPr="00086528">
              <w:rPr>
                <w:lang w:eastAsia="fr-CA"/>
              </w:rPr>
              <w:t>ransaction support arrangements</w:t>
            </w:r>
          </w:p>
        </w:tc>
        <w:tc>
          <w:tcPr>
            <w:tcW w:w="4015" w:type="pct"/>
          </w:tcPr>
          <w:p w14:paraId="191C89F1" w14:textId="77777777" w:rsidR="004934E2" w:rsidRPr="001355EB" w:rsidRDefault="004934E2" w:rsidP="00C8115D">
            <w:pPr>
              <w:pStyle w:val="TableBodyText"/>
              <w:rPr>
                <w:sz w:val="19"/>
                <w:szCs w:val="19"/>
              </w:rPr>
            </w:pPr>
            <w:r>
              <w:t>M</w:t>
            </w:r>
            <w:r w:rsidRPr="00277776">
              <w:t xml:space="preserve">eans arrangements to facilitate </w:t>
            </w:r>
            <w:r w:rsidR="00D0013C">
              <w:t xml:space="preserve">the trade of </w:t>
            </w:r>
            <w:r w:rsidRPr="00277776">
              <w:t xml:space="preserve">capacity </w:t>
            </w:r>
            <w:r w:rsidR="00D0013C">
              <w:t xml:space="preserve">conducted </w:t>
            </w:r>
            <w:r w:rsidRPr="00277776">
              <w:t xml:space="preserve">through </w:t>
            </w:r>
            <w:r w:rsidR="00D0013C">
              <w:t xml:space="preserve">the </w:t>
            </w:r>
            <w:r w:rsidRPr="00277776">
              <w:t xml:space="preserve">gas trading exchange or </w:t>
            </w:r>
            <w:r w:rsidR="00D0013C">
              <w:t xml:space="preserve">day-ahead </w:t>
            </w:r>
            <w:r w:rsidRPr="00277776">
              <w:t>auction</w:t>
            </w:r>
            <w:r w:rsidRPr="00086528">
              <w:t>.</w:t>
            </w:r>
            <w:r w:rsidR="001475A7">
              <w:t xml:space="preserve"> </w:t>
            </w:r>
            <w:r w:rsidR="00C8115D">
              <w:t>The</w:t>
            </w:r>
            <w:r w:rsidR="001475A7">
              <w:t xml:space="preserve">se arrangements include those </w:t>
            </w:r>
            <w:r w:rsidR="00C8115D">
              <w:t xml:space="preserve">put in place by AEMO under the CT&amp;A Procedures to enable AEMO to notify operational transfers to transportation service providers where capacity has been sold through the capacity trading platform or auction. </w:t>
            </w:r>
          </w:p>
        </w:tc>
      </w:tr>
      <w:tr w:rsidR="004934E2" w14:paraId="2469180B" w14:textId="77777777" w:rsidTr="00A77CCE">
        <w:trPr>
          <w:cantSplit/>
        </w:trPr>
        <w:tc>
          <w:tcPr>
            <w:tcW w:w="985" w:type="pct"/>
          </w:tcPr>
          <w:p w14:paraId="3B988DFD" w14:textId="77777777" w:rsidR="004934E2" w:rsidRPr="001355EB" w:rsidRDefault="004934E2" w:rsidP="004934E2">
            <w:pPr>
              <w:pStyle w:val="TableBodyText"/>
              <w:rPr>
                <w:sz w:val="19"/>
                <w:szCs w:val="19"/>
              </w:rPr>
            </w:pPr>
            <w:r>
              <w:t>transfer</w:t>
            </w:r>
          </w:p>
        </w:tc>
        <w:tc>
          <w:tcPr>
            <w:tcW w:w="4015" w:type="pct"/>
          </w:tcPr>
          <w:p w14:paraId="668C0357" w14:textId="77777777" w:rsidR="004934E2" w:rsidRPr="001355EB" w:rsidRDefault="00C8115D" w:rsidP="00C8115D">
            <w:pPr>
              <w:pStyle w:val="TableBodyText"/>
              <w:rPr>
                <w:sz w:val="19"/>
                <w:szCs w:val="19"/>
              </w:rPr>
            </w:pPr>
            <w:r>
              <w:t xml:space="preserve">A broad term used in the NGL to refer to the transfer of capacity from one shipper to another, which involves a reduction in the seller’s MDQ and an increase in the buyer’s MDQ. </w:t>
            </w:r>
          </w:p>
        </w:tc>
      </w:tr>
      <w:tr w:rsidR="004934E2" w14:paraId="6A98EFEB" w14:textId="77777777" w:rsidTr="00A77CCE">
        <w:trPr>
          <w:cantSplit/>
        </w:trPr>
        <w:tc>
          <w:tcPr>
            <w:tcW w:w="985" w:type="pct"/>
          </w:tcPr>
          <w:p w14:paraId="6ECC2600" w14:textId="77777777" w:rsidR="004934E2" w:rsidRPr="001355EB" w:rsidRDefault="004934E2" w:rsidP="004934E2">
            <w:pPr>
              <w:pStyle w:val="TableBodyText"/>
              <w:rPr>
                <w:sz w:val="19"/>
                <w:szCs w:val="19"/>
              </w:rPr>
            </w:pPr>
            <w:r>
              <w:t>transportation capacity</w:t>
            </w:r>
          </w:p>
        </w:tc>
        <w:tc>
          <w:tcPr>
            <w:tcW w:w="4015" w:type="pct"/>
          </w:tcPr>
          <w:p w14:paraId="28DABD32" w14:textId="77777777" w:rsidR="004934E2" w:rsidRPr="001355EB" w:rsidRDefault="00C8115D" w:rsidP="00C8115D">
            <w:pPr>
              <w:pStyle w:val="TableBodyText"/>
              <w:rPr>
                <w:sz w:val="19"/>
                <w:szCs w:val="19"/>
              </w:rPr>
            </w:pPr>
            <w:r>
              <w:t>A right to use a transportation service, usually quantified in terms of MDQ.</w:t>
            </w:r>
          </w:p>
        </w:tc>
      </w:tr>
      <w:tr w:rsidR="00277776" w:rsidRPr="002D4EBF" w14:paraId="0BBCC497" w14:textId="77777777" w:rsidTr="00A77CCE">
        <w:trPr>
          <w:cantSplit/>
        </w:trPr>
        <w:tc>
          <w:tcPr>
            <w:tcW w:w="5000" w:type="pct"/>
            <w:gridSpan w:val="2"/>
            <w:shd w:val="clear" w:color="auto" w:fill="65697F" w:themeFill="background2" w:themeFillShade="80"/>
          </w:tcPr>
          <w:p w14:paraId="0838F286" w14:textId="77777777" w:rsidR="00277776" w:rsidRPr="002D4EBF" w:rsidRDefault="00635E5A" w:rsidP="00277776">
            <w:pPr>
              <w:pStyle w:val="TableBodyText"/>
              <w:jc w:val="center"/>
              <w:rPr>
                <w:b/>
                <w:color w:val="FFFFFF" w:themeColor="background1"/>
              </w:rPr>
            </w:pPr>
            <w:r>
              <w:rPr>
                <w:b/>
                <w:color w:val="FFFFFF" w:themeColor="background1"/>
              </w:rPr>
              <w:t xml:space="preserve">Standard market timetable </w:t>
            </w:r>
            <w:r w:rsidR="00277776" w:rsidRPr="002D4EBF">
              <w:rPr>
                <w:b/>
                <w:color w:val="FFFFFF" w:themeColor="background1"/>
              </w:rPr>
              <w:t>concepts</w:t>
            </w:r>
            <w:r>
              <w:rPr>
                <w:b/>
                <w:color w:val="FFFFFF" w:themeColor="background1"/>
              </w:rPr>
              <w:t xml:space="preserve"> (Part 26)</w:t>
            </w:r>
          </w:p>
        </w:tc>
      </w:tr>
      <w:tr w:rsidR="00D0013C" w14:paraId="5E590843" w14:textId="77777777" w:rsidTr="00A77CCE">
        <w:trPr>
          <w:cantSplit/>
        </w:trPr>
        <w:tc>
          <w:tcPr>
            <w:tcW w:w="985" w:type="pct"/>
          </w:tcPr>
          <w:p w14:paraId="63CE9A63" w14:textId="77777777" w:rsidR="00D0013C" w:rsidRDefault="00D0013C" w:rsidP="006B34E4">
            <w:pPr>
              <w:pStyle w:val="TableBodyText"/>
            </w:pPr>
            <w:r>
              <w:t xml:space="preserve">standard market timetable </w:t>
            </w:r>
          </w:p>
        </w:tc>
        <w:tc>
          <w:tcPr>
            <w:tcW w:w="4015" w:type="pct"/>
          </w:tcPr>
          <w:p w14:paraId="0805B763" w14:textId="77777777" w:rsidR="00D0013C" w:rsidRDefault="00C8115D" w:rsidP="006B34E4">
            <w:pPr>
              <w:pStyle w:val="TableBodyText"/>
            </w:pPr>
            <w:r>
              <w:t>T</w:t>
            </w:r>
            <w:r w:rsidR="00D0013C">
              <w:t>he standard market timetable specified in the NGR in accordance with section 83B of the NGL, which will commence on 1 October 2019.</w:t>
            </w:r>
          </w:p>
        </w:tc>
      </w:tr>
      <w:tr w:rsidR="004934E2" w14:paraId="56B99426" w14:textId="77777777" w:rsidTr="00A77CCE">
        <w:trPr>
          <w:cantSplit/>
        </w:trPr>
        <w:tc>
          <w:tcPr>
            <w:tcW w:w="985" w:type="pct"/>
          </w:tcPr>
          <w:p w14:paraId="189ECE21" w14:textId="77777777" w:rsidR="004934E2" w:rsidRDefault="004934E2" w:rsidP="004934E2">
            <w:pPr>
              <w:pStyle w:val="TableBodyText"/>
            </w:pPr>
            <w:r>
              <w:t>gas day</w:t>
            </w:r>
          </w:p>
        </w:tc>
        <w:tc>
          <w:tcPr>
            <w:tcW w:w="4015" w:type="pct"/>
          </w:tcPr>
          <w:p w14:paraId="1F568F06" w14:textId="77777777" w:rsidR="004934E2" w:rsidRDefault="00C8115D" w:rsidP="004934E2">
            <w:pPr>
              <w:pStyle w:val="TableBodyText"/>
            </w:pPr>
            <w:r>
              <w:t>A</w:t>
            </w:r>
            <w:r w:rsidR="004934E2">
              <w:t xml:space="preserve"> period of 24 consecutive hours used for the nomination, scheduling and provision of services provided by means of a natural gas facility.</w:t>
            </w:r>
          </w:p>
        </w:tc>
      </w:tr>
      <w:tr w:rsidR="00D0013C" w14:paraId="15F78F29" w14:textId="77777777" w:rsidTr="00A77CCE">
        <w:trPr>
          <w:cantSplit/>
        </w:trPr>
        <w:tc>
          <w:tcPr>
            <w:tcW w:w="985" w:type="pct"/>
          </w:tcPr>
          <w:p w14:paraId="28754DC6" w14:textId="77777777" w:rsidR="00D0013C" w:rsidRDefault="00D0013C" w:rsidP="006B34E4">
            <w:pPr>
              <w:pStyle w:val="TableBodyText"/>
            </w:pPr>
            <w:r>
              <w:t>standard gas day</w:t>
            </w:r>
          </w:p>
        </w:tc>
        <w:tc>
          <w:tcPr>
            <w:tcW w:w="4015" w:type="pct"/>
          </w:tcPr>
          <w:p w14:paraId="373561D9" w14:textId="77777777" w:rsidR="00D0013C" w:rsidRDefault="00C8115D" w:rsidP="00C8115D">
            <w:pPr>
              <w:pStyle w:val="TableBodyText"/>
            </w:pPr>
            <w:r>
              <w:t xml:space="preserve">When the </w:t>
            </w:r>
            <w:r w:rsidR="00D0013C">
              <w:t>standard market timetable</w:t>
            </w:r>
            <w:r>
              <w:t xml:space="preserve"> commences,</w:t>
            </w:r>
            <w:r w:rsidR="00D0013C">
              <w:t xml:space="preserve"> a gas day starting at 6 am</w:t>
            </w:r>
            <w:r>
              <w:t>.</w:t>
            </w:r>
          </w:p>
        </w:tc>
      </w:tr>
      <w:tr w:rsidR="004934E2" w14:paraId="6D9D5418" w14:textId="77777777" w:rsidTr="00A77CCE">
        <w:trPr>
          <w:cantSplit/>
        </w:trPr>
        <w:tc>
          <w:tcPr>
            <w:tcW w:w="985" w:type="pct"/>
          </w:tcPr>
          <w:p w14:paraId="553BDCC1" w14:textId="77777777" w:rsidR="004934E2" w:rsidRDefault="004934E2" w:rsidP="004934E2">
            <w:pPr>
              <w:pStyle w:val="TableBodyText"/>
            </w:pPr>
            <w:r>
              <w:t>nomination cut-off time</w:t>
            </w:r>
          </w:p>
        </w:tc>
        <w:tc>
          <w:tcPr>
            <w:tcW w:w="4015" w:type="pct"/>
          </w:tcPr>
          <w:p w14:paraId="7490AF2D" w14:textId="77777777" w:rsidR="004934E2" w:rsidRDefault="00C8115D" w:rsidP="00C8115D">
            <w:pPr>
              <w:pStyle w:val="TableBodyText"/>
            </w:pPr>
            <w:r>
              <w:t>The</w:t>
            </w:r>
            <w:r w:rsidR="00D0013C">
              <w:t xml:space="preserve"> </w:t>
            </w:r>
            <w:r w:rsidR="004934E2">
              <w:t>time by which a day-ahead nomination for a gas day must be made for the purposes of scheduling for that gas day.</w:t>
            </w:r>
          </w:p>
        </w:tc>
      </w:tr>
      <w:tr w:rsidR="004934E2" w14:paraId="1398EC03" w14:textId="77777777" w:rsidTr="00A77CCE">
        <w:trPr>
          <w:cantSplit/>
        </w:trPr>
        <w:tc>
          <w:tcPr>
            <w:tcW w:w="985" w:type="pct"/>
            <w:tcBorders>
              <w:bottom w:val="single" w:sz="4" w:space="0" w:color="auto"/>
            </w:tcBorders>
          </w:tcPr>
          <w:p w14:paraId="47B01B92" w14:textId="77777777" w:rsidR="004934E2" w:rsidRDefault="004934E2" w:rsidP="004934E2">
            <w:pPr>
              <w:pStyle w:val="TableBodyText"/>
            </w:pPr>
            <w:r>
              <w:t>standard nomination cut-off time</w:t>
            </w:r>
          </w:p>
        </w:tc>
        <w:tc>
          <w:tcPr>
            <w:tcW w:w="4015" w:type="pct"/>
            <w:tcBorders>
              <w:bottom w:val="single" w:sz="4" w:space="0" w:color="auto"/>
            </w:tcBorders>
          </w:tcPr>
          <w:p w14:paraId="4A1E9DCF" w14:textId="77777777" w:rsidR="004934E2" w:rsidRDefault="00C8115D" w:rsidP="00C8115D">
            <w:pPr>
              <w:pStyle w:val="TableBodyText"/>
            </w:pPr>
            <w:r>
              <w:t xml:space="preserve">When the </w:t>
            </w:r>
            <w:r w:rsidR="00D0013C">
              <w:t>standard market timetable</w:t>
            </w:r>
            <w:r>
              <w:t xml:space="preserve"> commences, </w:t>
            </w:r>
            <w:r w:rsidR="004934E2">
              <w:t>3:00 pm on the gas day immediately preceding the gas day to which the nomination relates.</w:t>
            </w:r>
          </w:p>
        </w:tc>
      </w:tr>
      <w:tr w:rsidR="00D0013C" w14:paraId="147C2EB2" w14:textId="77777777" w:rsidTr="00A77CCE">
        <w:tblPrEx>
          <w:tblLook w:val="04A0" w:firstRow="1" w:lastRow="0" w:firstColumn="1" w:lastColumn="0" w:noHBand="0" w:noVBand="1"/>
        </w:tblPrEx>
        <w:tc>
          <w:tcPr>
            <w:tcW w:w="985" w:type="pct"/>
            <w:shd w:val="clear" w:color="auto" w:fill="auto"/>
          </w:tcPr>
          <w:p w14:paraId="6CA2F273" w14:textId="77777777" w:rsidR="00D0013C" w:rsidRDefault="00D0013C" w:rsidP="006B34E4">
            <w:pPr>
              <w:pStyle w:val="TableBodyText"/>
            </w:pPr>
            <w:r>
              <w:t>auction service nomination cut-off time</w:t>
            </w:r>
          </w:p>
        </w:tc>
        <w:tc>
          <w:tcPr>
            <w:tcW w:w="4015" w:type="pct"/>
            <w:shd w:val="clear" w:color="auto" w:fill="auto"/>
          </w:tcPr>
          <w:p w14:paraId="423C0AEE" w14:textId="77777777" w:rsidR="00D0013C" w:rsidRDefault="00C8115D" w:rsidP="006B34E4">
            <w:pPr>
              <w:pStyle w:val="TableBodyText"/>
            </w:pPr>
            <w:r>
              <w:t>When</w:t>
            </w:r>
            <w:r w:rsidR="00D0013C">
              <w:t xml:space="preserve"> the standard market timetable </w:t>
            </w:r>
            <w:r>
              <w:t xml:space="preserve">commences, </w:t>
            </w:r>
            <w:r w:rsidR="00D0013C">
              <w:t>6:45 pm on the gas day immediately preceding the gas day to which the nomination relates.</w:t>
            </w:r>
          </w:p>
        </w:tc>
      </w:tr>
    </w:tbl>
    <w:p w14:paraId="7B181B28" w14:textId="77777777" w:rsidR="00C04CFF" w:rsidRDefault="00C04CFF" w:rsidP="00C04CFF"/>
    <w:p w14:paraId="66D6CC15" w14:textId="77777777" w:rsidR="00C04CFF" w:rsidRDefault="00C04CFF" w:rsidP="00C04CFF"/>
    <w:p w14:paraId="596039E3" w14:textId="77777777" w:rsidR="00C04CFF" w:rsidRDefault="00C04CFF" w:rsidP="00C04CFF"/>
    <w:bookmarkEnd w:id="2"/>
    <w:bookmarkEnd w:id="3"/>
    <w:p w14:paraId="5B99A7C2" w14:textId="77777777" w:rsidR="00730805" w:rsidRDefault="00730805" w:rsidP="004F7F03"/>
    <w:p w14:paraId="30C5A5B4" w14:textId="77777777" w:rsidR="00730805" w:rsidRDefault="00730805" w:rsidP="004F7F03">
      <w:pPr>
        <w:sectPr w:rsidR="00730805" w:rsidSect="00B3764C">
          <w:headerReference w:type="even" r:id="rId16"/>
          <w:headerReference w:type="default" r:id="rId17"/>
          <w:footerReference w:type="default" r:id="rId18"/>
          <w:headerReference w:type="first" r:id="rId19"/>
          <w:pgSz w:w="11907" w:h="16840" w:code="9"/>
          <w:pgMar w:top="1361" w:right="1418" w:bottom="992" w:left="1701" w:header="567" w:footer="397" w:gutter="0"/>
          <w:pgNumType w:fmt="lowerRoman"/>
          <w:cols w:space="708"/>
          <w:docGrid w:linePitch="360"/>
        </w:sectPr>
      </w:pPr>
    </w:p>
    <w:p w14:paraId="2972B745" w14:textId="77777777" w:rsidR="00A46717" w:rsidRPr="00440A86" w:rsidRDefault="00707DDD" w:rsidP="00C15A0D">
      <w:pPr>
        <w:pStyle w:val="Heading1"/>
        <w:spacing w:before="0" w:after="120"/>
      </w:pPr>
      <w:bookmarkStart w:id="8" w:name="_Toc485200897"/>
      <w:bookmarkStart w:id="9" w:name="_Toc530546446"/>
      <w:r w:rsidRPr="00440A86">
        <w:lastRenderedPageBreak/>
        <w:t xml:space="preserve">Introduction </w:t>
      </w:r>
      <w:bookmarkEnd w:id="8"/>
      <w:r w:rsidR="001B5338">
        <w:t xml:space="preserve">and </w:t>
      </w:r>
      <w:r w:rsidR="005A552A">
        <w:t>s</w:t>
      </w:r>
      <w:r w:rsidR="001B5338">
        <w:t>ummary</w:t>
      </w:r>
      <w:bookmarkEnd w:id="9"/>
    </w:p>
    <w:bookmarkEnd w:id="4"/>
    <w:bookmarkEnd w:id="5"/>
    <w:p w14:paraId="30ED937B" w14:textId="77777777" w:rsidR="001B5338" w:rsidRDefault="001B5338" w:rsidP="001B5338">
      <w:pPr>
        <w:pStyle w:val="BodyText"/>
        <w:spacing w:before="120" w:line="252" w:lineRule="auto"/>
      </w:pPr>
      <w:r>
        <w:t>The Gas Market Reform Group (GMRG) was established by the COAG Energy Council (Energy Council) in the latter half of 2016 to lead the design, development and implementation of a range of reforms set out in the Gas Market Reform Package, including a package of capacity trading reforms.</w:t>
      </w:r>
      <w:r>
        <w:rPr>
          <w:rStyle w:val="FootnoteReference"/>
        </w:rPr>
        <w:footnoteReference w:id="2"/>
      </w:r>
      <w:r>
        <w:t xml:space="preserve"> </w:t>
      </w:r>
    </w:p>
    <w:p w14:paraId="253F9F1E" w14:textId="77777777" w:rsidR="001B5338" w:rsidRPr="00511F80" w:rsidRDefault="001B5338" w:rsidP="001B5338">
      <w:pPr>
        <w:pStyle w:val="BodyText"/>
        <w:spacing w:line="252" w:lineRule="auto"/>
        <w:rPr>
          <w:rFonts w:cs="Arial"/>
        </w:rPr>
      </w:pPr>
      <w:r>
        <w:t xml:space="preserve">The capacity trading reform package was recommended by the Australian Energy Market Commission (AEMC) as part of its </w:t>
      </w:r>
      <w:r w:rsidRPr="00680C5B">
        <w:rPr>
          <w:rFonts w:cs="Arial"/>
          <w:i/>
          <w:iCs/>
        </w:rPr>
        <w:t>Eastern Australian Wholesale Gas Market and Pipelines Framework Review</w:t>
      </w:r>
      <w:r>
        <w:rPr>
          <w:rFonts w:cs="Arial"/>
          <w:i/>
          <w:iCs/>
        </w:rPr>
        <w:t xml:space="preserve"> (</w:t>
      </w:r>
      <w:r w:rsidRPr="005E3347">
        <w:rPr>
          <w:rFonts w:cs="Arial"/>
          <w:i/>
          <w:iCs/>
        </w:rPr>
        <w:t>East Coast Review</w:t>
      </w:r>
      <w:r>
        <w:rPr>
          <w:rFonts w:cs="Arial"/>
          <w:i/>
          <w:iCs/>
        </w:rPr>
        <w:t>)</w:t>
      </w:r>
      <w:r>
        <w:rPr>
          <w:rFonts w:cs="Arial"/>
          <w:iCs/>
        </w:rPr>
        <w:t xml:space="preserve"> and endorsed by the Energy Council at its August 2016 meeting. The reforms, which relate to transmission pipeline</w:t>
      </w:r>
      <w:r w:rsidR="00806616">
        <w:rPr>
          <w:rFonts w:cs="Arial"/>
          <w:iCs/>
        </w:rPr>
        <w:t>s</w:t>
      </w:r>
      <w:r>
        <w:rPr>
          <w:rFonts w:cs="Arial"/>
          <w:iCs/>
        </w:rPr>
        <w:t xml:space="preserve"> and compression </w:t>
      </w:r>
      <w:r w:rsidR="00806616">
        <w:rPr>
          <w:rFonts w:cs="Arial"/>
          <w:iCs/>
        </w:rPr>
        <w:t xml:space="preserve">facilities </w:t>
      </w:r>
      <w:r>
        <w:rPr>
          <w:rFonts w:cs="Arial"/>
          <w:iCs/>
        </w:rPr>
        <w:t xml:space="preserve">(jointly referred to as ‘transportation </w:t>
      </w:r>
      <w:r w:rsidR="00806616">
        <w:rPr>
          <w:rFonts w:cs="Arial"/>
          <w:iCs/>
        </w:rPr>
        <w:t>facilities</w:t>
      </w:r>
      <w:r>
        <w:rPr>
          <w:rFonts w:cs="Arial"/>
          <w:iCs/>
        </w:rPr>
        <w:t>’)</w:t>
      </w:r>
      <w:r w:rsidR="00A658E6">
        <w:rPr>
          <w:rFonts w:cs="Arial"/>
          <w:iCs/>
        </w:rPr>
        <w:t xml:space="preserve"> operating under the contract carriage model,</w:t>
      </w:r>
      <w:r w:rsidR="00A658E6">
        <w:rPr>
          <w:rStyle w:val="FootnoteReference"/>
          <w:rFonts w:cs="Arial"/>
          <w:iCs/>
        </w:rPr>
        <w:footnoteReference w:id="3"/>
      </w:r>
      <w:r>
        <w:rPr>
          <w:rFonts w:cs="Arial"/>
          <w:iCs/>
        </w:rPr>
        <w:t xml:space="preserve"> include </w:t>
      </w:r>
      <w:r w:rsidRPr="00511F80">
        <w:rPr>
          <w:rFonts w:cs="Arial"/>
        </w:rPr>
        <w:t xml:space="preserve">the </w:t>
      </w:r>
      <w:r>
        <w:rPr>
          <w:rFonts w:cs="Arial"/>
        </w:rPr>
        <w:t xml:space="preserve">implementation </w:t>
      </w:r>
      <w:r w:rsidRPr="00511F80">
        <w:rPr>
          <w:rFonts w:cs="Arial"/>
        </w:rPr>
        <w:t>of:</w:t>
      </w:r>
    </w:p>
    <w:p w14:paraId="14C7F5AD" w14:textId="77777777" w:rsidR="001B5338" w:rsidRPr="001C06D5" w:rsidRDefault="001B5338" w:rsidP="001B5338">
      <w:pPr>
        <w:pStyle w:val="ListNumber"/>
        <w:numPr>
          <w:ilvl w:val="0"/>
          <w:numId w:val="17"/>
        </w:numPr>
        <w:spacing w:before="80" w:after="80" w:line="252" w:lineRule="auto"/>
        <w:ind w:left="357" w:hanging="357"/>
      </w:pPr>
      <w:r w:rsidRPr="00293665">
        <w:t>A capacity trading platform that will form part of the gas trading exchange (</w:t>
      </w:r>
      <w:r w:rsidR="00B531A5">
        <w:t xml:space="preserve">i.e. the </w:t>
      </w:r>
      <w:r>
        <w:t xml:space="preserve">Gas Supply Hub (GSH)) </w:t>
      </w:r>
      <w:r w:rsidRPr="001C06D5">
        <w:t>and provide for exchange-based trading of commonly traded transportation products and a listing service for other more bespoke products.</w:t>
      </w:r>
    </w:p>
    <w:p w14:paraId="5628B507" w14:textId="77777777" w:rsidR="001B5338" w:rsidRPr="001C06D5" w:rsidRDefault="001B5338" w:rsidP="001B5338">
      <w:pPr>
        <w:pStyle w:val="ListNumber"/>
        <w:numPr>
          <w:ilvl w:val="0"/>
          <w:numId w:val="17"/>
        </w:numPr>
        <w:spacing w:before="80" w:after="80" w:line="252" w:lineRule="auto"/>
        <w:ind w:left="357" w:hanging="357"/>
      </w:pPr>
      <w:bookmarkStart w:id="10" w:name="_Hlk499658950"/>
      <w:r w:rsidRPr="001C06D5">
        <w:t>A day-ahead auction of contracted but un-nominated capacity</w:t>
      </w:r>
      <w:r>
        <w:t xml:space="preserve"> (CBU)</w:t>
      </w:r>
      <w:r w:rsidRPr="001C06D5">
        <w:t xml:space="preserve">, which will be conducted each day on non-exempt transportation facilities shortly after nomination cut-off </w:t>
      </w:r>
      <w:r w:rsidR="00A658E6">
        <w:t xml:space="preserve">time </w:t>
      </w:r>
      <w:r w:rsidRPr="001C06D5">
        <w:t>and subject to a reserve price of zero</w:t>
      </w:r>
      <w:bookmarkEnd w:id="10"/>
      <w:r w:rsidRPr="001C06D5">
        <w:t>.</w:t>
      </w:r>
    </w:p>
    <w:p w14:paraId="72B5BCCF" w14:textId="77777777" w:rsidR="001B5338" w:rsidRPr="001C06D5" w:rsidRDefault="001B5338" w:rsidP="001B5338">
      <w:pPr>
        <w:pStyle w:val="ListNumber"/>
        <w:numPr>
          <w:ilvl w:val="0"/>
          <w:numId w:val="17"/>
        </w:numPr>
        <w:spacing w:before="80" w:after="80" w:line="252" w:lineRule="auto"/>
        <w:ind w:left="357" w:hanging="357"/>
      </w:pPr>
      <w:r>
        <w:t xml:space="preserve">A range of measures to facilitate capacity trading and the </w:t>
      </w:r>
      <w:r w:rsidR="00B531A5">
        <w:t xml:space="preserve">day-ahead </w:t>
      </w:r>
      <w:r>
        <w:t>auction, including the development of s</w:t>
      </w:r>
      <w:r w:rsidRPr="001C06D5">
        <w:t xml:space="preserve">tandard operational </w:t>
      </w:r>
      <w:r>
        <w:t xml:space="preserve">transportation service </w:t>
      </w:r>
      <w:r w:rsidRPr="001C06D5">
        <w:t xml:space="preserve">agreements </w:t>
      </w:r>
      <w:r>
        <w:t>(standard OTSA</w:t>
      </w:r>
      <w:r w:rsidR="00440F79">
        <w:t>s</w:t>
      </w:r>
      <w:r>
        <w:t xml:space="preserve">) </w:t>
      </w:r>
      <w:r w:rsidRPr="001C06D5">
        <w:t xml:space="preserve">that will establish the standard contract terms between </w:t>
      </w:r>
      <w:r w:rsidR="00DA16AB">
        <w:t xml:space="preserve">transportation </w:t>
      </w:r>
      <w:r w:rsidRPr="001C06D5">
        <w:t xml:space="preserve">service providers and shippers for capacity procured through the </w:t>
      </w:r>
      <w:r>
        <w:t xml:space="preserve">capacity </w:t>
      </w:r>
      <w:r w:rsidRPr="001C06D5">
        <w:t>trading platform</w:t>
      </w:r>
      <w:r w:rsidR="00A658E6">
        <w:t>,</w:t>
      </w:r>
      <w:r>
        <w:t xml:space="preserve"> </w:t>
      </w:r>
      <w:r w:rsidRPr="001C06D5">
        <w:t>auction</w:t>
      </w:r>
      <w:r w:rsidR="00A658E6">
        <w:t xml:space="preserve"> and bilateral</w:t>
      </w:r>
      <w:r w:rsidR="00DA16AB">
        <w:t>ly</w:t>
      </w:r>
      <w:r w:rsidR="00A658E6">
        <w:t xml:space="preserve"> (</w:t>
      </w:r>
      <w:r w:rsidR="00DA16AB">
        <w:t xml:space="preserve">i.e. if </w:t>
      </w:r>
      <w:r w:rsidR="00A658E6">
        <w:t>the secondary shipper elects to use an operational transfer)</w:t>
      </w:r>
      <w:r w:rsidRPr="001C06D5">
        <w:t xml:space="preserve">. </w:t>
      </w:r>
    </w:p>
    <w:p w14:paraId="41194749" w14:textId="77777777" w:rsidR="001B5338" w:rsidRPr="001C06D5" w:rsidRDefault="001B5338" w:rsidP="001B5338">
      <w:pPr>
        <w:pStyle w:val="ListNumber"/>
        <w:numPr>
          <w:ilvl w:val="0"/>
          <w:numId w:val="17"/>
        </w:numPr>
        <w:spacing w:before="80" w:after="80" w:line="252" w:lineRule="auto"/>
        <w:ind w:left="357" w:hanging="357"/>
      </w:pPr>
      <w:r w:rsidRPr="001C06D5">
        <w:t>A reporting framework for secondary capacity trades and a number of other transparency measures that are designed to facilitate capacity trad</w:t>
      </w:r>
      <w:r>
        <w:t>ing</w:t>
      </w:r>
      <w:r w:rsidRPr="001C06D5">
        <w:t xml:space="preserve"> and the auction.</w:t>
      </w:r>
    </w:p>
    <w:p w14:paraId="01D09F8E" w14:textId="77777777" w:rsidR="001B5338" w:rsidRDefault="001B5338" w:rsidP="001B5338">
      <w:pPr>
        <w:pStyle w:val="ListNumber"/>
        <w:numPr>
          <w:ilvl w:val="0"/>
          <w:numId w:val="17"/>
        </w:numPr>
        <w:spacing w:before="80" w:after="80" w:line="252" w:lineRule="auto"/>
        <w:ind w:left="357" w:hanging="357"/>
      </w:pPr>
      <w:r w:rsidRPr="001C06D5">
        <w:t xml:space="preserve">A </w:t>
      </w:r>
      <w:r>
        <w:t>standard market timetable that provides for:</w:t>
      </w:r>
      <w:r w:rsidRPr="001C06D5">
        <w:t xml:space="preserve"> </w:t>
      </w:r>
    </w:p>
    <w:p w14:paraId="3B85AA82" w14:textId="77777777" w:rsidR="001B5338" w:rsidRPr="00FA400C" w:rsidRDefault="001B5338" w:rsidP="001B5338">
      <w:pPr>
        <w:pStyle w:val="ListBullet2"/>
        <w:numPr>
          <w:ilvl w:val="1"/>
          <w:numId w:val="13"/>
        </w:numPr>
        <w:tabs>
          <w:tab w:val="num" w:pos="714"/>
        </w:tabs>
        <w:spacing w:before="40" w:after="60" w:line="252" w:lineRule="auto"/>
        <w:ind w:left="714" w:hanging="357"/>
      </w:pPr>
      <w:r>
        <w:t xml:space="preserve">a common </w:t>
      </w:r>
      <w:r w:rsidRPr="001C06D5">
        <w:t xml:space="preserve">gas day start time of 6 am (AEST) </w:t>
      </w:r>
      <w:r w:rsidRPr="00FA400C">
        <w:t xml:space="preserve">across the east coast and </w:t>
      </w:r>
      <w:r w:rsidR="00B531A5">
        <w:t xml:space="preserve">the </w:t>
      </w:r>
      <w:r>
        <w:t>Northern Territory</w:t>
      </w:r>
      <w:r w:rsidRPr="00FA400C">
        <w:t xml:space="preserve"> </w:t>
      </w:r>
      <w:r w:rsidR="00CB0E55">
        <w:t xml:space="preserve">(NT) </w:t>
      </w:r>
      <w:r>
        <w:t xml:space="preserve">that will </w:t>
      </w:r>
      <w:r w:rsidRPr="00FA400C">
        <w:t>apply to all production, pipeline, compress</w:t>
      </w:r>
      <w:r>
        <w:t>ion</w:t>
      </w:r>
      <w:r w:rsidRPr="00FA400C">
        <w:t xml:space="preserve"> and storage </w:t>
      </w:r>
      <w:r>
        <w:t>facilities and in the facilitated markets</w:t>
      </w:r>
      <w:r w:rsidRPr="00FA400C">
        <w:t xml:space="preserve">; </w:t>
      </w:r>
      <w:r>
        <w:t>and</w:t>
      </w:r>
    </w:p>
    <w:p w14:paraId="11EAFF3E" w14:textId="77777777" w:rsidR="001B5338" w:rsidRDefault="001B5338" w:rsidP="00A658E6">
      <w:pPr>
        <w:pStyle w:val="ListBullet2"/>
        <w:numPr>
          <w:ilvl w:val="1"/>
          <w:numId w:val="13"/>
        </w:numPr>
        <w:tabs>
          <w:tab w:val="num" w:pos="714"/>
        </w:tabs>
        <w:spacing w:before="40" w:after="0" w:line="252" w:lineRule="auto"/>
        <w:ind w:left="714" w:hanging="357"/>
      </w:pPr>
      <w:r w:rsidRPr="00FA400C">
        <w:t xml:space="preserve">a common nomination cut-off time of 3 pm (AEST) </w:t>
      </w:r>
      <w:r w:rsidR="00C11538" w:rsidRPr="00FA400C">
        <w:t xml:space="preserve">for </w:t>
      </w:r>
      <w:r w:rsidR="00C11538">
        <w:t xml:space="preserve">transportation </w:t>
      </w:r>
      <w:r w:rsidR="00C11538" w:rsidRPr="00FA400C">
        <w:t xml:space="preserve">facilities subject to the </w:t>
      </w:r>
      <w:r w:rsidR="00C11538">
        <w:t xml:space="preserve">capacity trading reforms </w:t>
      </w:r>
      <w:r>
        <w:t xml:space="preserve">and common auction service nomination cut-off time of 6:45 pm (AEST) </w:t>
      </w:r>
      <w:r w:rsidRPr="00FA400C">
        <w:t xml:space="preserve">for </w:t>
      </w:r>
      <w:r>
        <w:t xml:space="preserve">transportation </w:t>
      </w:r>
      <w:r w:rsidRPr="00FA400C">
        <w:t xml:space="preserve">facilities subject to the </w:t>
      </w:r>
      <w:r w:rsidR="00C11538">
        <w:t>auction</w:t>
      </w:r>
      <w:r>
        <w:t>.</w:t>
      </w:r>
    </w:p>
    <w:p w14:paraId="7F4EB8F9" w14:textId="77777777" w:rsidR="001B5338" w:rsidRDefault="001B5338" w:rsidP="00B531A5">
      <w:pPr>
        <w:pStyle w:val="BodyText"/>
        <w:spacing w:before="120" w:after="60" w:line="252" w:lineRule="auto"/>
        <w:rPr>
          <w:rFonts w:eastAsiaTheme="majorEastAsia" w:cs="Arial"/>
        </w:rPr>
      </w:pPr>
      <w:r>
        <w:rPr>
          <w:rFonts w:cs="Arial"/>
          <w:iCs/>
        </w:rPr>
        <w:t xml:space="preserve">Together these reforms </w:t>
      </w:r>
      <w:r w:rsidRPr="00511F80">
        <w:rPr>
          <w:rFonts w:cs="Arial"/>
        </w:rPr>
        <w:t xml:space="preserve">are expected to </w:t>
      </w:r>
      <w:r w:rsidRPr="00511F80">
        <w:rPr>
          <w:rFonts w:eastAsiaTheme="majorEastAsia" w:cs="Arial"/>
        </w:rPr>
        <w:t xml:space="preserve">foster the development of a more liquid </w:t>
      </w:r>
      <w:r>
        <w:rPr>
          <w:rFonts w:eastAsiaTheme="majorEastAsia" w:cs="Arial"/>
        </w:rPr>
        <w:t xml:space="preserve">secondary capacity market and, in so doing, improve the efficiency with which capacity is allocated and used on </w:t>
      </w:r>
      <w:r w:rsidR="00A658E6">
        <w:rPr>
          <w:rFonts w:eastAsiaTheme="majorEastAsia" w:cs="Arial"/>
        </w:rPr>
        <w:t>transportation facilities</w:t>
      </w:r>
      <w:r w:rsidR="00B531A5">
        <w:rPr>
          <w:rFonts w:eastAsiaTheme="majorEastAsia" w:cs="Arial"/>
        </w:rPr>
        <w:t xml:space="preserve">. </w:t>
      </w:r>
      <w:r w:rsidR="00C15A0D">
        <w:rPr>
          <w:rFonts w:eastAsiaTheme="majorEastAsia"/>
        </w:rPr>
        <w:t xml:space="preserve">Greater liquidity in this market is expected to facilitate increased trade in gas and support the development of a more robust reference price for gas. This, in turn, is expected to enable market participants to make more informed decisions about their use of gas and investments in exploration, production, pipelines and storage facilities. </w:t>
      </w:r>
      <w:r>
        <w:rPr>
          <w:rFonts w:eastAsiaTheme="majorEastAsia"/>
        </w:rPr>
        <w:t xml:space="preserve">The package of reforms is therefore expected to </w:t>
      </w:r>
      <w:r>
        <w:rPr>
          <w:rFonts w:eastAsiaTheme="majorEastAsia" w:cs="Arial"/>
        </w:rPr>
        <w:t xml:space="preserve">promote the National Gas Objective (NGO) and </w:t>
      </w:r>
      <w:r w:rsidR="00B531A5">
        <w:rPr>
          <w:rFonts w:eastAsiaTheme="majorEastAsia" w:cs="Arial"/>
        </w:rPr>
        <w:t xml:space="preserve">the </w:t>
      </w:r>
      <w:r>
        <w:rPr>
          <w:rFonts w:eastAsiaTheme="majorEastAsia" w:cs="Arial"/>
        </w:rPr>
        <w:t>Energy Council’s Vision for the Australian Gas Market (</w:t>
      </w:r>
      <w:r w:rsidRPr="005D4AE4">
        <w:rPr>
          <w:rFonts w:eastAsiaTheme="majorEastAsia" w:cs="Arial"/>
          <w:i/>
        </w:rPr>
        <w:t>Vision</w:t>
      </w:r>
      <w:r>
        <w:rPr>
          <w:rFonts w:eastAsiaTheme="majorEastAsia" w:cs="Arial"/>
        </w:rPr>
        <w:t>) (see Box 1.1).</w:t>
      </w:r>
    </w:p>
    <w:p w14:paraId="0A1B254B" w14:textId="0EC97ED5" w:rsidR="001B5338" w:rsidRPr="004D591C" w:rsidRDefault="001B5338" w:rsidP="001B5338">
      <w:pPr>
        <w:pStyle w:val="BodyText"/>
        <w:keepNext/>
        <w:spacing w:before="0" w:after="0" w:line="252" w:lineRule="auto"/>
        <w:rPr>
          <w:b/>
        </w:rPr>
      </w:pPr>
      <w:bookmarkStart w:id="11" w:name="_Ref482330736"/>
      <w:r w:rsidRPr="004D591C">
        <w:rPr>
          <w:b/>
        </w:rPr>
        <w:lastRenderedPageBreak/>
        <w:t xml:space="preserve">Box </w:t>
      </w:r>
      <w:r w:rsidR="00D32596">
        <w:rPr>
          <w:b/>
        </w:rPr>
        <w:fldChar w:fldCharType="begin"/>
      </w:r>
      <w:r w:rsidR="00D32596">
        <w:rPr>
          <w:b/>
        </w:rPr>
        <w:instrText xml:space="preserve"> STYLEREF 1 \s </w:instrText>
      </w:r>
      <w:r w:rsidR="00D32596">
        <w:rPr>
          <w:b/>
        </w:rPr>
        <w:fldChar w:fldCharType="separate"/>
      </w:r>
      <w:r w:rsidR="0026074F">
        <w:rPr>
          <w:b/>
          <w:noProof/>
        </w:rPr>
        <w:t>1</w:t>
      </w:r>
      <w:r w:rsidR="00D32596">
        <w:rPr>
          <w:b/>
        </w:rPr>
        <w:fldChar w:fldCharType="end"/>
      </w:r>
      <w:r w:rsidR="00D32596">
        <w:rPr>
          <w:b/>
        </w:rPr>
        <w:t>.</w:t>
      </w:r>
      <w:r w:rsidR="00D32596">
        <w:rPr>
          <w:b/>
        </w:rPr>
        <w:fldChar w:fldCharType="begin"/>
      </w:r>
      <w:r w:rsidR="00D32596">
        <w:rPr>
          <w:b/>
        </w:rPr>
        <w:instrText xml:space="preserve"> SEQ Box \* ARABIC \s 1 </w:instrText>
      </w:r>
      <w:r w:rsidR="00D32596">
        <w:rPr>
          <w:b/>
        </w:rPr>
        <w:fldChar w:fldCharType="separate"/>
      </w:r>
      <w:r w:rsidR="0026074F">
        <w:rPr>
          <w:b/>
          <w:noProof/>
        </w:rPr>
        <w:t>1</w:t>
      </w:r>
      <w:r w:rsidR="00D32596">
        <w:rPr>
          <w:b/>
        </w:rPr>
        <w:fldChar w:fldCharType="end"/>
      </w:r>
      <w:bookmarkEnd w:id="11"/>
      <w:r w:rsidRPr="004D591C">
        <w:rPr>
          <w:b/>
        </w:rPr>
        <w:t>: National Gas Objective and Vision for the Australian Gas Market</w:t>
      </w:r>
    </w:p>
    <w:tbl>
      <w:tblPr>
        <w:tblStyle w:val="PullOutBoxTable"/>
        <w:tblW w:w="5000" w:type="pct"/>
        <w:tblLook w:val="0600" w:firstRow="0" w:lastRow="0" w:firstColumn="0" w:lastColumn="0" w:noHBand="1" w:noVBand="1"/>
        <w:tblCaption w:val="Box 1.1"/>
        <w:tblDescription w:val="National Gas Objective and Vision for the Australian Gas Market"/>
      </w:tblPr>
      <w:tblGrid>
        <w:gridCol w:w="8788"/>
      </w:tblGrid>
      <w:tr w:rsidR="001B5338" w:rsidRPr="004F4D18" w14:paraId="0C6FE294" w14:textId="77777777" w:rsidTr="00C15A0D">
        <w:trPr>
          <w:trHeight w:val="11064"/>
        </w:trPr>
        <w:tc>
          <w:tcPr>
            <w:tcW w:w="5000" w:type="pct"/>
          </w:tcPr>
          <w:p w14:paraId="4E725309" w14:textId="77777777" w:rsidR="001B5338" w:rsidRPr="004F4D18" w:rsidRDefault="001B5338" w:rsidP="00C15A0D">
            <w:pPr>
              <w:pStyle w:val="ListBullet"/>
              <w:numPr>
                <w:ilvl w:val="0"/>
                <w:numId w:val="0"/>
              </w:numPr>
              <w:spacing w:before="40" w:after="60"/>
              <w:ind w:left="357" w:hanging="357"/>
              <w:rPr>
                <w:b/>
                <w:color w:val="0099CC"/>
                <w:sz w:val="20"/>
                <w:szCs w:val="20"/>
              </w:rPr>
            </w:pPr>
            <w:r w:rsidRPr="004F4D18">
              <w:rPr>
                <w:b/>
                <w:color w:val="0099CC"/>
                <w:sz w:val="20"/>
                <w:szCs w:val="20"/>
              </w:rPr>
              <w:t>National Gas Objective</w:t>
            </w:r>
          </w:p>
          <w:p w14:paraId="12E8613B" w14:textId="77777777" w:rsidR="001B5338" w:rsidRPr="004F4D18" w:rsidRDefault="001B5338" w:rsidP="00C15A0D">
            <w:pPr>
              <w:pStyle w:val="ListBullet"/>
              <w:numPr>
                <w:ilvl w:val="0"/>
                <w:numId w:val="0"/>
              </w:numPr>
              <w:spacing w:before="40" w:after="60"/>
              <w:ind w:left="357" w:hanging="357"/>
              <w:rPr>
                <w:sz w:val="20"/>
                <w:szCs w:val="20"/>
              </w:rPr>
            </w:pPr>
            <w:r w:rsidRPr="004F4D18">
              <w:rPr>
                <w:sz w:val="20"/>
                <w:szCs w:val="20"/>
              </w:rPr>
              <w:t>The NGO is set out in section 23 of the NGL and states the following:</w:t>
            </w:r>
          </w:p>
          <w:p w14:paraId="77E6C98E" w14:textId="77777777" w:rsidR="001B5338" w:rsidRPr="004F4D18" w:rsidRDefault="001B5338" w:rsidP="00C15A0D">
            <w:pPr>
              <w:pStyle w:val="BodyText"/>
              <w:spacing w:before="40" w:after="60"/>
              <w:ind w:left="567" w:right="567"/>
              <w:rPr>
                <w:i/>
                <w:iCs/>
                <w:sz w:val="19"/>
                <w:szCs w:val="19"/>
              </w:rPr>
            </w:pPr>
            <w:r w:rsidRPr="004F4D18">
              <w:rPr>
                <w:i/>
                <w:iCs/>
                <w:sz w:val="19"/>
                <w:szCs w:val="19"/>
              </w:rPr>
              <w:t>The objective of this law is to promote efficient investment in, and efficient operation and use of, natural gas services for the long term interests of consumers of natural gas with respect to price, quality, safety, reliability and security of supply of natural gas.</w:t>
            </w:r>
          </w:p>
          <w:p w14:paraId="6BCF4478" w14:textId="77777777" w:rsidR="001B5338" w:rsidRPr="004F4D18" w:rsidRDefault="001B5338" w:rsidP="00C15A0D">
            <w:pPr>
              <w:pStyle w:val="ListBullet"/>
              <w:numPr>
                <w:ilvl w:val="0"/>
                <w:numId w:val="0"/>
              </w:numPr>
              <w:spacing w:before="40" w:after="60"/>
              <w:ind w:left="357" w:hanging="357"/>
              <w:rPr>
                <w:b/>
                <w:color w:val="0099CC"/>
                <w:sz w:val="20"/>
                <w:szCs w:val="20"/>
              </w:rPr>
            </w:pPr>
            <w:r>
              <w:rPr>
                <w:b/>
                <w:color w:val="0099CC"/>
                <w:sz w:val="20"/>
                <w:szCs w:val="20"/>
              </w:rPr>
              <w:t xml:space="preserve">Energy </w:t>
            </w:r>
            <w:r w:rsidRPr="004F4D18">
              <w:rPr>
                <w:b/>
                <w:color w:val="0099CC"/>
                <w:sz w:val="20"/>
                <w:szCs w:val="20"/>
              </w:rPr>
              <w:t>Council’s Vision for the Australian Gas Market</w:t>
            </w:r>
            <w:r>
              <w:rPr>
                <w:rStyle w:val="FootnoteReference"/>
                <w:bCs/>
              </w:rPr>
              <w:footnoteReference w:id="4"/>
            </w:r>
          </w:p>
          <w:p w14:paraId="0982A16A" w14:textId="77777777" w:rsidR="001B5338" w:rsidRPr="004F4D18" w:rsidRDefault="001B5338" w:rsidP="00C15A0D">
            <w:pPr>
              <w:pStyle w:val="ListBullet"/>
              <w:numPr>
                <w:ilvl w:val="0"/>
                <w:numId w:val="0"/>
              </w:numPr>
              <w:spacing w:before="40" w:after="60"/>
              <w:ind w:left="357" w:hanging="357"/>
              <w:rPr>
                <w:sz w:val="20"/>
                <w:szCs w:val="20"/>
              </w:rPr>
            </w:pPr>
            <w:r w:rsidRPr="004F4D18">
              <w:rPr>
                <w:sz w:val="20"/>
                <w:szCs w:val="20"/>
              </w:rPr>
              <w:t xml:space="preserve">The </w:t>
            </w:r>
            <w:r>
              <w:rPr>
                <w:sz w:val="20"/>
                <w:szCs w:val="20"/>
              </w:rPr>
              <w:t xml:space="preserve">Energy </w:t>
            </w:r>
            <w:r w:rsidRPr="004F4D18">
              <w:rPr>
                <w:sz w:val="20"/>
                <w:szCs w:val="20"/>
              </w:rPr>
              <w:t xml:space="preserve">Council’s </w:t>
            </w:r>
            <w:r w:rsidRPr="001163C1">
              <w:rPr>
                <w:i/>
                <w:sz w:val="20"/>
                <w:szCs w:val="20"/>
              </w:rPr>
              <w:t>Vision</w:t>
            </w:r>
            <w:r w:rsidRPr="004F4D18">
              <w:rPr>
                <w:sz w:val="20"/>
                <w:szCs w:val="20"/>
              </w:rPr>
              <w:t xml:space="preserve"> is for</w:t>
            </w:r>
            <w:r>
              <w:rPr>
                <w:sz w:val="20"/>
                <w:szCs w:val="20"/>
              </w:rPr>
              <w:t>:</w:t>
            </w:r>
          </w:p>
          <w:p w14:paraId="73770FAF" w14:textId="77777777" w:rsidR="001B5338" w:rsidRDefault="001B5338" w:rsidP="00C15A0D">
            <w:pPr>
              <w:pStyle w:val="BodyText"/>
              <w:spacing w:before="40" w:after="60"/>
              <w:ind w:left="567" w:right="567"/>
              <w:rPr>
                <w:i/>
                <w:iCs/>
                <w:sz w:val="19"/>
                <w:szCs w:val="19"/>
              </w:rPr>
            </w:pPr>
            <w:r w:rsidRPr="004F4D18">
              <w:rPr>
                <w:i/>
                <w:iCs/>
                <w:sz w:val="19"/>
                <w:szCs w:val="19"/>
              </w:rPr>
              <w:t>..the establishment of a liquid wholesale gas market that provides market signals for investment and supply, where responses to those signals are facilitated by a supportive investment and regulatory environment, where trade is focused at a point that best serves the needs of participants, where an efficient reference price is established, and producers, consumers and trading markets are connected to infrastructure that enables participants the opportunity to readily trade between locations and arbitrage trading opportunities.</w:t>
            </w:r>
          </w:p>
          <w:p w14:paraId="39A1A4E9" w14:textId="77777777" w:rsidR="001B5338" w:rsidRPr="000A7592" w:rsidRDefault="001B5338" w:rsidP="00C15A0D">
            <w:pPr>
              <w:pStyle w:val="BodyText"/>
              <w:tabs>
                <w:tab w:val="clear" w:pos="2268"/>
                <w:tab w:val="clear" w:pos="4536"/>
                <w:tab w:val="clear" w:pos="6804"/>
                <w:tab w:val="clear" w:pos="9638"/>
                <w:tab w:val="left" w:pos="2018"/>
                <w:tab w:val="left" w:pos="4037"/>
                <w:tab w:val="left" w:pos="6055"/>
                <w:tab w:val="right" w:pos="8577"/>
              </w:tabs>
              <w:spacing w:before="40" w:after="60"/>
              <w:rPr>
                <w:sz w:val="20"/>
                <w:szCs w:val="20"/>
              </w:rPr>
            </w:pPr>
            <w:r w:rsidRPr="000A7592">
              <w:rPr>
                <w:sz w:val="20"/>
                <w:szCs w:val="20"/>
              </w:rPr>
              <w:t xml:space="preserve">At the time it released the </w:t>
            </w:r>
            <w:r w:rsidRPr="001D27D5">
              <w:rPr>
                <w:i/>
                <w:sz w:val="20"/>
                <w:szCs w:val="20"/>
              </w:rPr>
              <w:t>Vision</w:t>
            </w:r>
            <w:r w:rsidRPr="000A7592">
              <w:rPr>
                <w:sz w:val="20"/>
                <w:szCs w:val="20"/>
              </w:rPr>
              <w:t>, the Council also noted that it would pursue the following outcomes in the next phase of gas market reform and development:</w:t>
            </w:r>
          </w:p>
          <w:p w14:paraId="09404DB3" w14:textId="77777777" w:rsidR="001B5338" w:rsidRPr="00B91D37" w:rsidRDefault="001B5338" w:rsidP="00C15A0D">
            <w:pPr>
              <w:pStyle w:val="ListBullet"/>
              <w:numPr>
                <w:ilvl w:val="0"/>
                <w:numId w:val="0"/>
              </w:numPr>
              <w:spacing w:before="40" w:after="60"/>
              <w:ind w:left="357" w:hanging="357"/>
              <w:rPr>
                <w:b/>
                <w:sz w:val="19"/>
                <w:szCs w:val="19"/>
              </w:rPr>
            </w:pPr>
            <w:r w:rsidRPr="00B91D37">
              <w:rPr>
                <w:b/>
                <w:sz w:val="19"/>
                <w:szCs w:val="19"/>
              </w:rPr>
              <w:t>Stream 1: Encouraging competitive gas supply:</w:t>
            </w:r>
          </w:p>
          <w:p w14:paraId="02F17158" w14:textId="77777777" w:rsidR="001B5338" w:rsidRPr="00B91D37" w:rsidRDefault="001B5338" w:rsidP="003F25E1">
            <w:pPr>
              <w:pStyle w:val="ListNumber2"/>
              <w:numPr>
                <w:ilvl w:val="1"/>
                <w:numId w:val="32"/>
              </w:numPr>
              <w:spacing w:before="40" w:after="60"/>
              <w:rPr>
                <w:sz w:val="19"/>
                <w:szCs w:val="19"/>
              </w:rPr>
            </w:pPr>
            <w:r w:rsidRPr="00B91D37">
              <w:rPr>
                <w:sz w:val="19"/>
                <w:szCs w:val="19"/>
              </w:rPr>
              <w:t xml:space="preserve">Improvements to the regulatory and investment environment so that gas supply is able to respond flexibly to changes in market conditions. </w:t>
            </w:r>
          </w:p>
          <w:p w14:paraId="039601FB" w14:textId="77777777" w:rsidR="001B5338" w:rsidRPr="00B91D37" w:rsidRDefault="001B5338" w:rsidP="003F25E1">
            <w:pPr>
              <w:pStyle w:val="ListNumber2"/>
              <w:numPr>
                <w:ilvl w:val="1"/>
                <w:numId w:val="32"/>
              </w:numPr>
              <w:spacing w:before="40" w:after="60"/>
              <w:rPr>
                <w:sz w:val="19"/>
                <w:szCs w:val="19"/>
              </w:rPr>
            </w:pPr>
            <w:r w:rsidRPr="00B91D37">
              <w:rPr>
                <w:sz w:val="19"/>
                <w:szCs w:val="19"/>
              </w:rPr>
              <w:t>A "social licence" for onshore natural gas development achieved through inclusion, consultation, improving the availability and accessibility of factual information to resources projects, and rigorous science to ensure communities concerns are addressed.</w:t>
            </w:r>
          </w:p>
          <w:p w14:paraId="2CD6B8D4" w14:textId="77777777" w:rsidR="001B5338" w:rsidRPr="00B91D37" w:rsidRDefault="001B5338" w:rsidP="00C15A0D">
            <w:pPr>
              <w:pStyle w:val="ListBullet"/>
              <w:numPr>
                <w:ilvl w:val="0"/>
                <w:numId w:val="0"/>
              </w:numPr>
              <w:spacing w:before="40" w:after="60"/>
              <w:ind w:left="357" w:hanging="357"/>
              <w:rPr>
                <w:b/>
                <w:sz w:val="19"/>
                <w:szCs w:val="19"/>
              </w:rPr>
            </w:pPr>
            <w:r w:rsidRPr="00B91D37">
              <w:rPr>
                <w:b/>
                <w:sz w:val="19"/>
                <w:szCs w:val="19"/>
              </w:rPr>
              <w:t>Stream 2: Enhancing transparency and price discovery:</w:t>
            </w:r>
          </w:p>
          <w:p w14:paraId="447D61CA" w14:textId="77777777" w:rsidR="001B5338" w:rsidRPr="00B91D37" w:rsidRDefault="001B5338" w:rsidP="003F25E1">
            <w:pPr>
              <w:pStyle w:val="ListNumber2"/>
              <w:numPr>
                <w:ilvl w:val="1"/>
                <w:numId w:val="30"/>
              </w:numPr>
              <w:spacing w:before="40" w:after="60"/>
              <w:rPr>
                <w:sz w:val="19"/>
                <w:szCs w:val="19"/>
              </w:rPr>
            </w:pPr>
            <w:r w:rsidRPr="00B91D37">
              <w:rPr>
                <w:sz w:val="19"/>
                <w:szCs w:val="19"/>
              </w:rPr>
              <w:t>Provision of accurate and transparent market making information on pipeline and large storage facilities operations and capacity, upstream resources, and the actions of producers, export facilities, large consumers and traders.</w:t>
            </w:r>
          </w:p>
          <w:p w14:paraId="191D6999" w14:textId="77777777" w:rsidR="001B5338" w:rsidRPr="00B91D37" w:rsidRDefault="001B5338" w:rsidP="003F25E1">
            <w:pPr>
              <w:pStyle w:val="ListNumber2"/>
              <w:numPr>
                <w:ilvl w:val="1"/>
                <w:numId w:val="30"/>
              </w:numPr>
              <w:spacing w:before="40" w:after="60"/>
              <w:rPr>
                <w:sz w:val="19"/>
                <w:szCs w:val="19"/>
              </w:rPr>
            </w:pPr>
            <w:r w:rsidRPr="00B91D37">
              <w:rPr>
                <w:sz w:val="19"/>
                <w:szCs w:val="19"/>
              </w:rPr>
              <w:t xml:space="preserve">Increased flexibility and opportunity for trade in pipeline capacity. </w:t>
            </w:r>
          </w:p>
          <w:p w14:paraId="1868E142" w14:textId="77777777" w:rsidR="001B5338" w:rsidRPr="00B91D37" w:rsidRDefault="001B5338" w:rsidP="003F25E1">
            <w:pPr>
              <w:pStyle w:val="ListNumber2"/>
              <w:numPr>
                <w:ilvl w:val="1"/>
                <w:numId w:val="30"/>
              </w:numPr>
              <w:spacing w:before="40" w:after="60"/>
              <w:rPr>
                <w:sz w:val="19"/>
                <w:szCs w:val="19"/>
              </w:rPr>
            </w:pPr>
            <w:r w:rsidRPr="00B91D37">
              <w:rPr>
                <w:sz w:val="19"/>
                <w:szCs w:val="19"/>
              </w:rPr>
              <w:t xml:space="preserve">A competitive retail market that will provide customers with greater choice and large users with enhanced options for self-supply and shipment. </w:t>
            </w:r>
          </w:p>
          <w:p w14:paraId="0A96702E" w14:textId="77777777" w:rsidR="001B5338" w:rsidRPr="00B91D37" w:rsidRDefault="001B5338" w:rsidP="00C15A0D">
            <w:pPr>
              <w:pStyle w:val="ListBullet"/>
              <w:numPr>
                <w:ilvl w:val="0"/>
                <w:numId w:val="0"/>
              </w:numPr>
              <w:spacing w:before="40" w:after="60"/>
              <w:ind w:left="357" w:hanging="357"/>
              <w:rPr>
                <w:b/>
                <w:sz w:val="19"/>
                <w:szCs w:val="19"/>
              </w:rPr>
            </w:pPr>
            <w:r w:rsidRPr="00B91D37">
              <w:rPr>
                <w:b/>
                <w:sz w:val="19"/>
                <w:szCs w:val="19"/>
              </w:rPr>
              <w:t>Stream 3: Improving risk management:</w:t>
            </w:r>
          </w:p>
          <w:p w14:paraId="485A47F6" w14:textId="77777777" w:rsidR="001B5338" w:rsidRPr="00B91D37" w:rsidRDefault="001B5338" w:rsidP="003F25E1">
            <w:pPr>
              <w:pStyle w:val="ListNumber2"/>
              <w:numPr>
                <w:ilvl w:val="1"/>
                <w:numId w:val="31"/>
              </w:numPr>
              <w:spacing w:before="40" w:after="60"/>
              <w:rPr>
                <w:sz w:val="19"/>
                <w:szCs w:val="19"/>
              </w:rPr>
            </w:pPr>
            <w:r w:rsidRPr="00B91D37">
              <w:rPr>
                <w:sz w:val="19"/>
                <w:szCs w:val="19"/>
              </w:rPr>
              <w:t xml:space="preserve">Liquid and competitive wholesale spot and forward markets for gas that provide tools for participants to price and hedge risk. </w:t>
            </w:r>
          </w:p>
          <w:p w14:paraId="4A878B7F" w14:textId="77777777" w:rsidR="001B5338" w:rsidRPr="00B91D37" w:rsidRDefault="001B5338" w:rsidP="003F25E1">
            <w:pPr>
              <w:pStyle w:val="ListNumber2"/>
              <w:numPr>
                <w:ilvl w:val="1"/>
                <w:numId w:val="31"/>
              </w:numPr>
              <w:spacing w:before="40" w:after="60"/>
              <w:rPr>
                <w:sz w:val="19"/>
                <w:szCs w:val="19"/>
              </w:rPr>
            </w:pPr>
            <w:r w:rsidRPr="00B91D37">
              <w:rPr>
                <w:sz w:val="19"/>
                <w:szCs w:val="19"/>
              </w:rPr>
              <w:t xml:space="preserve">Access to regional demand markets through more harmonised pipeline capacity contracting arrangements which are flexible, comparable, transparent on price, and non-discriminatory in terms of shippers’ rights, to accommodate evolving market structures. </w:t>
            </w:r>
          </w:p>
          <w:p w14:paraId="4CFF6CE4" w14:textId="77777777" w:rsidR="001B5338" w:rsidRPr="00B91D37" w:rsidRDefault="001B5338" w:rsidP="003F25E1">
            <w:pPr>
              <w:pStyle w:val="ListNumber2"/>
              <w:numPr>
                <w:ilvl w:val="1"/>
                <w:numId w:val="31"/>
              </w:numPr>
              <w:spacing w:before="40" w:after="60"/>
              <w:rPr>
                <w:sz w:val="19"/>
                <w:szCs w:val="19"/>
              </w:rPr>
            </w:pPr>
            <w:r w:rsidRPr="00B91D37">
              <w:rPr>
                <w:sz w:val="19"/>
                <w:szCs w:val="19"/>
              </w:rPr>
              <w:t xml:space="preserve">Harmonised market interfaces that enable participants to readily trade between locations and find opportunities for arbitrage and trade. </w:t>
            </w:r>
          </w:p>
          <w:p w14:paraId="7E0133ED" w14:textId="77777777" w:rsidR="001B5338" w:rsidRPr="00B91D37" w:rsidRDefault="001B5338" w:rsidP="003F25E1">
            <w:pPr>
              <w:pStyle w:val="ListNumber2"/>
              <w:numPr>
                <w:ilvl w:val="1"/>
                <w:numId w:val="31"/>
              </w:numPr>
              <w:spacing w:before="40" w:after="60"/>
              <w:rPr>
                <w:sz w:val="19"/>
                <w:szCs w:val="19"/>
              </w:rPr>
            </w:pPr>
            <w:r w:rsidRPr="00B91D37">
              <w:rPr>
                <w:sz w:val="19"/>
                <w:szCs w:val="19"/>
              </w:rPr>
              <w:t xml:space="preserve">Identified development pathways to improve interconnectivity between supply and demand centres, and existing facilitated gas markets, which enable the enhanced trading of gas.  </w:t>
            </w:r>
          </w:p>
          <w:p w14:paraId="0F3207C8" w14:textId="77777777" w:rsidR="001B5338" w:rsidRPr="00B91D37" w:rsidRDefault="001B5338" w:rsidP="00C15A0D">
            <w:pPr>
              <w:pStyle w:val="ListBullet"/>
              <w:numPr>
                <w:ilvl w:val="0"/>
                <w:numId w:val="0"/>
              </w:numPr>
              <w:spacing w:before="40" w:after="60"/>
              <w:ind w:left="357" w:hanging="357"/>
              <w:rPr>
                <w:b/>
                <w:sz w:val="19"/>
                <w:szCs w:val="19"/>
              </w:rPr>
            </w:pPr>
            <w:r w:rsidRPr="00B91D37">
              <w:rPr>
                <w:b/>
                <w:sz w:val="19"/>
                <w:szCs w:val="19"/>
              </w:rPr>
              <w:t>Stream 4: Removing unnecessary regulatory barriers:</w:t>
            </w:r>
          </w:p>
          <w:p w14:paraId="0D6140BA" w14:textId="77777777" w:rsidR="001B5338" w:rsidRPr="00B91D37" w:rsidRDefault="001B5338" w:rsidP="003F25E1">
            <w:pPr>
              <w:pStyle w:val="ListNumber2"/>
              <w:numPr>
                <w:ilvl w:val="1"/>
                <w:numId w:val="33"/>
              </w:numPr>
              <w:spacing w:before="40" w:after="60"/>
              <w:rPr>
                <w:iCs/>
                <w:sz w:val="19"/>
                <w:szCs w:val="19"/>
              </w:rPr>
            </w:pPr>
            <w:r w:rsidRPr="00B91D37">
              <w:rPr>
                <w:sz w:val="19"/>
                <w:szCs w:val="19"/>
              </w:rPr>
              <w:t>Regulation of gas supply and infrastructure is appropriate and enables participants to pursue investment opportunities, in response to market signals, in an efficient and timely manner.</w:t>
            </w:r>
          </w:p>
          <w:p w14:paraId="66FCD478" w14:textId="77777777" w:rsidR="001B5338" w:rsidRPr="005D4AE4" w:rsidRDefault="001B5338" w:rsidP="00C15A0D">
            <w:pPr>
              <w:pStyle w:val="BodyText"/>
              <w:spacing w:before="40" w:after="60"/>
              <w:ind w:right="567"/>
              <w:rPr>
                <w:i/>
                <w:iCs/>
                <w:sz w:val="19"/>
                <w:szCs w:val="19"/>
              </w:rPr>
            </w:pPr>
            <w:r>
              <w:rPr>
                <w:sz w:val="20"/>
                <w:szCs w:val="20"/>
              </w:rPr>
              <w:t>The outcomes that are most relevant to the capacity trading related reforms are Streams 2(a), 2(b), 3(b), 3(c) and 3(d).</w:t>
            </w:r>
          </w:p>
        </w:tc>
      </w:tr>
    </w:tbl>
    <w:p w14:paraId="3B53F938" w14:textId="77777777" w:rsidR="001B5338" w:rsidRDefault="001B5338" w:rsidP="001B5338">
      <w:pPr>
        <w:pStyle w:val="BodyText"/>
        <w:spacing w:line="252" w:lineRule="auto"/>
      </w:pPr>
      <w:r>
        <w:t>Work on the design of the reform package commenced in early 2017. Following a detailed consultation process, which included a large number of meetings with industry-based project teams, the GMRG provided its final recommendations to the Energy Council on:</w:t>
      </w:r>
      <w:r>
        <w:rPr>
          <w:rStyle w:val="FootnoteReference"/>
        </w:rPr>
        <w:t>:</w:t>
      </w:r>
    </w:p>
    <w:p w14:paraId="1F8CAEB0" w14:textId="77777777" w:rsidR="001B5338" w:rsidRDefault="001B5338" w:rsidP="001B5338">
      <w:pPr>
        <w:pStyle w:val="ListBullet"/>
        <w:spacing w:before="60" w:after="60" w:line="252" w:lineRule="auto"/>
        <w:ind w:left="357" w:hanging="357"/>
      </w:pPr>
      <w:r>
        <w:lastRenderedPageBreak/>
        <w:t xml:space="preserve">the proposal to accord the Australian Energy Market Operator (AEMO) responsibility for operating and administering the capacity trading platform and the auction, which was approved by the Energy Council at its 14 </w:t>
      </w:r>
      <w:r w:rsidRPr="00585D28">
        <w:t>July 2017</w:t>
      </w:r>
      <w:r>
        <w:t xml:space="preserve"> meeting;</w:t>
      </w:r>
      <w:r>
        <w:rPr>
          <w:rStyle w:val="FootnoteReference"/>
        </w:rPr>
        <w:footnoteReference w:id="5"/>
      </w:r>
    </w:p>
    <w:p w14:paraId="73166B81" w14:textId="77777777" w:rsidR="001B5338" w:rsidRPr="000A46B1" w:rsidRDefault="001B5338" w:rsidP="001B5338">
      <w:pPr>
        <w:pStyle w:val="ListBullet"/>
        <w:spacing w:before="60" w:after="60" w:line="252" w:lineRule="auto"/>
        <w:ind w:left="357" w:hanging="357"/>
      </w:pPr>
      <w:r w:rsidRPr="000A46B1">
        <w:t xml:space="preserve">the proposed design of the capacity trading platform, </w:t>
      </w:r>
      <w:r>
        <w:t xml:space="preserve">the measures required to facilitate capacity trading and the </w:t>
      </w:r>
      <w:r w:rsidR="00B531A5">
        <w:t xml:space="preserve">day-ahead </w:t>
      </w:r>
      <w:r>
        <w:t xml:space="preserve">auction, </w:t>
      </w:r>
      <w:r w:rsidRPr="000A46B1">
        <w:t xml:space="preserve">the </w:t>
      </w:r>
      <w:r>
        <w:t xml:space="preserve">secondary trading </w:t>
      </w:r>
      <w:r w:rsidRPr="000A46B1">
        <w:t>reporting framework</w:t>
      </w:r>
      <w:r>
        <w:t xml:space="preserve"> and the </w:t>
      </w:r>
      <w:r w:rsidR="00A658E6">
        <w:t>standard market timetable</w:t>
      </w:r>
      <w:r w:rsidRPr="000A46B1">
        <w:t xml:space="preserve">, which were approved by the Energy Council </w:t>
      </w:r>
      <w:r>
        <w:t xml:space="preserve">at its </w:t>
      </w:r>
      <w:r w:rsidRPr="000A46B1">
        <w:t>24 November 2017</w:t>
      </w:r>
      <w:r>
        <w:t xml:space="preserve"> meeting</w:t>
      </w:r>
      <w:r w:rsidRPr="000A46B1">
        <w:t>;</w:t>
      </w:r>
      <w:r>
        <w:rPr>
          <w:rStyle w:val="FootnoteReference"/>
        </w:rPr>
        <w:footnoteReference w:id="6"/>
      </w:r>
      <w:r w:rsidRPr="000A46B1">
        <w:t xml:space="preserve"> and</w:t>
      </w:r>
    </w:p>
    <w:p w14:paraId="3E271E56" w14:textId="77777777" w:rsidR="001B5338" w:rsidRPr="000A46B1" w:rsidRDefault="001B5338" w:rsidP="001B5338">
      <w:pPr>
        <w:pStyle w:val="ListBullet"/>
        <w:spacing w:after="240" w:line="252" w:lineRule="auto"/>
        <w:ind w:left="357" w:hanging="357"/>
      </w:pPr>
      <w:r w:rsidRPr="000A46B1">
        <w:t xml:space="preserve">the proposed design of the </w:t>
      </w:r>
      <w:r w:rsidR="00B531A5">
        <w:t xml:space="preserve">day-ahead </w:t>
      </w:r>
      <w:r w:rsidRPr="000A46B1">
        <w:t xml:space="preserve">auction, which </w:t>
      </w:r>
      <w:r>
        <w:t>was</w:t>
      </w:r>
      <w:r w:rsidRPr="000A46B1">
        <w:t xml:space="preserve"> approved by the Energy Council out-of-session on 3 January 2018.</w:t>
      </w:r>
      <w:r>
        <w:rPr>
          <w:rStyle w:val="FootnoteReference"/>
        </w:rPr>
        <w:footnoteReference w:id="7"/>
      </w:r>
    </w:p>
    <w:p w14:paraId="7DC3A76C" w14:textId="77777777" w:rsidR="001B5338" w:rsidRDefault="001B5338" w:rsidP="001B5338">
      <w:pPr>
        <w:pStyle w:val="BodyText"/>
        <w:spacing w:before="180" w:after="60" w:line="252" w:lineRule="auto"/>
      </w:pPr>
      <w:r>
        <w:t>The GMRG also provided its final recommendations to the Energy Council on the timing of the commencement of the reforms, which were that:</w:t>
      </w:r>
    </w:p>
    <w:p w14:paraId="55FAE6CD" w14:textId="77777777" w:rsidR="001B5338" w:rsidRDefault="001B5338" w:rsidP="001B5338">
      <w:pPr>
        <w:pStyle w:val="ListBullet"/>
        <w:spacing w:before="60" w:after="60" w:line="252" w:lineRule="auto"/>
        <w:ind w:left="357" w:hanging="357"/>
      </w:pPr>
      <w:r>
        <w:t xml:space="preserve">the capacity trading platform and auction should commence on </w:t>
      </w:r>
      <w:r w:rsidRPr="004E19E6">
        <w:rPr>
          <w:b/>
        </w:rPr>
        <w:t>1 March</w:t>
      </w:r>
      <w:r>
        <w:rPr>
          <w:b/>
        </w:rPr>
        <w:t> </w:t>
      </w:r>
      <w:r w:rsidRPr="004E19E6">
        <w:rPr>
          <w:b/>
        </w:rPr>
        <w:t>2019</w:t>
      </w:r>
      <w:r w:rsidRPr="00DC59F0">
        <w:t xml:space="preserve">; </w:t>
      </w:r>
      <w:r>
        <w:t>and</w:t>
      </w:r>
    </w:p>
    <w:p w14:paraId="15751706" w14:textId="77777777" w:rsidR="001B5338" w:rsidRDefault="001B5338" w:rsidP="001B5338">
      <w:pPr>
        <w:pStyle w:val="ListBullet"/>
        <w:spacing w:before="60" w:after="60" w:line="252" w:lineRule="auto"/>
        <w:ind w:left="357" w:hanging="357"/>
      </w:pPr>
      <w:r>
        <w:t xml:space="preserve">the </w:t>
      </w:r>
      <w:r w:rsidR="00A658E6">
        <w:t xml:space="preserve">standard market timetable </w:t>
      </w:r>
      <w:r>
        <w:t xml:space="preserve">should commence on </w:t>
      </w:r>
      <w:r w:rsidRPr="004E19E6">
        <w:rPr>
          <w:b/>
        </w:rPr>
        <w:t>1 October 2019</w:t>
      </w:r>
      <w:r w:rsidRPr="00DC59F0">
        <w:t xml:space="preserve">. </w:t>
      </w:r>
    </w:p>
    <w:p w14:paraId="4800FEC5" w14:textId="77777777" w:rsidR="001B5338" w:rsidRDefault="001B5338" w:rsidP="001B5338">
      <w:pPr>
        <w:pStyle w:val="BodyText"/>
        <w:spacing w:before="0" w:after="240" w:line="252" w:lineRule="auto"/>
      </w:pPr>
      <w:r>
        <w:t xml:space="preserve">These recommendations were endorsed by the Energy Council on 24 November 2017. </w:t>
      </w:r>
    </w:p>
    <w:p w14:paraId="693AB13E" w14:textId="77777777" w:rsidR="001B5338" w:rsidRDefault="001B5338" w:rsidP="001B5338">
      <w:pPr>
        <w:pStyle w:val="Heading2"/>
        <w:spacing w:before="120" w:after="120" w:line="252" w:lineRule="auto"/>
      </w:pPr>
      <w:bookmarkStart w:id="12" w:name="_Toc515276990"/>
      <w:bookmarkStart w:id="13" w:name="_Toc530546447"/>
      <w:r>
        <w:t>Draft legal and regulatory framework</w:t>
      </w:r>
      <w:bookmarkEnd w:id="12"/>
      <w:bookmarkEnd w:id="13"/>
      <w:r>
        <w:t xml:space="preserve"> </w:t>
      </w:r>
    </w:p>
    <w:p w14:paraId="0BAE8406" w14:textId="77777777" w:rsidR="001B5338" w:rsidRDefault="001B5338" w:rsidP="001B5338">
      <w:pPr>
        <w:pStyle w:val="BodyText"/>
        <w:spacing w:before="0" w:line="252" w:lineRule="auto"/>
        <w:rPr>
          <w:rFonts w:cs="Arial"/>
        </w:rPr>
      </w:pPr>
      <w:r>
        <w:rPr>
          <w:rFonts w:cs="Arial"/>
        </w:rPr>
        <w:t xml:space="preserve">Following the Energy Council’s approval of the design of the capacity trading reform package, the GMRG, with the assistance of its legal advisor, </w:t>
      </w:r>
      <w:r>
        <w:t>Johnson Winter &amp; Slattery (JWS)</w:t>
      </w:r>
      <w:r>
        <w:rPr>
          <w:rFonts w:cs="Arial"/>
        </w:rPr>
        <w:t xml:space="preserve">, </w:t>
      </w:r>
      <w:r w:rsidRPr="0000712D">
        <w:rPr>
          <w:rFonts w:cs="Arial"/>
        </w:rPr>
        <w:t xml:space="preserve">commenced </w:t>
      </w:r>
      <w:r>
        <w:rPr>
          <w:rFonts w:cs="Arial"/>
        </w:rPr>
        <w:t xml:space="preserve">work </w:t>
      </w:r>
      <w:r w:rsidRPr="0000712D">
        <w:rPr>
          <w:rFonts w:cs="Arial"/>
        </w:rPr>
        <w:t xml:space="preserve">on the </w:t>
      </w:r>
      <w:r>
        <w:rPr>
          <w:rFonts w:cs="Arial"/>
        </w:rPr>
        <w:t xml:space="preserve">legal and regulatory framework required </w:t>
      </w:r>
      <w:r w:rsidRPr="0000712D">
        <w:rPr>
          <w:rFonts w:cs="Arial"/>
        </w:rPr>
        <w:t xml:space="preserve">to give effect to the </w:t>
      </w:r>
      <w:r>
        <w:rPr>
          <w:rFonts w:cs="Arial"/>
        </w:rPr>
        <w:t>reforms</w:t>
      </w:r>
      <w:r w:rsidR="00A658E6">
        <w:rPr>
          <w:rFonts w:cs="Arial"/>
        </w:rPr>
        <w:t>. This framework</w:t>
      </w:r>
      <w:r>
        <w:rPr>
          <w:rFonts w:cs="Arial"/>
        </w:rPr>
        <w:t xml:space="preserve"> includes:</w:t>
      </w:r>
    </w:p>
    <w:p w14:paraId="410B8E41" w14:textId="77777777" w:rsidR="001B5338" w:rsidRDefault="001B5338" w:rsidP="001B5338">
      <w:pPr>
        <w:pStyle w:val="ListBullet"/>
        <w:spacing w:before="60" w:after="60" w:line="252" w:lineRule="auto"/>
        <w:ind w:left="357" w:hanging="357"/>
        <w:rPr>
          <w:rFonts w:eastAsiaTheme="minorEastAsia"/>
        </w:rPr>
      </w:pPr>
      <w:r>
        <w:rPr>
          <w:rFonts w:eastAsiaTheme="minorEastAsia"/>
        </w:rPr>
        <w:t>amendments to the National Gas Law (</w:t>
      </w:r>
      <w:r w:rsidRPr="001A60A3">
        <w:rPr>
          <w:rFonts w:eastAsiaTheme="minorEastAsia"/>
          <w:b/>
        </w:rPr>
        <w:t>NGL</w:t>
      </w:r>
      <w:r>
        <w:rPr>
          <w:rFonts w:eastAsiaTheme="minorEastAsia"/>
        </w:rPr>
        <w:t>), the regulations made under the NGL (</w:t>
      </w:r>
      <w:r w:rsidRPr="001A60A3">
        <w:rPr>
          <w:rFonts w:eastAsiaTheme="minorEastAsia"/>
          <w:b/>
        </w:rPr>
        <w:t>Regulations</w:t>
      </w:r>
      <w:r>
        <w:rPr>
          <w:rFonts w:eastAsiaTheme="minorEastAsia"/>
        </w:rPr>
        <w:t>) and the National Gas Rules (</w:t>
      </w:r>
      <w:r w:rsidRPr="001A60A3">
        <w:rPr>
          <w:rFonts w:eastAsiaTheme="minorEastAsia"/>
          <w:b/>
        </w:rPr>
        <w:t>NGR</w:t>
      </w:r>
      <w:r>
        <w:rPr>
          <w:rFonts w:eastAsiaTheme="minorEastAsia"/>
          <w:b/>
        </w:rPr>
        <w:t xml:space="preserve"> </w:t>
      </w:r>
      <w:r w:rsidRPr="00103CAD">
        <w:rPr>
          <w:rFonts w:eastAsiaTheme="minorEastAsia"/>
        </w:rPr>
        <w:t>or</w:t>
      </w:r>
      <w:r>
        <w:rPr>
          <w:rFonts w:eastAsiaTheme="minorEastAsia"/>
          <w:b/>
        </w:rPr>
        <w:t xml:space="preserve"> Rules</w:t>
      </w:r>
      <w:r>
        <w:rPr>
          <w:rFonts w:eastAsiaTheme="minorEastAsia"/>
        </w:rPr>
        <w:t xml:space="preserve">); and </w:t>
      </w:r>
    </w:p>
    <w:p w14:paraId="735D36AA" w14:textId="77777777" w:rsidR="001B5338" w:rsidRDefault="001B5338" w:rsidP="001B5338">
      <w:pPr>
        <w:pStyle w:val="ListBullet"/>
        <w:spacing w:before="60" w:after="60" w:line="252" w:lineRule="auto"/>
        <w:ind w:left="357" w:hanging="357"/>
        <w:rPr>
          <w:rFonts w:eastAsiaTheme="minorEastAsia"/>
        </w:rPr>
      </w:pPr>
      <w:r>
        <w:rPr>
          <w:rFonts w:eastAsiaTheme="minorEastAsia"/>
        </w:rPr>
        <w:t xml:space="preserve">the implementation of a new </w:t>
      </w:r>
      <w:r w:rsidRPr="006E21BE">
        <w:rPr>
          <w:rFonts w:eastAsiaTheme="minorEastAsia"/>
        </w:rPr>
        <w:t>instrument</w:t>
      </w:r>
      <w:r>
        <w:rPr>
          <w:rFonts w:eastAsiaTheme="minorEastAsia"/>
        </w:rPr>
        <w:t>, the Operational Transportation Service Code (</w:t>
      </w:r>
      <w:r w:rsidRPr="001A60A3">
        <w:rPr>
          <w:rFonts w:eastAsiaTheme="minorEastAsia"/>
          <w:b/>
        </w:rPr>
        <w:t>Code</w:t>
      </w:r>
      <w:r>
        <w:rPr>
          <w:rFonts w:eastAsiaTheme="minorEastAsia"/>
        </w:rPr>
        <w:t>).</w:t>
      </w:r>
    </w:p>
    <w:p w14:paraId="5A071CE7" w14:textId="77777777" w:rsidR="001B5338" w:rsidRDefault="001B5338" w:rsidP="001B5338">
      <w:pPr>
        <w:pStyle w:val="BodyText"/>
        <w:spacing w:before="160" w:after="60" w:line="252" w:lineRule="auto"/>
      </w:pPr>
      <w:r>
        <w:t>On 19 March 2018, t</w:t>
      </w:r>
      <w:r w:rsidRPr="006431B0">
        <w:t xml:space="preserve">he draft </w:t>
      </w:r>
      <w:r>
        <w:t xml:space="preserve">legal and regulatory framework </w:t>
      </w:r>
      <w:r w:rsidR="00A658E6">
        <w:t xml:space="preserve">and a consultation paper were </w:t>
      </w:r>
      <w:r>
        <w:t>released for public consultation and stakeholders were provided six weeks to provide feedback on:</w:t>
      </w:r>
    </w:p>
    <w:p w14:paraId="5DECC194" w14:textId="77777777" w:rsidR="001B5338" w:rsidRDefault="001B5338" w:rsidP="000E0023">
      <w:pPr>
        <w:pStyle w:val="ListBullet"/>
      </w:pPr>
      <w:r>
        <w:t>the proposed drafting of the NGL, NGR, Regulations and Code; and</w:t>
      </w:r>
    </w:p>
    <w:p w14:paraId="5ECB27AD" w14:textId="77777777" w:rsidR="001B5338" w:rsidRDefault="001B5338" w:rsidP="000E0023">
      <w:pPr>
        <w:pStyle w:val="ListBullet"/>
      </w:pPr>
      <w:r>
        <w:t xml:space="preserve">a number of proposed refinements to the design of various elements of the reform package, which reflected: </w:t>
      </w:r>
    </w:p>
    <w:p w14:paraId="32BDFAAE" w14:textId="77777777" w:rsidR="001B5338" w:rsidRDefault="001B5338" w:rsidP="001B5338">
      <w:pPr>
        <w:pStyle w:val="ListBullet2"/>
        <w:spacing w:before="60" w:after="60" w:line="252" w:lineRule="auto"/>
      </w:pPr>
      <w:r>
        <w:t xml:space="preserve">the outcome of additional work undertaken in early 2018, in conjunction with AEMO and </w:t>
      </w:r>
      <w:r w:rsidR="00B531A5">
        <w:t xml:space="preserve">stakeholders </w:t>
      </w:r>
      <w:r>
        <w:t>on a number of aspects of the design, which was flagged in the final recommendations to the Energy Council; and</w:t>
      </w:r>
    </w:p>
    <w:p w14:paraId="3D46AF17" w14:textId="77777777" w:rsidR="001B5338" w:rsidRDefault="001B5338" w:rsidP="001B5338">
      <w:pPr>
        <w:pStyle w:val="ListBullet2"/>
        <w:spacing w:before="60" w:after="60" w:line="252" w:lineRule="auto"/>
      </w:pPr>
      <w:r>
        <w:t xml:space="preserve">an enhanced understanding of the operational and contractual environment and the complexities associated with implementing an industry-based </w:t>
      </w:r>
      <w:r w:rsidR="001475A7">
        <w:t>p</w:t>
      </w:r>
      <w:r>
        <w:t xml:space="preserve">anel, arising from additional engagement with stakeholders carried out in early 2018. </w:t>
      </w:r>
    </w:p>
    <w:p w14:paraId="5BB7E2F1" w14:textId="77777777" w:rsidR="00B531A5" w:rsidRDefault="00B531A5" w:rsidP="00B531A5">
      <w:pPr>
        <w:pStyle w:val="BodyText"/>
      </w:pPr>
      <w:r>
        <w:t>Table 1.1 provides an overview of the refinements that were considered as part of the March 2018 consultation process.</w:t>
      </w:r>
      <w:r w:rsidR="000E0023">
        <w:t xml:space="preserve"> </w:t>
      </w:r>
    </w:p>
    <w:p w14:paraId="388A0C5F" w14:textId="77777777" w:rsidR="00B531A5" w:rsidRDefault="00B531A5" w:rsidP="00B531A5">
      <w:pPr>
        <w:pStyle w:val="BodyText"/>
        <w:sectPr w:rsidR="00B531A5" w:rsidSect="001B5338">
          <w:headerReference w:type="default" r:id="rId20"/>
          <w:footerReference w:type="default" r:id="rId21"/>
          <w:pgSz w:w="11907" w:h="16839" w:code="9"/>
          <w:pgMar w:top="1361" w:right="1418" w:bottom="992" w:left="1701" w:header="567" w:footer="397" w:gutter="0"/>
          <w:pgNumType w:start="1"/>
          <w:cols w:space="708"/>
          <w:docGrid w:linePitch="360"/>
        </w:sectPr>
      </w:pPr>
    </w:p>
    <w:p w14:paraId="230963AB" w14:textId="0F36858D" w:rsidR="001B5338" w:rsidRDefault="001B5338" w:rsidP="001B5338">
      <w:pPr>
        <w:pStyle w:val="Caption"/>
        <w:spacing w:after="0"/>
      </w:pPr>
      <w:bookmarkStart w:id="14" w:name="_Ref514479485"/>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1</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bookmarkEnd w:id="14"/>
      <w:r>
        <w:t xml:space="preserve">: </w:t>
      </w:r>
      <w:r w:rsidR="00B531A5">
        <w:t>R</w:t>
      </w:r>
      <w:r>
        <w:t xml:space="preserve">efinements to </w:t>
      </w:r>
      <w:r w:rsidR="00B531A5">
        <w:t xml:space="preserve">the </w:t>
      </w:r>
      <w:r>
        <w:t>design of the capacity trading reform package</w:t>
      </w:r>
      <w:r w:rsidR="00B531A5">
        <w:t xml:space="preserve"> considered in the March 2018 consultation process</w:t>
      </w:r>
    </w:p>
    <w:tbl>
      <w:tblPr>
        <w:tblStyle w:val="TableGrid"/>
        <w:tblW w:w="5166" w:type="pct"/>
        <w:tblLook w:val="04A0" w:firstRow="1" w:lastRow="0" w:firstColumn="1" w:lastColumn="0" w:noHBand="0" w:noVBand="1"/>
      </w:tblPr>
      <w:tblGrid>
        <w:gridCol w:w="1686"/>
        <w:gridCol w:w="7103"/>
        <w:gridCol w:w="5387"/>
      </w:tblGrid>
      <w:tr w:rsidR="0036532E" w:rsidRPr="00032B04" w14:paraId="5D27FBDA" w14:textId="77777777" w:rsidTr="000E0023">
        <w:trPr>
          <w:cnfStyle w:val="100000000000" w:firstRow="1" w:lastRow="0" w:firstColumn="0" w:lastColumn="0" w:oddVBand="0" w:evenVBand="0" w:oddHBand="0" w:evenHBand="0" w:firstRowFirstColumn="0" w:firstRowLastColumn="0" w:lastRowFirstColumn="0" w:lastRowLastColumn="0"/>
          <w:tblHeader/>
        </w:trPr>
        <w:tc>
          <w:tcPr>
            <w:tcW w:w="1686" w:type="dxa"/>
            <w:shd w:val="clear" w:color="auto" w:fill="0099CC"/>
          </w:tcPr>
          <w:p w14:paraId="3A4151B7" w14:textId="77777777" w:rsidR="0036532E" w:rsidRPr="003B5F7C" w:rsidRDefault="0036532E" w:rsidP="001B5338">
            <w:pPr>
              <w:spacing w:line="254" w:lineRule="auto"/>
              <w:rPr>
                <w:rFonts w:cs="Arial"/>
                <w:szCs w:val="18"/>
              </w:rPr>
            </w:pPr>
            <w:r w:rsidRPr="003B5F7C">
              <w:rPr>
                <w:rFonts w:cs="Arial"/>
                <w:szCs w:val="18"/>
              </w:rPr>
              <w:t>Topic</w:t>
            </w:r>
          </w:p>
        </w:tc>
        <w:tc>
          <w:tcPr>
            <w:tcW w:w="7103" w:type="dxa"/>
            <w:shd w:val="clear" w:color="auto" w:fill="0099CC"/>
          </w:tcPr>
          <w:p w14:paraId="76E8B4F7" w14:textId="77777777" w:rsidR="0036532E" w:rsidRPr="003B5F7C" w:rsidRDefault="0036532E" w:rsidP="001B5338">
            <w:pPr>
              <w:spacing w:line="254" w:lineRule="auto"/>
              <w:rPr>
                <w:rFonts w:cs="Arial"/>
                <w:b w:val="0"/>
                <w:szCs w:val="18"/>
              </w:rPr>
            </w:pPr>
            <w:r>
              <w:rPr>
                <w:rFonts w:cs="Arial"/>
                <w:szCs w:val="18"/>
              </w:rPr>
              <w:t>Final recommendations</w:t>
            </w:r>
          </w:p>
        </w:tc>
        <w:tc>
          <w:tcPr>
            <w:tcW w:w="5387" w:type="dxa"/>
            <w:shd w:val="clear" w:color="auto" w:fill="0099CC"/>
          </w:tcPr>
          <w:p w14:paraId="58735F9D" w14:textId="77777777" w:rsidR="0036532E" w:rsidRPr="003B5F7C" w:rsidRDefault="0036532E" w:rsidP="001B5338">
            <w:pPr>
              <w:spacing w:line="254" w:lineRule="auto"/>
              <w:rPr>
                <w:rFonts w:cs="Arial"/>
                <w:szCs w:val="18"/>
              </w:rPr>
            </w:pPr>
            <w:r>
              <w:rPr>
                <w:rFonts w:cs="Arial"/>
                <w:szCs w:val="18"/>
              </w:rPr>
              <w:t xml:space="preserve">Proposed refinement to the final recommendations </w:t>
            </w:r>
          </w:p>
        </w:tc>
      </w:tr>
      <w:tr w:rsidR="00157A1A" w:rsidRPr="0094242E" w14:paraId="298734C3" w14:textId="77777777" w:rsidTr="00157A1A">
        <w:tc>
          <w:tcPr>
            <w:tcW w:w="14176" w:type="dxa"/>
            <w:gridSpan w:val="3"/>
            <w:shd w:val="clear" w:color="auto" w:fill="65697F" w:themeFill="background2" w:themeFillShade="80"/>
          </w:tcPr>
          <w:p w14:paraId="61F5B0A9" w14:textId="77777777" w:rsidR="00157A1A" w:rsidRPr="0094242E" w:rsidRDefault="00157A1A" w:rsidP="006031B9">
            <w:pPr>
              <w:keepNext/>
              <w:spacing w:before="20" w:after="20" w:line="254" w:lineRule="auto"/>
              <w:jc w:val="center"/>
              <w:rPr>
                <w:rFonts w:cs="Arial"/>
                <w:b/>
                <w:color w:val="FFFFFF" w:themeColor="background1"/>
                <w:szCs w:val="18"/>
              </w:rPr>
            </w:pPr>
            <w:r>
              <w:rPr>
                <w:rFonts w:cs="Arial"/>
                <w:b/>
                <w:color w:val="FFFFFF" w:themeColor="background1"/>
                <w:szCs w:val="18"/>
              </w:rPr>
              <w:t>Refinements to measures to facilitate capacity trading and the auction</w:t>
            </w:r>
          </w:p>
        </w:tc>
      </w:tr>
      <w:tr w:rsidR="0036532E" w:rsidRPr="00032B04" w14:paraId="3A4B985C" w14:textId="77777777" w:rsidTr="000E0023">
        <w:trPr>
          <w:cnfStyle w:val="000000010000" w:firstRow="0" w:lastRow="0" w:firstColumn="0" w:lastColumn="0" w:oddVBand="0" w:evenVBand="0" w:oddHBand="0" w:evenHBand="1" w:firstRowFirstColumn="0" w:firstRowLastColumn="0" w:lastRowFirstColumn="0" w:lastRowLastColumn="0"/>
        </w:trPr>
        <w:tc>
          <w:tcPr>
            <w:tcW w:w="1686" w:type="dxa"/>
            <w:tcBorders>
              <w:bottom w:val="single" w:sz="4" w:space="0" w:color="auto"/>
            </w:tcBorders>
          </w:tcPr>
          <w:p w14:paraId="42FFEFDC" w14:textId="77777777" w:rsidR="0036532E" w:rsidRPr="0095716A" w:rsidRDefault="0036532E" w:rsidP="001B5338">
            <w:pPr>
              <w:spacing w:line="254" w:lineRule="auto"/>
              <w:rPr>
                <w:rFonts w:cs="Arial"/>
                <w:szCs w:val="18"/>
              </w:rPr>
            </w:pPr>
            <w:r w:rsidRPr="0095716A">
              <w:rPr>
                <w:rFonts w:cs="Arial"/>
                <w:szCs w:val="18"/>
              </w:rPr>
              <w:t xml:space="preserve">Exemptions </w:t>
            </w:r>
            <w:r>
              <w:rPr>
                <w:rFonts w:cs="Arial"/>
                <w:szCs w:val="18"/>
              </w:rPr>
              <w:t xml:space="preserve">framework </w:t>
            </w:r>
          </w:p>
        </w:tc>
        <w:tc>
          <w:tcPr>
            <w:tcW w:w="7103" w:type="dxa"/>
            <w:tcBorders>
              <w:bottom w:val="single" w:sz="4" w:space="0" w:color="auto"/>
            </w:tcBorders>
          </w:tcPr>
          <w:p w14:paraId="6FA1AEA6" w14:textId="77777777" w:rsidR="0036532E" w:rsidRPr="001E0FDE" w:rsidRDefault="0036532E" w:rsidP="001B5338">
            <w:pPr>
              <w:spacing w:line="254" w:lineRule="auto"/>
              <w:rPr>
                <w:rFonts w:cs="Arial"/>
                <w:szCs w:val="18"/>
              </w:rPr>
            </w:pPr>
            <w:r w:rsidRPr="001E0FDE">
              <w:rPr>
                <w:rFonts w:cs="Arial"/>
                <w:szCs w:val="18"/>
              </w:rPr>
              <w:t xml:space="preserve">The </w:t>
            </w:r>
            <w:r>
              <w:rPr>
                <w:rFonts w:cs="Arial"/>
                <w:szCs w:val="18"/>
              </w:rPr>
              <w:t xml:space="preserve">GMRG’s </w:t>
            </w:r>
            <w:r w:rsidRPr="001E0FDE">
              <w:rPr>
                <w:rFonts w:cs="Arial"/>
                <w:szCs w:val="18"/>
              </w:rPr>
              <w:t xml:space="preserve">final recommendations provided for </w:t>
            </w:r>
            <w:r w:rsidR="00DA16AB">
              <w:rPr>
                <w:rFonts w:cs="Arial"/>
                <w:szCs w:val="18"/>
              </w:rPr>
              <w:t xml:space="preserve">transportation </w:t>
            </w:r>
            <w:r w:rsidRPr="001E0FDE">
              <w:rPr>
                <w:rFonts w:cs="Arial"/>
                <w:szCs w:val="18"/>
              </w:rPr>
              <w:t>service providers to obtain exemptions from:</w:t>
            </w:r>
          </w:p>
          <w:p w14:paraId="28B60D71" w14:textId="77777777" w:rsidR="0036532E" w:rsidRPr="003F6684" w:rsidRDefault="0036532E" w:rsidP="001B5338">
            <w:pPr>
              <w:pStyle w:val="TableBullet1"/>
              <w:spacing w:line="254" w:lineRule="auto"/>
            </w:pPr>
            <w:r w:rsidRPr="001E0FDE">
              <w:t xml:space="preserve">the </w:t>
            </w:r>
            <w:r w:rsidRPr="003F6684">
              <w:rPr>
                <w:bCs/>
              </w:rPr>
              <w:t xml:space="preserve">obligation to publish </w:t>
            </w:r>
            <w:r w:rsidRPr="003F6684">
              <w:t>a standard OTSA if its facility does not provide third party access, or is used to service a single end-user facility; and</w:t>
            </w:r>
          </w:p>
          <w:p w14:paraId="6B2E7AB2" w14:textId="20FA254E" w:rsidR="0036532E" w:rsidRDefault="0036532E" w:rsidP="001B5338">
            <w:pPr>
              <w:pStyle w:val="TableBullet1"/>
              <w:spacing w:line="254" w:lineRule="auto"/>
            </w:pPr>
            <w:r w:rsidRPr="003F6684">
              <w:t xml:space="preserve">the </w:t>
            </w:r>
            <w:r w:rsidRPr="003F6684">
              <w:rPr>
                <w:bCs/>
              </w:rPr>
              <w:t>auction</w:t>
            </w:r>
            <w:r w:rsidRPr="001E0FDE">
              <w:rPr>
                <w:b/>
                <w:bCs/>
              </w:rPr>
              <w:t xml:space="preserve"> </w:t>
            </w:r>
            <w:r w:rsidRPr="001E0FDE">
              <w:t xml:space="preserve">if its facility has a nameplate rating less than 10 TJ/day, is not providing third party access, or </w:t>
            </w:r>
            <w:r w:rsidR="00DC59F0">
              <w:t xml:space="preserve">is </w:t>
            </w:r>
            <w:r w:rsidRPr="001E0FDE">
              <w:t xml:space="preserve">servicing a single end-user facility. </w:t>
            </w:r>
          </w:p>
          <w:p w14:paraId="7125E5EA" w14:textId="77777777" w:rsidR="0036532E" w:rsidRDefault="0036532E" w:rsidP="001B5338">
            <w:pPr>
              <w:pStyle w:val="TableBullet1"/>
              <w:numPr>
                <w:ilvl w:val="0"/>
                <w:numId w:val="0"/>
              </w:numPr>
              <w:spacing w:line="254" w:lineRule="auto"/>
              <w:ind w:left="85"/>
              <w:rPr>
                <w:szCs w:val="18"/>
              </w:rPr>
            </w:pPr>
            <w:r w:rsidRPr="005A3B0D">
              <w:t xml:space="preserve">Following the release of these recommendations, questions </w:t>
            </w:r>
            <w:r>
              <w:t xml:space="preserve">were </w:t>
            </w:r>
            <w:r w:rsidRPr="005A3B0D">
              <w:t xml:space="preserve">raised about the lack of alignment between the exemption criteria applying to the obligation to publish a </w:t>
            </w:r>
            <w:r>
              <w:t>standard OTSA</w:t>
            </w:r>
            <w:r w:rsidRPr="005A3B0D">
              <w:t xml:space="preserve"> and participate in the auction, and the lack of alignment with the criteria in Part 23 of the NGR</w:t>
            </w:r>
            <w:r>
              <w:t xml:space="preserve">.  </w:t>
            </w:r>
          </w:p>
        </w:tc>
        <w:tc>
          <w:tcPr>
            <w:tcW w:w="5387" w:type="dxa"/>
            <w:tcBorders>
              <w:bottom w:val="single" w:sz="4" w:space="0" w:color="auto"/>
            </w:tcBorders>
          </w:tcPr>
          <w:p w14:paraId="55F22789" w14:textId="77777777" w:rsidR="0036532E" w:rsidRPr="001E0FDE" w:rsidRDefault="0036532E" w:rsidP="001B5338">
            <w:pPr>
              <w:pStyle w:val="TableBullet1"/>
              <w:numPr>
                <w:ilvl w:val="0"/>
                <w:numId w:val="0"/>
              </w:numPr>
              <w:spacing w:line="254" w:lineRule="auto"/>
              <w:ind w:left="85"/>
              <w:rPr>
                <w:szCs w:val="18"/>
              </w:rPr>
            </w:pPr>
            <w:r>
              <w:rPr>
                <w:szCs w:val="18"/>
              </w:rPr>
              <w:t xml:space="preserve">To address the issues raised by stakeholders, the March 2018 consultation paper suggested that </w:t>
            </w:r>
            <w:r w:rsidRPr="001E0FDE">
              <w:rPr>
                <w:szCs w:val="18"/>
              </w:rPr>
              <w:t xml:space="preserve">exemptions </w:t>
            </w:r>
            <w:r>
              <w:rPr>
                <w:szCs w:val="18"/>
              </w:rPr>
              <w:t>from the auction and the obligation to publish a</w:t>
            </w:r>
            <w:r w:rsidR="000E0023">
              <w:rPr>
                <w:szCs w:val="18"/>
              </w:rPr>
              <w:t>n</w:t>
            </w:r>
            <w:r>
              <w:rPr>
                <w:szCs w:val="18"/>
              </w:rPr>
              <w:t xml:space="preserve"> OTSA be aligned </w:t>
            </w:r>
            <w:r w:rsidRPr="001E0FDE">
              <w:rPr>
                <w:szCs w:val="18"/>
              </w:rPr>
              <w:t xml:space="preserve">and </w:t>
            </w:r>
            <w:r>
              <w:rPr>
                <w:szCs w:val="18"/>
              </w:rPr>
              <w:t>that</w:t>
            </w:r>
            <w:r w:rsidRPr="001E0FDE">
              <w:rPr>
                <w:szCs w:val="18"/>
              </w:rPr>
              <w:t>:</w:t>
            </w:r>
          </w:p>
          <w:p w14:paraId="45E39167" w14:textId="77777777" w:rsidR="0036532E" w:rsidRPr="001E0FDE" w:rsidRDefault="000E0023" w:rsidP="001B5338">
            <w:pPr>
              <w:pStyle w:val="TableBullet1"/>
              <w:spacing w:line="254" w:lineRule="auto"/>
            </w:pPr>
            <w:r>
              <w:t>a</w:t>
            </w:r>
            <w:r w:rsidR="0036532E" w:rsidRPr="001E0FDE">
              <w:t xml:space="preserve">utomatic exemptions be available to distribution pipelines, the </w:t>
            </w:r>
            <w:r w:rsidR="009C77EE">
              <w:t xml:space="preserve">Declared Transmission System (DTS) in Victoria </w:t>
            </w:r>
            <w:r w:rsidR="0036532E" w:rsidRPr="001E0FDE">
              <w:t xml:space="preserve">and compression </w:t>
            </w:r>
            <w:r w:rsidR="0036532E">
              <w:t xml:space="preserve">service </w:t>
            </w:r>
            <w:r w:rsidR="0036532E" w:rsidRPr="001E0FDE">
              <w:t>facilities not used to transport gas between pipelines; and</w:t>
            </w:r>
          </w:p>
          <w:p w14:paraId="464E0611" w14:textId="3775E4B3" w:rsidR="0036532E" w:rsidRPr="007806B7" w:rsidRDefault="000E0023" w:rsidP="00DC59F0">
            <w:pPr>
              <w:pStyle w:val="TableBullet1"/>
              <w:spacing w:line="254" w:lineRule="auto"/>
            </w:pPr>
            <w:r>
              <w:t>t</w:t>
            </w:r>
            <w:r w:rsidR="0036532E" w:rsidRPr="001E0FDE">
              <w:t>ransportation facilities be able to obtain an exemption from the AER if</w:t>
            </w:r>
            <w:r w:rsidR="0036532E">
              <w:t xml:space="preserve"> </w:t>
            </w:r>
            <w:r w:rsidR="0036532E" w:rsidRPr="001E0FDE">
              <w:t>the facility is not providing third party access</w:t>
            </w:r>
            <w:r w:rsidR="0036532E">
              <w:t xml:space="preserve">; </w:t>
            </w:r>
            <w:r w:rsidR="0036532E" w:rsidRPr="001E0FDE">
              <w:t>the facility has a nameplate rating less than 10</w:t>
            </w:r>
            <w:r w:rsidR="0036532E">
              <w:t> </w:t>
            </w:r>
            <w:r w:rsidR="0036532E" w:rsidRPr="001E0FDE">
              <w:t>TJ/day, or</w:t>
            </w:r>
            <w:r w:rsidR="0036532E">
              <w:t xml:space="preserve"> </w:t>
            </w:r>
            <w:r w:rsidR="0036532E" w:rsidRPr="001E0FDE">
              <w:t xml:space="preserve">the facility is servicing a single </w:t>
            </w:r>
            <w:r w:rsidR="0036532E">
              <w:t>user (shipper)</w:t>
            </w:r>
            <w:r w:rsidR="0036532E" w:rsidRPr="001E0FDE">
              <w:t>.</w:t>
            </w:r>
            <w:r w:rsidR="00E44C6F">
              <w:rPr>
                <w:rStyle w:val="FootnoteReference"/>
              </w:rPr>
              <w:footnoteReference w:id="8"/>
            </w:r>
          </w:p>
        </w:tc>
      </w:tr>
      <w:tr w:rsidR="0036532E" w:rsidRPr="00032B04" w14:paraId="71867E13" w14:textId="77777777" w:rsidTr="000E0023">
        <w:tc>
          <w:tcPr>
            <w:tcW w:w="1686" w:type="dxa"/>
          </w:tcPr>
          <w:p w14:paraId="0120E7A1" w14:textId="77777777" w:rsidR="0036532E" w:rsidRPr="0095716A" w:rsidRDefault="0036532E" w:rsidP="001B5338">
            <w:pPr>
              <w:spacing w:line="254" w:lineRule="auto"/>
              <w:rPr>
                <w:rFonts w:cs="Arial"/>
                <w:szCs w:val="18"/>
              </w:rPr>
            </w:pPr>
            <w:r>
              <w:rPr>
                <w:rFonts w:cs="Arial"/>
                <w:szCs w:val="18"/>
              </w:rPr>
              <w:t>Role of the AER in approving amendments to the Code</w:t>
            </w:r>
          </w:p>
        </w:tc>
        <w:tc>
          <w:tcPr>
            <w:tcW w:w="7103" w:type="dxa"/>
          </w:tcPr>
          <w:p w14:paraId="6662B5AC" w14:textId="77777777" w:rsidR="0036532E" w:rsidRDefault="0036532E" w:rsidP="001B5338">
            <w:pPr>
              <w:spacing w:line="254" w:lineRule="auto"/>
              <w:rPr>
                <w:rFonts w:cs="Arial"/>
                <w:szCs w:val="18"/>
              </w:rPr>
            </w:pPr>
            <w:r w:rsidRPr="00E25881">
              <w:rPr>
                <w:rFonts w:cs="Arial"/>
                <w:szCs w:val="18"/>
              </w:rPr>
              <w:t xml:space="preserve">The </w:t>
            </w:r>
            <w:r>
              <w:rPr>
                <w:rFonts w:cs="Arial"/>
                <w:szCs w:val="18"/>
              </w:rPr>
              <w:t xml:space="preserve">GMRG’s </w:t>
            </w:r>
            <w:r w:rsidRPr="00E25881">
              <w:rPr>
                <w:rFonts w:cs="Arial"/>
                <w:szCs w:val="18"/>
              </w:rPr>
              <w:t>final recommendations provided for the adoption of a hybrid governance model for the Code</w:t>
            </w:r>
            <w:r>
              <w:rPr>
                <w:rFonts w:cs="Arial"/>
                <w:szCs w:val="18"/>
              </w:rPr>
              <w:t>, under which:</w:t>
            </w:r>
          </w:p>
          <w:p w14:paraId="73E06B70" w14:textId="77777777" w:rsidR="0036532E" w:rsidRDefault="0036532E" w:rsidP="001B5338">
            <w:pPr>
              <w:pStyle w:val="TableBullet1"/>
              <w:rPr>
                <w:lang w:eastAsia="fr-CA"/>
              </w:rPr>
            </w:pPr>
            <w:r>
              <w:rPr>
                <w:lang w:eastAsia="fr-CA"/>
              </w:rPr>
              <w:t>a</w:t>
            </w:r>
            <w:r w:rsidRPr="003C2D90">
              <w:rPr>
                <w:lang w:eastAsia="fr-CA"/>
              </w:rPr>
              <w:t>n industry</w:t>
            </w:r>
            <w:r>
              <w:rPr>
                <w:lang w:eastAsia="fr-CA"/>
              </w:rPr>
              <w:t>-based</w:t>
            </w:r>
            <w:r w:rsidRPr="003C2D90">
              <w:rPr>
                <w:lang w:eastAsia="fr-CA"/>
              </w:rPr>
              <w:t xml:space="preserve"> </w:t>
            </w:r>
            <w:r>
              <w:rPr>
                <w:lang w:eastAsia="fr-CA"/>
              </w:rPr>
              <w:t>P</w:t>
            </w:r>
            <w:r w:rsidRPr="003C2D90">
              <w:rPr>
                <w:lang w:eastAsia="fr-CA"/>
              </w:rPr>
              <w:t>anel, chaired by AEMO</w:t>
            </w:r>
            <w:r>
              <w:rPr>
                <w:lang w:eastAsia="fr-CA"/>
              </w:rPr>
              <w:t>,</w:t>
            </w:r>
            <w:r w:rsidRPr="003C2D90">
              <w:rPr>
                <w:lang w:eastAsia="fr-CA"/>
              </w:rPr>
              <w:t xml:space="preserve"> </w:t>
            </w:r>
            <w:r>
              <w:rPr>
                <w:lang w:eastAsia="fr-CA"/>
              </w:rPr>
              <w:t xml:space="preserve">would </w:t>
            </w:r>
            <w:r w:rsidRPr="003C2D90">
              <w:rPr>
                <w:lang w:eastAsia="fr-CA"/>
              </w:rPr>
              <w:t xml:space="preserve">consider changes to the Code and </w:t>
            </w:r>
            <w:r>
              <w:rPr>
                <w:lang w:eastAsia="fr-CA"/>
              </w:rPr>
              <w:t xml:space="preserve">make </w:t>
            </w:r>
            <w:r w:rsidRPr="003C2D90">
              <w:rPr>
                <w:lang w:eastAsia="fr-CA"/>
              </w:rPr>
              <w:t>recommendations to the AER</w:t>
            </w:r>
            <w:r>
              <w:rPr>
                <w:lang w:eastAsia="fr-CA"/>
              </w:rPr>
              <w:t>; and</w:t>
            </w:r>
          </w:p>
          <w:p w14:paraId="038698D5" w14:textId="77777777" w:rsidR="0036532E" w:rsidRDefault="0036532E" w:rsidP="0036532E">
            <w:pPr>
              <w:pStyle w:val="TableBullet1"/>
              <w:rPr>
                <w:szCs w:val="18"/>
              </w:rPr>
            </w:pPr>
            <w:r>
              <w:rPr>
                <w:lang w:eastAsia="fr-CA"/>
              </w:rPr>
              <w:t>the AER would determine whether the changes should be made to the Code, by approving, rejecting or remitting a recommendation from the Panel</w:t>
            </w:r>
            <w:r w:rsidRPr="003C2D90">
              <w:rPr>
                <w:lang w:eastAsia="fr-CA"/>
              </w:rPr>
              <w:t xml:space="preserve">.  </w:t>
            </w:r>
          </w:p>
          <w:p w14:paraId="5DA1E1A5" w14:textId="77777777" w:rsidR="0036532E" w:rsidRPr="003C2D90" w:rsidRDefault="0036532E" w:rsidP="0036532E">
            <w:pPr>
              <w:pStyle w:val="TableBullet1"/>
              <w:numPr>
                <w:ilvl w:val="0"/>
                <w:numId w:val="0"/>
              </w:numPr>
              <w:ind w:left="85"/>
              <w:rPr>
                <w:lang w:eastAsia="fr-CA"/>
              </w:rPr>
            </w:pPr>
            <w:r>
              <w:rPr>
                <w:szCs w:val="18"/>
              </w:rPr>
              <w:t xml:space="preserve">Some </w:t>
            </w:r>
            <w:r w:rsidRPr="00E25881">
              <w:rPr>
                <w:szCs w:val="18"/>
              </w:rPr>
              <w:t xml:space="preserve">concerns </w:t>
            </w:r>
            <w:r>
              <w:rPr>
                <w:szCs w:val="18"/>
              </w:rPr>
              <w:t xml:space="preserve">were </w:t>
            </w:r>
            <w:r w:rsidRPr="00E25881">
              <w:rPr>
                <w:szCs w:val="18"/>
              </w:rPr>
              <w:t xml:space="preserve">subsequently raised about the impact that any </w:t>
            </w:r>
            <w:r>
              <w:rPr>
                <w:szCs w:val="18"/>
              </w:rPr>
              <w:t xml:space="preserve">impasse </w:t>
            </w:r>
            <w:r w:rsidRPr="00E25881">
              <w:rPr>
                <w:szCs w:val="18"/>
              </w:rPr>
              <w:t xml:space="preserve">within the Panel could have on the market because the Code defines the scope of services that can be procured </w:t>
            </w:r>
            <w:r>
              <w:rPr>
                <w:szCs w:val="18"/>
              </w:rPr>
              <w:t xml:space="preserve">in </w:t>
            </w:r>
            <w:r w:rsidRPr="00E25881">
              <w:rPr>
                <w:szCs w:val="18"/>
              </w:rPr>
              <w:t xml:space="preserve">the capacity trading platform and the auction. </w:t>
            </w:r>
          </w:p>
        </w:tc>
        <w:tc>
          <w:tcPr>
            <w:tcW w:w="5387" w:type="dxa"/>
          </w:tcPr>
          <w:p w14:paraId="265A4E9C" w14:textId="77777777" w:rsidR="0036532E" w:rsidRPr="00032B04" w:rsidRDefault="0036532E" w:rsidP="001B5338">
            <w:pPr>
              <w:spacing w:line="254" w:lineRule="auto"/>
              <w:rPr>
                <w:rFonts w:cs="Arial"/>
                <w:szCs w:val="18"/>
              </w:rPr>
            </w:pPr>
            <w:r>
              <w:rPr>
                <w:rFonts w:cs="Arial"/>
                <w:szCs w:val="18"/>
              </w:rPr>
              <w:t xml:space="preserve">To address the concerns raised by stakeholders, the March 2018 consultation paper suggested </w:t>
            </w:r>
            <w:r w:rsidRPr="00462811">
              <w:rPr>
                <w:rFonts w:cs="Arial"/>
                <w:szCs w:val="18"/>
              </w:rPr>
              <w:t xml:space="preserve">that the AER </w:t>
            </w:r>
            <w:r>
              <w:rPr>
                <w:rFonts w:cs="Arial"/>
                <w:szCs w:val="18"/>
              </w:rPr>
              <w:t xml:space="preserve">also be granted </w:t>
            </w:r>
            <w:r w:rsidRPr="00462811">
              <w:rPr>
                <w:rFonts w:cs="Arial"/>
                <w:szCs w:val="18"/>
              </w:rPr>
              <w:t>the power to modify the Code on its own initiative, following consultation with the Panel, AEMO and other stakeholders</w:t>
            </w:r>
            <w:r>
              <w:rPr>
                <w:rFonts w:cs="Arial"/>
                <w:szCs w:val="18"/>
              </w:rPr>
              <w:t>.</w:t>
            </w:r>
          </w:p>
        </w:tc>
      </w:tr>
      <w:tr w:rsidR="0036532E" w:rsidRPr="00032B04" w14:paraId="2EA609E0" w14:textId="77777777" w:rsidTr="000E0023">
        <w:trPr>
          <w:cnfStyle w:val="000000010000" w:firstRow="0" w:lastRow="0" w:firstColumn="0" w:lastColumn="0" w:oddVBand="0" w:evenVBand="0" w:oddHBand="0" w:evenHBand="1" w:firstRowFirstColumn="0" w:firstRowLastColumn="0" w:lastRowFirstColumn="0" w:lastRowLastColumn="0"/>
        </w:trPr>
        <w:tc>
          <w:tcPr>
            <w:tcW w:w="1686" w:type="dxa"/>
          </w:tcPr>
          <w:p w14:paraId="4F9FA313" w14:textId="77777777" w:rsidR="0036532E" w:rsidRPr="0095716A" w:rsidRDefault="0036532E" w:rsidP="006031B9">
            <w:pPr>
              <w:spacing w:line="254" w:lineRule="auto"/>
              <w:rPr>
                <w:rFonts w:cs="Arial"/>
                <w:szCs w:val="18"/>
              </w:rPr>
            </w:pPr>
            <w:r w:rsidRPr="0095716A">
              <w:rPr>
                <w:rFonts w:cs="Arial"/>
                <w:szCs w:val="18"/>
              </w:rPr>
              <w:t xml:space="preserve">Governance of zones </w:t>
            </w:r>
            <w:r>
              <w:rPr>
                <w:rFonts w:cs="Arial"/>
                <w:szCs w:val="18"/>
              </w:rPr>
              <w:t>for trading p</w:t>
            </w:r>
            <w:r w:rsidRPr="0095716A">
              <w:rPr>
                <w:rFonts w:cs="Arial"/>
                <w:szCs w:val="18"/>
              </w:rPr>
              <w:t>latform</w:t>
            </w:r>
            <w:r>
              <w:rPr>
                <w:rFonts w:cs="Arial"/>
                <w:szCs w:val="18"/>
              </w:rPr>
              <w:t>, auction and reporting</w:t>
            </w:r>
          </w:p>
        </w:tc>
        <w:tc>
          <w:tcPr>
            <w:tcW w:w="7103" w:type="dxa"/>
          </w:tcPr>
          <w:p w14:paraId="3A3FF9A0" w14:textId="77777777" w:rsidR="0036532E" w:rsidRPr="00032B04" w:rsidRDefault="0036532E" w:rsidP="006031B9">
            <w:pPr>
              <w:spacing w:line="254" w:lineRule="auto"/>
              <w:rPr>
                <w:rFonts w:cs="Arial"/>
                <w:szCs w:val="18"/>
              </w:rPr>
            </w:pPr>
            <w:r>
              <w:rPr>
                <w:rFonts w:cs="Arial"/>
                <w:szCs w:val="18"/>
              </w:rPr>
              <w:t>The GMRG’s final recommendations provided for the industry-based P</w:t>
            </w:r>
            <w:r w:rsidRPr="00032B04">
              <w:rPr>
                <w:rFonts w:cs="Arial"/>
                <w:szCs w:val="18"/>
              </w:rPr>
              <w:t xml:space="preserve">anel and AER </w:t>
            </w:r>
            <w:r>
              <w:rPr>
                <w:rFonts w:cs="Arial"/>
                <w:szCs w:val="18"/>
              </w:rPr>
              <w:t xml:space="preserve">to </w:t>
            </w:r>
            <w:r w:rsidRPr="00032B04">
              <w:rPr>
                <w:rFonts w:cs="Arial"/>
                <w:szCs w:val="18"/>
              </w:rPr>
              <w:t xml:space="preserve">approve </w:t>
            </w:r>
            <w:r>
              <w:rPr>
                <w:rFonts w:cs="Arial"/>
                <w:szCs w:val="18"/>
              </w:rPr>
              <w:t xml:space="preserve">changes to </w:t>
            </w:r>
            <w:r w:rsidRPr="00032B04">
              <w:rPr>
                <w:rFonts w:cs="Arial"/>
                <w:szCs w:val="18"/>
              </w:rPr>
              <w:t>the zones that will be used for the capacity trading platform, auction and reporting framework</w:t>
            </w:r>
            <w:r>
              <w:rPr>
                <w:rFonts w:cs="Arial"/>
                <w:szCs w:val="18"/>
              </w:rPr>
              <w:t xml:space="preserve">. </w:t>
            </w:r>
            <w:r w:rsidRPr="00032B04">
              <w:rPr>
                <w:rFonts w:cs="Arial"/>
                <w:szCs w:val="18"/>
              </w:rPr>
              <w:t xml:space="preserve">Service providers </w:t>
            </w:r>
            <w:r>
              <w:rPr>
                <w:rFonts w:cs="Arial"/>
                <w:szCs w:val="18"/>
              </w:rPr>
              <w:t xml:space="preserve">subsequently raised a number of concerns about this proposal and noted their preference for AEMO to carry out this function. This issue was discussed with a number of shippers who indicated that they also thought AEMO was better placed to carry out this role. </w:t>
            </w:r>
          </w:p>
        </w:tc>
        <w:tc>
          <w:tcPr>
            <w:tcW w:w="5387" w:type="dxa"/>
          </w:tcPr>
          <w:p w14:paraId="43585447" w14:textId="77777777" w:rsidR="0036532E" w:rsidRPr="00032B04" w:rsidRDefault="0036532E" w:rsidP="006031B9">
            <w:pPr>
              <w:spacing w:line="254" w:lineRule="auto"/>
              <w:rPr>
                <w:rFonts w:cs="Arial"/>
                <w:szCs w:val="18"/>
              </w:rPr>
            </w:pPr>
            <w:r>
              <w:rPr>
                <w:rFonts w:cs="Arial"/>
                <w:szCs w:val="18"/>
              </w:rPr>
              <w:t>To address the concerns raised by service providers, the March 2018 consultation paper suggested AEMO be accorded responsibility for determining zones.</w:t>
            </w:r>
          </w:p>
        </w:tc>
      </w:tr>
      <w:tr w:rsidR="0036532E" w:rsidRPr="00032B04" w14:paraId="6F71620E" w14:textId="77777777" w:rsidTr="000E0023">
        <w:tc>
          <w:tcPr>
            <w:tcW w:w="1686" w:type="dxa"/>
          </w:tcPr>
          <w:p w14:paraId="32D5A74C" w14:textId="77777777" w:rsidR="0036532E" w:rsidRDefault="0036532E" w:rsidP="00C855EC">
            <w:pPr>
              <w:keepNext/>
              <w:spacing w:before="40" w:after="40" w:line="254" w:lineRule="auto"/>
              <w:rPr>
                <w:rFonts w:cs="Arial"/>
                <w:szCs w:val="18"/>
              </w:rPr>
            </w:pPr>
            <w:r>
              <w:rPr>
                <w:rFonts w:cs="Arial"/>
                <w:szCs w:val="18"/>
              </w:rPr>
              <w:lastRenderedPageBreak/>
              <w:t xml:space="preserve">Approach used to address contractual limitations </w:t>
            </w:r>
          </w:p>
        </w:tc>
        <w:tc>
          <w:tcPr>
            <w:tcW w:w="7103" w:type="dxa"/>
          </w:tcPr>
          <w:p w14:paraId="497FEF0B" w14:textId="77777777" w:rsidR="0036532E" w:rsidRPr="00032B04" w:rsidRDefault="0036532E" w:rsidP="00C855EC">
            <w:pPr>
              <w:keepNext/>
              <w:spacing w:before="40" w:after="40" w:line="254" w:lineRule="auto"/>
              <w:rPr>
                <w:rFonts w:cs="Arial"/>
                <w:szCs w:val="18"/>
              </w:rPr>
            </w:pPr>
            <w:r w:rsidRPr="00F44BCA">
              <w:rPr>
                <w:rFonts w:cs="Arial"/>
                <w:szCs w:val="18"/>
              </w:rPr>
              <w:t xml:space="preserve">The </w:t>
            </w:r>
            <w:r>
              <w:rPr>
                <w:rFonts w:cs="Arial"/>
                <w:szCs w:val="18"/>
              </w:rPr>
              <w:t xml:space="preserve">GMRG’s </w:t>
            </w:r>
            <w:r w:rsidRPr="00F44BCA">
              <w:rPr>
                <w:rFonts w:cs="Arial"/>
                <w:szCs w:val="18"/>
              </w:rPr>
              <w:t xml:space="preserve">final recommendation noted that there may be provisions within facility agreements that prevent or otherwise impede the trade of capacity. The GMRG therefore recommended that provisions </w:t>
            </w:r>
            <w:r w:rsidR="00DC59F0">
              <w:rPr>
                <w:rFonts w:cs="Arial"/>
                <w:szCs w:val="18"/>
              </w:rPr>
              <w:t xml:space="preserve">requiring standard agreements to overcome these impediments </w:t>
            </w:r>
            <w:r w:rsidRPr="00F44BCA">
              <w:rPr>
                <w:rFonts w:cs="Arial"/>
                <w:szCs w:val="18"/>
              </w:rPr>
              <w:t>be included in the NGL/NGR to overcome these limitations.</w:t>
            </w:r>
            <w:r>
              <w:rPr>
                <w:rFonts w:cs="Arial"/>
                <w:szCs w:val="18"/>
              </w:rPr>
              <w:t xml:space="preserve"> Through </w:t>
            </w:r>
            <w:r w:rsidRPr="00F44BCA">
              <w:rPr>
                <w:rFonts w:cs="Arial"/>
                <w:szCs w:val="18"/>
              </w:rPr>
              <w:t>subsequent discussions</w:t>
            </w:r>
            <w:r>
              <w:rPr>
                <w:rFonts w:cs="Arial"/>
                <w:szCs w:val="18"/>
              </w:rPr>
              <w:t xml:space="preserve"> with stakeholders, it </w:t>
            </w:r>
            <w:r w:rsidRPr="00F44BCA">
              <w:rPr>
                <w:rFonts w:cs="Arial"/>
                <w:szCs w:val="18"/>
              </w:rPr>
              <w:t xml:space="preserve">become clear that </w:t>
            </w:r>
            <w:r>
              <w:rPr>
                <w:rFonts w:cs="Arial"/>
                <w:szCs w:val="18"/>
              </w:rPr>
              <w:t xml:space="preserve">they </w:t>
            </w:r>
            <w:r w:rsidRPr="00F44BCA">
              <w:rPr>
                <w:rFonts w:cs="Arial"/>
                <w:szCs w:val="18"/>
              </w:rPr>
              <w:t>would prefer to amend facility agreements on a case-by-case basis</w:t>
            </w:r>
            <w:r>
              <w:rPr>
                <w:rFonts w:cs="Arial"/>
                <w:szCs w:val="18"/>
              </w:rPr>
              <w:t xml:space="preserve"> rather than through general provisions in the NGL/NGR</w:t>
            </w:r>
            <w:r w:rsidRPr="00F44BCA">
              <w:rPr>
                <w:rFonts w:cs="Arial"/>
                <w:szCs w:val="18"/>
              </w:rPr>
              <w:t xml:space="preserve">. </w:t>
            </w:r>
          </w:p>
        </w:tc>
        <w:tc>
          <w:tcPr>
            <w:tcW w:w="5387" w:type="dxa"/>
          </w:tcPr>
          <w:p w14:paraId="4C024A11" w14:textId="77777777" w:rsidR="0031496B" w:rsidRDefault="0036532E" w:rsidP="00C855EC">
            <w:pPr>
              <w:keepNext/>
              <w:spacing w:before="40" w:after="40" w:line="254" w:lineRule="auto"/>
              <w:rPr>
                <w:rFonts w:cs="Arial"/>
                <w:szCs w:val="18"/>
              </w:rPr>
            </w:pPr>
            <w:r>
              <w:rPr>
                <w:rFonts w:cs="Arial"/>
                <w:szCs w:val="18"/>
              </w:rPr>
              <w:t>To address the issues raised by stakeholders, the March 2018 consultation paper suggested that</w:t>
            </w:r>
            <w:r w:rsidR="000E0023">
              <w:rPr>
                <w:rFonts w:cs="Arial"/>
                <w:szCs w:val="18"/>
              </w:rPr>
              <w:t>, in response to a request from a shipper,</w:t>
            </w:r>
            <w:r>
              <w:rPr>
                <w:rFonts w:cs="Arial"/>
                <w:szCs w:val="18"/>
              </w:rPr>
              <w:t xml:space="preserve"> transportation </w:t>
            </w:r>
            <w:r w:rsidRPr="004D5D64">
              <w:rPr>
                <w:rFonts w:cs="Arial"/>
                <w:szCs w:val="18"/>
              </w:rPr>
              <w:t>service provider</w:t>
            </w:r>
            <w:r>
              <w:rPr>
                <w:rFonts w:cs="Arial"/>
                <w:szCs w:val="18"/>
              </w:rPr>
              <w:t xml:space="preserve">s </w:t>
            </w:r>
            <w:r w:rsidR="000E0023">
              <w:rPr>
                <w:rFonts w:cs="Arial"/>
                <w:szCs w:val="18"/>
              </w:rPr>
              <w:t xml:space="preserve">should </w:t>
            </w:r>
            <w:r>
              <w:rPr>
                <w:rFonts w:cs="Arial"/>
                <w:szCs w:val="18"/>
              </w:rPr>
              <w:t>be required</w:t>
            </w:r>
            <w:r w:rsidR="0031496B">
              <w:rPr>
                <w:rFonts w:cs="Arial"/>
                <w:szCs w:val="18"/>
              </w:rPr>
              <w:t xml:space="preserve"> </w:t>
            </w:r>
            <w:r>
              <w:rPr>
                <w:rFonts w:cs="Arial"/>
                <w:szCs w:val="18"/>
              </w:rPr>
              <w:t xml:space="preserve">to provide </w:t>
            </w:r>
            <w:r w:rsidR="000E0023">
              <w:rPr>
                <w:rFonts w:cs="Arial"/>
                <w:szCs w:val="18"/>
              </w:rPr>
              <w:t xml:space="preserve">the </w:t>
            </w:r>
            <w:r>
              <w:rPr>
                <w:rFonts w:cs="Arial"/>
                <w:szCs w:val="18"/>
              </w:rPr>
              <w:t xml:space="preserve">shipper </w:t>
            </w:r>
            <w:r w:rsidR="0031496B">
              <w:rPr>
                <w:rFonts w:cs="Arial"/>
                <w:szCs w:val="18"/>
              </w:rPr>
              <w:t xml:space="preserve">an amending </w:t>
            </w:r>
            <w:r w:rsidR="000E0023">
              <w:rPr>
                <w:rFonts w:cs="Arial"/>
                <w:szCs w:val="18"/>
              </w:rPr>
              <w:t xml:space="preserve">facility </w:t>
            </w:r>
            <w:r w:rsidR="0031496B">
              <w:rPr>
                <w:rFonts w:cs="Arial"/>
                <w:szCs w:val="18"/>
              </w:rPr>
              <w:t xml:space="preserve">agreement that: </w:t>
            </w:r>
          </w:p>
          <w:p w14:paraId="0EE05C8C" w14:textId="77777777" w:rsidR="0031496B" w:rsidRDefault="0036532E" w:rsidP="00C855EC">
            <w:pPr>
              <w:pStyle w:val="TableBullet1"/>
              <w:keepNext/>
            </w:pPr>
            <w:r>
              <w:t xml:space="preserve">enables </w:t>
            </w:r>
            <w:r w:rsidR="0031496B">
              <w:t xml:space="preserve">the shipper </w:t>
            </w:r>
            <w:r>
              <w:t>to sell any spare capacity it may have</w:t>
            </w:r>
            <w:r w:rsidR="0031496B">
              <w:t xml:space="preserve"> using an operational transfer;</w:t>
            </w:r>
            <w:r>
              <w:t xml:space="preserve"> and </w:t>
            </w:r>
          </w:p>
          <w:p w14:paraId="504B2FB0" w14:textId="77777777" w:rsidR="0036532E" w:rsidRPr="00032B04" w:rsidRDefault="0036532E" w:rsidP="00C855EC">
            <w:pPr>
              <w:pStyle w:val="TableBullet1"/>
              <w:keepNext/>
            </w:pPr>
            <w:r>
              <w:t>give</w:t>
            </w:r>
            <w:r w:rsidR="0031496B">
              <w:t>s</w:t>
            </w:r>
            <w:r>
              <w:t xml:space="preserve"> effect to other facilitation of trade principles in the NGR.</w:t>
            </w:r>
          </w:p>
        </w:tc>
      </w:tr>
      <w:tr w:rsidR="0094242E" w:rsidRPr="0094242E" w14:paraId="7D0F3937" w14:textId="77777777" w:rsidTr="00157A1A">
        <w:trPr>
          <w:cnfStyle w:val="000000010000" w:firstRow="0" w:lastRow="0" w:firstColumn="0" w:lastColumn="0" w:oddVBand="0" w:evenVBand="0" w:oddHBand="0" w:evenHBand="1" w:firstRowFirstColumn="0" w:firstRowLastColumn="0" w:lastRowFirstColumn="0" w:lastRowLastColumn="0"/>
        </w:trPr>
        <w:tc>
          <w:tcPr>
            <w:tcW w:w="14176" w:type="dxa"/>
            <w:gridSpan w:val="3"/>
            <w:shd w:val="clear" w:color="auto" w:fill="65697F" w:themeFill="background2" w:themeFillShade="80"/>
          </w:tcPr>
          <w:p w14:paraId="6BCB9B3C" w14:textId="77777777" w:rsidR="0094242E" w:rsidRPr="0094242E" w:rsidRDefault="0094242E" w:rsidP="00157A1A">
            <w:pPr>
              <w:keepNext/>
              <w:spacing w:before="20" w:after="20" w:line="254" w:lineRule="auto"/>
              <w:jc w:val="center"/>
              <w:rPr>
                <w:rFonts w:cs="Arial"/>
                <w:b/>
                <w:color w:val="FFFFFF" w:themeColor="background1"/>
                <w:szCs w:val="18"/>
              </w:rPr>
            </w:pPr>
            <w:r>
              <w:rPr>
                <w:rFonts w:cs="Arial"/>
                <w:b/>
                <w:color w:val="FFFFFF" w:themeColor="background1"/>
                <w:szCs w:val="18"/>
              </w:rPr>
              <w:t>Refinements to the auction design</w:t>
            </w:r>
          </w:p>
        </w:tc>
      </w:tr>
      <w:tr w:rsidR="0031496B" w:rsidRPr="00032B04" w14:paraId="178A6647" w14:textId="77777777" w:rsidTr="000E0023">
        <w:tc>
          <w:tcPr>
            <w:tcW w:w="1686" w:type="dxa"/>
          </w:tcPr>
          <w:p w14:paraId="4C12ECE3" w14:textId="77777777" w:rsidR="0031496B" w:rsidRDefault="0031496B" w:rsidP="006031B9">
            <w:pPr>
              <w:spacing w:before="40" w:after="40" w:line="254" w:lineRule="auto"/>
              <w:rPr>
                <w:rFonts w:cs="Arial"/>
                <w:szCs w:val="18"/>
              </w:rPr>
            </w:pPr>
            <w:r>
              <w:rPr>
                <w:rFonts w:cs="Arial"/>
                <w:szCs w:val="18"/>
              </w:rPr>
              <w:t>Scope of transitional firm rights</w:t>
            </w:r>
          </w:p>
        </w:tc>
        <w:tc>
          <w:tcPr>
            <w:tcW w:w="7103" w:type="dxa"/>
          </w:tcPr>
          <w:p w14:paraId="0D16AEB0" w14:textId="77777777" w:rsidR="0031496B" w:rsidRDefault="0031496B" w:rsidP="006031B9">
            <w:pPr>
              <w:spacing w:before="40" w:after="40" w:line="254" w:lineRule="auto"/>
              <w:rPr>
                <w:szCs w:val="18"/>
              </w:rPr>
            </w:pPr>
            <w:r w:rsidRPr="005E01D1">
              <w:rPr>
                <w:szCs w:val="18"/>
              </w:rPr>
              <w:t>The</w:t>
            </w:r>
            <w:r>
              <w:rPr>
                <w:szCs w:val="18"/>
              </w:rPr>
              <w:t xml:space="preserve"> GMRG’s</w:t>
            </w:r>
            <w:r w:rsidRPr="005E01D1">
              <w:rPr>
                <w:szCs w:val="18"/>
              </w:rPr>
              <w:t xml:space="preserve"> final recommendations provided for as available and authorised overrun rights to be ‘grandfathered’ where a </w:t>
            </w:r>
            <w:r w:rsidR="00DA16AB">
              <w:rPr>
                <w:szCs w:val="18"/>
              </w:rPr>
              <w:t xml:space="preserve">transportation </w:t>
            </w:r>
            <w:r w:rsidRPr="005E01D1">
              <w:rPr>
                <w:szCs w:val="18"/>
              </w:rPr>
              <w:t xml:space="preserve">service provider would be in breach of existing contractual commitments if it scheduled these services after the auction. Provision was made for this to occur because </w:t>
            </w:r>
            <w:r>
              <w:rPr>
                <w:szCs w:val="18"/>
              </w:rPr>
              <w:t>it was</w:t>
            </w:r>
            <w:r w:rsidRPr="005E01D1">
              <w:rPr>
                <w:szCs w:val="18"/>
              </w:rPr>
              <w:t xml:space="preserve"> understood a number of </w:t>
            </w:r>
            <w:r>
              <w:rPr>
                <w:szCs w:val="18"/>
              </w:rPr>
              <w:t xml:space="preserve">gas-fired </w:t>
            </w:r>
            <w:r w:rsidRPr="005E01D1">
              <w:rPr>
                <w:szCs w:val="18"/>
              </w:rPr>
              <w:t xml:space="preserve">generators were using these services, but it was noted that as confidence in the auction grew, generators could be expected to make greater use of the auction and the </w:t>
            </w:r>
            <w:r>
              <w:rPr>
                <w:szCs w:val="18"/>
              </w:rPr>
              <w:t xml:space="preserve">capacity </w:t>
            </w:r>
            <w:r w:rsidRPr="005E01D1">
              <w:rPr>
                <w:szCs w:val="18"/>
              </w:rPr>
              <w:t>trading platform. This was therefore only proposed as a transitional measure.</w:t>
            </w:r>
          </w:p>
          <w:p w14:paraId="3A3850D5" w14:textId="77777777" w:rsidR="0031496B" w:rsidRPr="005E01D1" w:rsidRDefault="0031496B" w:rsidP="006031B9">
            <w:pPr>
              <w:spacing w:before="40" w:after="40" w:line="254" w:lineRule="auto"/>
              <w:rPr>
                <w:szCs w:val="18"/>
              </w:rPr>
            </w:pPr>
            <w:r w:rsidRPr="005E01D1">
              <w:rPr>
                <w:szCs w:val="18"/>
              </w:rPr>
              <w:t xml:space="preserve">When </w:t>
            </w:r>
            <w:r>
              <w:rPr>
                <w:szCs w:val="18"/>
              </w:rPr>
              <w:t>this</w:t>
            </w:r>
            <w:r w:rsidRPr="005E01D1">
              <w:rPr>
                <w:szCs w:val="18"/>
              </w:rPr>
              <w:t xml:space="preserve"> recommendation </w:t>
            </w:r>
            <w:r>
              <w:rPr>
                <w:szCs w:val="18"/>
              </w:rPr>
              <w:t xml:space="preserve">was </w:t>
            </w:r>
            <w:r w:rsidRPr="005E01D1">
              <w:rPr>
                <w:szCs w:val="18"/>
              </w:rPr>
              <w:t xml:space="preserve">made it was understood this transitional measure would only apply to a small subset of as available and overrun rights. However, subsequent </w:t>
            </w:r>
            <w:r>
              <w:rPr>
                <w:szCs w:val="18"/>
              </w:rPr>
              <w:t xml:space="preserve">discussions with service providers </w:t>
            </w:r>
            <w:r w:rsidRPr="005E01D1">
              <w:rPr>
                <w:szCs w:val="18"/>
              </w:rPr>
              <w:t xml:space="preserve">revealed that as drafted, </w:t>
            </w:r>
            <w:r>
              <w:rPr>
                <w:szCs w:val="18"/>
              </w:rPr>
              <w:t>they would</w:t>
            </w:r>
            <w:r w:rsidRPr="005E01D1">
              <w:rPr>
                <w:szCs w:val="18"/>
              </w:rPr>
              <w:t xml:space="preserve"> seek to rank </w:t>
            </w:r>
            <w:r>
              <w:rPr>
                <w:szCs w:val="18"/>
              </w:rPr>
              <w:t>all or the majority of</w:t>
            </w:r>
            <w:r w:rsidRPr="005E01D1">
              <w:rPr>
                <w:szCs w:val="18"/>
              </w:rPr>
              <w:t xml:space="preserve"> as available and authorised overrun rights ahead of the auction product, which would be contrary to the policy intent</w:t>
            </w:r>
            <w:r>
              <w:rPr>
                <w:szCs w:val="18"/>
              </w:rPr>
              <w:t xml:space="preserve"> of ranking the auction product immediately behind firm services</w:t>
            </w:r>
            <w:r w:rsidRPr="005E01D1">
              <w:rPr>
                <w:szCs w:val="18"/>
              </w:rPr>
              <w:t>.</w:t>
            </w:r>
          </w:p>
        </w:tc>
        <w:tc>
          <w:tcPr>
            <w:tcW w:w="5387" w:type="dxa"/>
          </w:tcPr>
          <w:p w14:paraId="1D81CC61" w14:textId="77777777" w:rsidR="0031496B" w:rsidRDefault="0031496B" w:rsidP="006031B9">
            <w:pPr>
              <w:spacing w:before="40" w:after="40" w:line="254" w:lineRule="auto"/>
              <w:rPr>
                <w:szCs w:val="18"/>
              </w:rPr>
            </w:pPr>
            <w:r>
              <w:rPr>
                <w:szCs w:val="18"/>
              </w:rPr>
              <w:t xml:space="preserve">To address the issues raised by service providers, the March 2018 consultation paper suggested that the availability of transitional firm rights be limited to gas-fired generators for up to two years. </w:t>
            </w:r>
          </w:p>
        </w:tc>
      </w:tr>
      <w:tr w:rsidR="0031496B" w:rsidRPr="00032B04" w14:paraId="51293E13" w14:textId="77777777" w:rsidTr="000E0023">
        <w:trPr>
          <w:cnfStyle w:val="000000010000" w:firstRow="0" w:lastRow="0" w:firstColumn="0" w:lastColumn="0" w:oddVBand="0" w:evenVBand="0" w:oddHBand="0" w:evenHBand="1" w:firstRowFirstColumn="0" w:firstRowLastColumn="0" w:lastRowFirstColumn="0" w:lastRowLastColumn="0"/>
        </w:trPr>
        <w:tc>
          <w:tcPr>
            <w:tcW w:w="1686" w:type="dxa"/>
          </w:tcPr>
          <w:p w14:paraId="33827EBF" w14:textId="77777777" w:rsidR="0031496B" w:rsidRPr="007B180F" w:rsidRDefault="0031496B" w:rsidP="00C855EC">
            <w:pPr>
              <w:spacing w:before="40" w:after="40" w:line="254" w:lineRule="auto"/>
              <w:rPr>
                <w:rFonts w:cs="Arial"/>
                <w:szCs w:val="18"/>
              </w:rPr>
            </w:pPr>
            <w:r w:rsidRPr="007B180F">
              <w:rPr>
                <w:rFonts w:cs="Arial"/>
                <w:szCs w:val="18"/>
              </w:rPr>
              <w:t>Contract path specification for the auction</w:t>
            </w:r>
          </w:p>
        </w:tc>
        <w:tc>
          <w:tcPr>
            <w:tcW w:w="7103" w:type="dxa"/>
          </w:tcPr>
          <w:p w14:paraId="30452DC5" w14:textId="77777777" w:rsidR="0031496B" w:rsidRPr="007B180F" w:rsidRDefault="0031496B" w:rsidP="00C855EC">
            <w:pPr>
              <w:pStyle w:val="TableBullet1"/>
              <w:numPr>
                <w:ilvl w:val="0"/>
                <w:numId w:val="0"/>
              </w:numPr>
              <w:spacing w:before="40" w:after="40" w:line="254" w:lineRule="auto"/>
              <w:ind w:left="85"/>
            </w:pPr>
            <w:r w:rsidRPr="007B180F">
              <w:rPr>
                <w:szCs w:val="18"/>
              </w:rPr>
              <w:t xml:space="preserve">The GMRG’s final recommendation on the design of the auction noted that </w:t>
            </w:r>
            <w:r w:rsidRPr="007B180F">
              <w:rPr>
                <w:color w:val="000000"/>
                <w:szCs w:val="18"/>
              </w:rPr>
              <w:t>further work needed to be carried out in early 2018</w:t>
            </w:r>
            <w:r>
              <w:rPr>
                <w:color w:val="000000"/>
                <w:szCs w:val="18"/>
              </w:rPr>
              <w:t xml:space="preserve"> </w:t>
            </w:r>
            <w:r w:rsidRPr="007B180F">
              <w:rPr>
                <w:color w:val="000000"/>
                <w:szCs w:val="18"/>
              </w:rPr>
              <w:t xml:space="preserve">to determine whether a point-to-point </w:t>
            </w:r>
            <w:r w:rsidRPr="007B180F">
              <w:rPr>
                <w:szCs w:val="18"/>
              </w:rPr>
              <w:t xml:space="preserve">contract path or a zonal approach be used for forward haul and compression </w:t>
            </w:r>
            <w:r>
              <w:rPr>
                <w:szCs w:val="18"/>
              </w:rPr>
              <w:t xml:space="preserve">auction </w:t>
            </w:r>
            <w:r w:rsidRPr="007B180F">
              <w:rPr>
                <w:szCs w:val="18"/>
              </w:rPr>
              <w:t xml:space="preserve">services. </w:t>
            </w:r>
            <w:r>
              <w:rPr>
                <w:szCs w:val="18"/>
              </w:rPr>
              <w:t xml:space="preserve">Further work was therefore carried out on this aspect of the design in early 2018 by the GMRG and AEMO. </w:t>
            </w:r>
            <w:r w:rsidRPr="007B180F">
              <w:rPr>
                <w:szCs w:val="18"/>
              </w:rPr>
              <w:t>This work revealed that there were limitations with the pure point-to-point and zonal models</w:t>
            </w:r>
            <w:r>
              <w:rPr>
                <w:szCs w:val="18"/>
              </w:rPr>
              <w:t xml:space="preserve"> and that combining elements of the two would yield a more efficient allocation of CBU capacity and mirror the approach used on the capacity trading platform. </w:t>
            </w:r>
          </w:p>
        </w:tc>
        <w:tc>
          <w:tcPr>
            <w:tcW w:w="5387" w:type="dxa"/>
          </w:tcPr>
          <w:p w14:paraId="68F9A3DF" w14:textId="77777777" w:rsidR="0031496B" w:rsidRPr="007B180F" w:rsidRDefault="0031496B" w:rsidP="00C855EC">
            <w:pPr>
              <w:pStyle w:val="TableBullet1"/>
              <w:numPr>
                <w:ilvl w:val="0"/>
                <w:numId w:val="0"/>
              </w:numPr>
              <w:spacing w:before="40" w:after="40" w:line="254" w:lineRule="auto"/>
              <w:ind w:left="85"/>
              <w:rPr>
                <w:color w:val="000000"/>
                <w:szCs w:val="18"/>
              </w:rPr>
            </w:pPr>
            <w:r>
              <w:rPr>
                <w:szCs w:val="18"/>
              </w:rPr>
              <w:t xml:space="preserve">Based on the work carried out in early 2018, the March 2018 consultation paper suggested the adoption of a </w:t>
            </w:r>
            <w:r w:rsidRPr="007B180F">
              <w:rPr>
                <w:szCs w:val="18"/>
              </w:rPr>
              <w:t xml:space="preserve">hybrid </w:t>
            </w:r>
            <w:r>
              <w:rPr>
                <w:szCs w:val="18"/>
              </w:rPr>
              <w:t xml:space="preserve">point-to-point and zonal </w:t>
            </w:r>
            <w:r w:rsidRPr="007B180F">
              <w:rPr>
                <w:szCs w:val="18"/>
              </w:rPr>
              <w:t>model</w:t>
            </w:r>
            <w:r>
              <w:rPr>
                <w:szCs w:val="18"/>
              </w:rPr>
              <w:t xml:space="preserve"> that would </w:t>
            </w:r>
            <w:r w:rsidRPr="007B180F">
              <w:rPr>
                <w:color w:val="000000"/>
                <w:szCs w:val="18"/>
                <w:lang w:val="en-US"/>
              </w:rPr>
              <w:t xml:space="preserve">allow auction participants to bid on a point-to-point basis for any unused capacity at individual receipt or delivery points, but their ability to secure capacity at those points </w:t>
            </w:r>
            <w:r>
              <w:rPr>
                <w:color w:val="000000"/>
                <w:szCs w:val="18"/>
                <w:lang w:val="en-US"/>
              </w:rPr>
              <w:t xml:space="preserve">would </w:t>
            </w:r>
            <w:r w:rsidRPr="007B180F">
              <w:rPr>
                <w:color w:val="000000"/>
                <w:szCs w:val="18"/>
                <w:lang w:val="en-US"/>
              </w:rPr>
              <w:t xml:space="preserve">depend on whether there </w:t>
            </w:r>
            <w:r>
              <w:rPr>
                <w:color w:val="000000"/>
                <w:szCs w:val="18"/>
                <w:lang w:val="en-US"/>
              </w:rPr>
              <w:t xml:space="preserve">was </w:t>
            </w:r>
            <w:r w:rsidRPr="007B180F">
              <w:rPr>
                <w:color w:val="000000"/>
                <w:szCs w:val="18"/>
                <w:lang w:val="en-US"/>
              </w:rPr>
              <w:t xml:space="preserve">sufficient: </w:t>
            </w:r>
          </w:p>
          <w:p w14:paraId="4C10A2E3" w14:textId="77777777" w:rsidR="0031496B" w:rsidRPr="0031496B" w:rsidRDefault="0031496B" w:rsidP="00C855EC">
            <w:pPr>
              <w:pStyle w:val="TableBullet1"/>
              <w:numPr>
                <w:ilvl w:val="0"/>
                <w:numId w:val="27"/>
              </w:numPr>
              <w:spacing w:before="40" w:after="40" w:line="254" w:lineRule="auto"/>
            </w:pPr>
            <w:r w:rsidRPr="007B180F">
              <w:rPr>
                <w:lang w:val="en-US"/>
              </w:rPr>
              <w:t xml:space="preserve">CBU capacity available in the receipt point </w:t>
            </w:r>
            <w:r>
              <w:rPr>
                <w:lang w:val="en-US"/>
              </w:rPr>
              <w:t xml:space="preserve">or </w:t>
            </w:r>
            <w:r w:rsidRPr="007B180F">
              <w:rPr>
                <w:lang w:val="en-US"/>
              </w:rPr>
              <w:t xml:space="preserve">delivery point zone they </w:t>
            </w:r>
            <w:r>
              <w:rPr>
                <w:lang w:val="en-US"/>
              </w:rPr>
              <w:t>need</w:t>
            </w:r>
            <w:r w:rsidRPr="007B180F">
              <w:rPr>
                <w:lang w:val="en-US"/>
              </w:rPr>
              <w:t xml:space="preserve"> to use; and</w:t>
            </w:r>
          </w:p>
          <w:p w14:paraId="3545C87D" w14:textId="77777777" w:rsidR="0031496B" w:rsidRPr="00E54161" w:rsidRDefault="0031496B" w:rsidP="00C855EC">
            <w:pPr>
              <w:pStyle w:val="TableBullet1"/>
              <w:numPr>
                <w:ilvl w:val="0"/>
                <w:numId w:val="27"/>
              </w:numPr>
              <w:spacing w:before="40" w:after="40" w:line="254" w:lineRule="auto"/>
            </w:pPr>
            <w:r w:rsidRPr="007B180F">
              <w:rPr>
                <w:lang w:val="en-US"/>
              </w:rPr>
              <w:t xml:space="preserve">CBU capacity along the pipeline segments (or compression </w:t>
            </w:r>
            <w:r>
              <w:rPr>
                <w:lang w:val="en-US"/>
              </w:rPr>
              <w:t xml:space="preserve">service </w:t>
            </w:r>
            <w:r w:rsidRPr="007B180F">
              <w:rPr>
                <w:lang w:val="en-US"/>
              </w:rPr>
              <w:t>facilities) they need to use.</w:t>
            </w:r>
          </w:p>
        </w:tc>
      </w:tr>
      <w:tr w:rsidR="0031496B" w:rsidRPr="00032B04" w14:paraId="4769893A" w14:textId="77777777" w:rsidTr="000E0023">
        <w:tc>
          <w:tcPr>
            <w:tcW w:w="1686" w:type="dxa"/>
          </w:tcPr>
          <w:p w14:paraId="363F3080" w14:textId="77777777" w:rsidR="0031496B" w:rsidRPr="00032B04" w:rsidRDefault="0031496B" w:rsidP="00C855EC">
            <w:pPr>
              <w:keepNext/>
              <w:spacing w:line="254" w:lineRule="auto"/>
              <w:rPr>
                <w:rFonts w:cs="Arial"/>
                <w:szCs w:val="18"/>
              </w:rPr>
            </w:pPr>
            <w:r>
              <w:rPr>
                <w:rFonts w:cs="Arial"/>
                <w:szCs w:val="18"/>
              </w:rPr>
              <w:lastRenderedPageBreak/>
              <w:t xml:space="preserve">Responsibility for </w:t>
            </w:r>
            <w:r w:rsidRPr="00032B04">
              <w:rPr>
                <w:rFonts w:cs="Arial"/>
                <w:szCs w:val="18"/>
              </w:rPr>
              <w:t xml:space="preserve">determining the </w:t>
            </w:r>
            <w:r>
              <w:rPr>
                <w:rFonts w:cs="Arial"/>
                <w:szCs w:val="18"/>
              </w:rPr>
              <w:t xml:space="preserve">method for calculating the </w:t>
            </w:r>
            <w:r w:rsidRPr="00032B04">
              <w:rPr>
                <w:rFonts w:cs="Arial"/>
                <w:szCs w:val="18"/>
              </w:rPr>
              <w:t>auction quantity</w:t>
            </w:r>
            <w:r>
              <w:rPr>
                <w:rFonts w:cs="Arial"/>
                <w:szCs w:val="18"/>
              </w:rPr>
              <w:t xml:space="preserve"> limits</w:t>
            </w:r>
          </w:p>
        </w:tc>
        <w:tc>
          <w:tcPr>
            <w:tcW w:w="7103" w:type="dxa"/>
          </w:tcPr>
          <w:p w14:paraId="313470EC" w14:textId="77777777" w:rsidR="0031496B" w:rsidRDefault="0031496B" w:rsidP="00C855EC">
            <w:pPr>
              <w:keepNext/>
              <w:spacing w:line="254" w:lineRule="auto"/>
            </w:pPr>
            <w:r>
              <w:t xml:space="preserve">At the time the GMRG made its </w:t>
            </w:r>
            <w:r w:rsidRPr="00032B04">
              <w:t>final recommendation</w:t>
            </w:r>
            <w:r>
              <w:t>s on the auction, it was unclear what contract path model would be adopted and, by extension, how the auction quantity limits</w:t>
            </w:r>
            <w:r w:rsidRPr="00032B04">
              <w:t xml:space="preserve"> </w:t>
            </w:r>
            <w:r>
              <w:t xml:space="preserve">would be calculated. The final recommendations therefore provided for </w:t>
            </w:r>
            <w:r w:rsidR="00DA16AB">
              <w:t xml:space="preserve">transportation </w:t>
            </w:r>
            <w:r>
              <w:t xml:space="preserve">service providers to develop the methodology used to calculate the auction quantity limits and to have this approved by AEMO. The final recommendations also noted the need for further work to be carried out on this issue in parallel with the work on the contract path model. </w:t>
            </w:r>
          </w:p>
          <w:p w14:paraId="43DCE015" w14:textId="77777777" w:rsidR="0031496B" w:rsidRDefault="0031496B" w:rsidP="00C855EC">
            <w:pPr>
              <w:keepNext/>
              <w:spacing w:line="254" w:lineRule="auto"/>
            </w:pPr>
            <w:r>
              <w:t xml:space="preserve">Through the work that </w:t>
            </w:r>
            <w:r w:rsidR="000E0023">
              <w:t>w</w:t>
            </w:r>
            <w:r>
              <w:t xml:space="preserve">as subsequently carried out on the contract path model, it become clear that </w:t>
            </w:r>
            <w:r w:rsidRPr="000A621D">
              <w:t>determining the auction quantity</w:t>
            </w:r>
            <w:r>
              <w:t xml:space="preserve"> limits</w:t>
            </w:r>
            <w:r w:rsidRPr="000A621D">
              <w:t xml:space="preserve"> </w:t>
            </w:r>
            <w:r w:rsidR="000E0023">
              <w:t xml:space="preserve">would </w:t>
            </w:r>
            <w:r>
              <w:t>be relatively mechanical and t</w:t>
            </w:r>
            <w:r w:rsidRPr="000A621D">
              <w:t xml:space="preserve">here would be benefit in having a common and transparent process for </w:t>
            </w:r>
            <w:r>
              <w:t xml:space="preserve">calculating auction quantity limits set out in </w:t>
            </w:r>
            <w:r w:rsidR="00DC59F0">
              <w:t>the CT&amp;A P</w:t>
            </w:r>
            <w:r>
              <w:t>rocedures (e.g. to avoid inconsistencies in approach, limit the scope for gaming and enable compliance to be more effectively monitored).</w:t>
            </w:r>
          </w:p>
        </w:tc>
        <w:tc>
          <w:tcPr>
            <w:tcW w:w="5387" w:type="dxa"/>
          </w:tcPr>
          <w:p w14:paraId="0B8D5103" w14:textId="77777777" w:rsidR="0031496B" w:rsidRPr="00F5543E" w:rsidRDefault="0031496B" w:rsidP="00C855EC">
            <w:pPr>
              <w:keepNext/>
              <w:spacing w:line="254" w:lineRule="auto"/>
              <w:rPr>
                <w:rFonts w:cs="Arial"/>
                <w:szCs w:val="18"/>
                <w:highlight w:val="yellow"/>
              </w:rPr>
            </w:pPr>
            <w:r>
              <w:t xml:space="preserve">Based on the work carried out in early 2018, the March 2018 consultation paper suggested that the method for determining the calculation of auction quantity limits be prescribed in the CT&amp;A Procedures. </w:t>
            </w:r>
          </w:p>
        </w:tc>
      </w:tr>
      <w:tr w:rsidR="0094242E" w:rsidRPr="0094242E" w14:paraId="55E561CF" w14:textId="77777777" w:rsidTr="0031496B">
        <w:trPr>
          <w:cnfStyle w:val="000000010000" w:firstRow="0" w:lastRow="0" w:firstColumn="0" w:lastColumn="0" w:oddVBand="0" w:evenVBand="0" w:oddHBand="0" w:evenHBand="1" w:firstRowFirstColumn="0" w:firstRowLastColumn="0" w:lastRowFirstColumn="0" w:lastRowLastColumn="0"/>
        </w:trPr>
        <w:tc>
          <w:tcPr>
            <w:tcW w:w="14176" w:type="dxa"/>
            <w:gridSpan w:val="3"/>
            <w:tcBorders>
              <w:bottom w:val="single" w:sz="4" w:space="0" w:color="auto"/>
            </w:tcBorders>
            <w:shd w:val="clear" w:color="auto" w:fill="65697F" w:themeFill="background2" w:themeFillShade="80"/>
          </w:tcPr>
          <w:p w14:paraId="36C24532" w14:textId="77777777" w:rsidR="0094242E" w:rsidRPr="0094242E" w:rsidRDefault="0094242E" w:rsidP="0094242E">
            <w:pPr>
              <w:keepNext/>
              <w:spacing w:before="20" w:after="20" w:line="254" w:lineRule="auto"/>
              <w:jc w:val="center"/>
              <w:rPr>
                <w:rFonts w:cs="Arial"/>
                <w:b/>
                <w:color w:val="FFFFFF" w:themeColor="background1"/>
                <w:szCs w:val="18"/>
              </w:rPr>
            </w:pPr>
            <w:r>
              <w:rPr>
                <w:rFonts w:cs="Arial"/>
                <w:b/>
                <w:color w:val="FFFFFF" w:themeColor="background1"/>
                <w:szCs w:val="18"/>
              </w:rPr>
              <w:t>Other refinements</w:t>
            </w:r>
          </w:p>
        </w:tc>
      </w:tr>
      <w:tr w:rsidR="0031496B" w:rsidRPr="00032B04" w14:paraId="4A2DAC17" w14:textId="77777777" w:rsidTr="000E0023">
        <w:tc>
          <w:tcPr>
            <w:tcW w:w="1686" w:type="dxa"/>
            <w:tcBorders>
              <w:bottom w:val="single" w:sz="4" w:space="0" w:color="auto"/>
            </w:tcBorders>
            <w:shd w:val="clear" w:color="auto" w:fill="E1E2E7" w:themeFill="background2"/>
          </w:tcPr>
          <w:p w14:paraId="5BE62973" w14:textId="77777777" w:rsidR="0031496B" w:rsidRPr="00032B04" w:rsidRDefault="0031496B" w:rsidP="001F142E">
            <w:pPr>
              <w:spacing w:before="40" w:after="40" w:line="254" w:lineRule="auto"/>
              <w:rPr>
                <w:rFonts w:cs="Arial"/>
                <w:szCs w:val="18"/>
              </w:rPr>
            </w:pPr>
            <w:r>
              <w:rPr>
                <w:rFonts w:cs="Arial"/>
                <w:szCs w:val="18"/>
              </w:rPr>
              <w:t>Transparency of a</w:t>
            </w:r>
            <w:r w:rsidRPr="00032B04">
              <w:rPr>
                <w:rFonts w:cs="Arial"/>
                <w:szCs w:val="18"/>
              </w:rPr>
              <w:t>llocation arrangements</w:t>
            </w:r>
          </w:p>
        </w:tc>
        <w:tc>
          <w:tcPr>
            <w:tcW w:w="7103" w:type="dxa"/>
            <w:tcBorders>
              <w:bottom w:val="single" w:sz="4" w:space="0" w:color="auto"/>
            </w:tcBorders>
            <w:shd w:val="clear" w:color="auto" w:fill="E1E2E7" w:themeFill="background2"/>
          </w:tcPr>
          <w:p w14:paraId="27D10628" w14:textId="77777777" w:rsidR="0031496B" w:rsidRPr="00044B59" w:rsidRDefault="0031496B" w:rsidP="001F142E">
            <w:pPr>
              <w:pStyle w:val="TableBullet1"/>
              <w:numPr>
                <w:ilvl w:val="0"/>
                <w:numId w:val="0"/>
              </w:numPr>
              <w:spacing w:before="40" w:after="40" w:line="254" w:lineRule="auto"/>
              <w:ind w:left="85"/>
            </w:pPr>
            <w:r>
              <w:rPr>
                <w:szCs w:val="18"/>
              </w:rPr>
              <w:t xml:space="preserve">The </w:t>
            </w:r>
            <w:r>
              <w:rPr>
                <w:rFonts w:asciiTheme="majorHAnsi" w:hAnsiTheme="majorHAnsi" w:cstheme="majorHAnsi"/>
                <w:szCs w:val="18"/>
              </w:rPr>
              <w:t xml:space="preserve">GMRG’s final recommendations provided for the contact details of </w:t>
            </w:r>
            <w:r w:rsidRPr="00FA400C">
              <w:rPr>
                <w:rFonts w:asciiTheme="majorHAnsi" w:hAnsiTheme="majorHAnsi" w:cstheme="majorHAnsi"/>
                <w:szCs w:val="18"/>
              </w:rPr>
              <w:t xml:space="preserve">allocation agents </w:t>
            </w:r>
            <w:r>
              <w:rPr>
                <w:rFonts w:asciiTheme="majorHAnsi" w:hAnsiTheme="majorHAnsi" w:cstheme="majorHAnsi"/>
                <w:szCs w:val="18"/>
              </w:rPr>
              <w:t xml:space="preserve">to </w:t>
            </w:r>
            <w:r w:rsidRPr="00FA400C">
              <w:rPr>
                <w:rFonts w:asciiTheme="majorHAnsi" w:hAnsiTheme="majorHAnsi" w:cstheme="majorHAnsi"/>
                <w:szCs w:val="18"/>
              </w:rPr>
              <w:t xml:space="preserve">be published on the </w:t>
            </w:r>
            <w:r w:rsidRPr="00E37A1E">
              <w:rPr>
                <w:szCs w:val="18"/>
              </w:rPr>
              <w:t>Bulletin Board</w:t>
            </w:r>
            <w:r>
              <w:rPr>
                <w:szCs w:val="18"/>
              </w:rPr>
              <w:t xml:space="preserve">. </w:t>
            </w:r>
            <w:r>
              <w:rPr>
                <w:rFonts w:asciiTheme="majorHAnsi" w:hAnsiTheme="majorHAnsi" w:cstheme="majorHAnsi"/>
                <w:szCs w:val="18"/>
              </w:rPr>
              <w:t xml:space="preserve"> The GMRG also recommended that further work be carried out to determine whether any additional transparency measures were required. This work was carried out in early 2018 in conjunction with industry. In short, this process revealed that, in addition to the allocation agents contact details, the publication of a </w:t>
            </w:r>
            <w:r w:rsidRPr="00377897">
              <w:t>description of the allocation methodology and</w:t>
            </w:r>
            <w:r>
              <w:t xml:space="preserve"> </w:t>
            </w:r>
            <w:r w:rsidRPr="00377897">
              <w:t xml:space="preserve">the process for joining and leaving the relevant agreement </w:t>
            </w:r>
            <w:r>
              <w:t xml:space="preserve">(including </w:t>
            </w:r>
            <w:r w:rsidRPr="00377897">
              <w:t>any charges payable</w:t>
            </w:r>
            <w:r>
              <w:t xml:space="preserve">) would aid market participants considering access to allocation points. </w:t>
            </w:r>
          </w:p>
        </w:tc>
        <w:tc>
          <w:tcPr>
            <w:tcW w:w="5387" w:type="dxa"/>
            <w:tcBorders>
              <w:bottom w:val="single" w:sz="4" w:space="0" w:color="auto"/>
            </w:tcBorders>
            <w:shd w:val="clear" w:color="auto" w:fill="E1E2E7" w:themeFill="background2"/>
          </w:tcPr>
          <w:p w14:paraId="18E5FD28" w14:textId="77777777" w:rsidR="0031496B" w:rsidRPr="00044B59" w:rsidRDefault="0031496B" w:rsidP="001F142E">
            <w:pPr>
              <w:pStyle w:val="TableBullet1"/>
              <w:numPr>
                <w:ilvl w:val="0"/>
                <w:numId w:val="0"/>
              </w:numPr>
              <w:spacing w:before="40" w:after="40" w:line="254" w:lineRule="auto"/>
              <w:ind w:left="85"/>
            </w:pPr>
            <w:r>
              <w:t>To provide greater transparency about allocation arrangements, the March 2018 consultation paper proposed the publication of information on the allocation methodology and the process for joining and leaving (including any charges for doing so) allocation arrangements on the Bulletin Board.</w:t>
            </w:r>
          </w:p>
        </w:tc>
      </w:tr>
      <w:tr w:rsidR="0031496B" w:rsidRPr="00032B04" w14:paraId="36BDEEA9" w14:textId="77777777" w:rsidTr="000E0023">
        <w:trPr>
          <w:cnfStyle w:val="000000010000" w:firstRow="0" w:lastRow="0" w:firstColumn="0" w:lastColumn="0" w:oddVBand="0" w:evenVBand="0" w:oddHBand="0" w:evenHBand="1" w:firstRowFirstColumn="0" w:firstRowLastColumn="0" w:lastRowFirstColumn="0" w:lastRowLastColumn="0"/>
        </w:trPr>
        <w:tc>
          <w:tcPr>
            <w:tcW w:w="1686" w:type="dxa"/>
            <w:shd w:val="clear" w:color="auto" w:fill="FFFFFF" w:themeFill="background1"/>
          </w:tcPr>
          <w:p w14:paraId="552FCFE9" w14:textId="77777777" w:rsidR="0031496B" w:rsidRPr="00032B04" w:rsidRDefault="0031496B" w:rsidP="0094242E">
            <w:pPr>
              <w:spacing w:before="40" w:after="40" w:line="254" w:lineRule="auto"/>
              <w:rPr>
                <w:rFonts w:cs="Arial"/>
                <w:szCs w:val="18"/>
              </w:rPr>
            </w:pPr>
            <w:r w:rsidRPr="00032B04">
              <w:rPr>
                <w:rFonts w:cs="Arial"/>
                <w:szCs w:val="18"/>
              </w:rPr>
              <w:t>Transitional arrangements</w:t>
            </w:r>
            <w:r>
              <w:rPr>
                <w:rFonts w:cs="Arial"/>
                <w:szCs w:val="18"/>
              </w:rPr>
              <w:t xml:space="preserve"> for the standard market timetable </w:t>
            </w:r>
          </w:p>
        </w:tc>
        <w:tc>
          <w:tcPr>
            <w:tcW w:w="7103" w:type="dxa"/>
            <w:shd w:val="clear" w:color="auto" w:fill="FFFFFF" w:themeFill="background1"/>
          </w:tcPr>
          <w:p w14:paraId="26480A84" w14:textId="77777777" w:rsidR="0031496B" w:rsidRDefault="0031496B" w:rsidP="0031496B">
            <w:pPr>
              <w:spacing w:before="40" w:after="40" w:line="254" w:lineRule="auto"/>
            </w:pPr>
            <w:r>
              <w:rPr>
                <w:rFonts w:cs="Arial"/>
                <w:szCs w:val="18"/>
              </w:rPr>
              <w:t xml:space="preserve">The GMRG’s final recommendations on the </w:t>
            </w:r>
            <w:r w:rsidR="000E0023">
              <w:rPr>
                <w:rFonts w:cs="Arial"/>
                <w:szCs w:val="18"/>
              </w:rPr>
              <w:t xml:space="preserve">standard market timetable </w:t>
            </w:r>
            <w:r>
              <w:rPr>
                <w:rFonts w:cs="Arial"/>
                <w:szCs w:val="18"/>
              </w:rPr>
              <w:t xml:space="preserve">provided for the </w:t>
            </w:r>
            <w:r w:rsidR="000E0023">
              <w:rPr>
                <w:rFonts w:cs="Arial"/>
                <w:szCs w:val="18"/>
              </w:rPr>
              <w:t xml:space="preserve">standardised </w:t>
            </w:r>
            <w:r>
              <w:rPr>
                <w:rFonts w:cs="Arial"/>
                <w:szCs w:val="18"/>
              </w:rPr>
              <w:t xml:space="preserve">times to be implemented by 1 October 2019. Through subsequent discussions with stakeholders, it became apparent that there would be value in implementing transitional arrangements to assist market participants transition to the new gas day start time and, where applicable, the nomination cut-off times.  </w:t>
            </w:r>
          </w:p>
        </w:tc>
        <w:tc>
          <w:tcPr>
            <w:tcW w:w="5387" w:type="dxa"/>
            <w:shd w:val="clear" w:color="auto" w:fill="FFFFFF" w:themeFill="background1"/>
          </w:tcPr>
          <w:p w14:paraId="34C840DF" w14:textId="77777777" w:rsidR="0031496B" w:rsidRDefault="0031496B" w:rsidP="0031496B">
            <w:pPr>
              <w:spacing w:before="40" w:after="40" w:line="254" w:lineRule="auto"/>
              <w:rPr>
                <w:rFonts w:cs="Arial"/>
                <w:szCs w:val="18"/>
              </w:rPr>
            </w:pPr>
            <w:r>
              <w:rPr>
                <w:rFonts w:cs="Arial"/>
                <w:szCs w:val="18"/>
              </w:rPr>
              <w:t>To assist with the transition to the standard market timetable, the March 2018 consultation paper suggested that transitional rules be included in the NGR to require:</w:t>
            </w:r>
          </w:p>
          <w:p w14:paraId="016D7977" w14:textId="77777777" w:rsidR="0031496B" w:rsidRDefault="0031496B" w:rsidP="0031496B">
            <w:pPr>
              <w:pStyle w:val="TableBullet1"/>
              <w:spacing w:before="40" w:after="40" w:line="254" w:lineRule="auto"/>
            </w:pPr>
            <w:r>
              <w:t>AEMO to publish information on the arrangements for transition to the standard gas day in each gas market prior to 1 April 2019; and</w:t>
            </w:r>
          </w:p>
          <w:p w14:paraId="5FD98486" w14:textId="77777777" w:rsidR="0031496B" w:rsidRPr="00883521" w:rsidRDefault="0031496B" w:rsidP="0031496B">
            <w:pPr>
              <w:pStyle w:val="TableBullet1"/>
              <w:spacing w:before="40" w:after="40" w:line="254" w:lineRule="auto"/>
            </w:pPr>
            <w:r>
              <w:t>f</w:t>
            </w:r>
            <w:r w:rsidRPr="00883521">
              <w:t>acility operators that provide services to third parties to publish information on the operational arrangements to transition to the standard gas day and</w:t>
            </w:r>
            <w:r w:rsidR="000E0023">
              <w:t>, where relevant, the</w:t>
            </w:r>
            <w:r w:rsidRPr="00883521">
              <w:t xml:space="preserve"> standard nomination cut-off times</w:t>
            </w:r>
            <w:r w:rsidR="000E0023">
              <w:t>,</w:t>
            </w:r>
            <w:r w:rsidRPr="00883521">
              <w:t xml:space="preserve"> prior to 30 June 2019.</w:t>
            </w:r>
          </w:p>
        </w:tc>
      </w:tr>
    </w:tbl>
    <w:p w14:paraId="2F799081" w14:textId="77777777" w:rsidR="001B5338" w:rsidRDefault="001B5338" w:rsidP="001B5338">
      <w:pPr>
        <w:pStyle w:val="ListBullet"/>
        <w:numPr>
          <w:ilvl w:val="0"/>
          <w:numId w:val="0"/>
        </w:numPr>
        <w:ind w:left="360"/>
        <w:sectPr w:rsidR="001B5338" w:rsidSect="001B5338">
          <w:headerReference w:type="default" r:id="rId22"/>
          <w:footerReference w:type="default" r:id="rId23"/>
          <w:pgSz w:w="16839" w:h="11907" w:orient="landscape" w:code="9"/>
          <w:pgMar w:top="426" w:right="1418" w:bottom="426" w:left="1701" w:header="281" w:footer="397" w:gutter="0"/>
          <w:cols w:space="708"/>
          <w:docGrid w:linePitch="360"/>
        </w:sectPr>
      </w:pPr>
    </w:p>
    <w:p w14:paraId="65A966CC" w14:textId="77777777" w:rsidR="001B5338" w:rsidRPr="006F44AB" w:rsidRDefault="001B5338" w:rsidP="001B5338">
      <w:pPr>
        <w:pStyle w:val="Heading2"/>
        <w:spacing w:before="0" w:after="120" w:line="22" w:lineRule="atLeast"/>
      </w:pPr>
      <w:bookmarkStart w:id="15" w:name="_Toc515276991"/>
      <w:bookmarkStart w:id="16" w:name="_Toc530546448"/>
      <w:r>
        <w:lastRenderedPageBreak/>
        <w:t>Stakeholder feedback</w:t>
      </w:r>
      <w:bookmarkEnd w:id="15"/>
      <w:r w:rsidR="003F32C9">
        <w:t xml:space="preserve"> on the draft framework</w:t>
      </w:r>
      <w:bookmarkEnd w:id="16"/>
    </w:p>
    <w:p w14:paraId="2ED99A52" w14:textId="77777777" w:rsidR="001B5338" w:rsidRDefault="001B5338" w:rsidP="001B5338">
      <w:pPr>
        <w:pStyle w:val="BodyText"/>
        <w:spacing w:before="0" w:after="0"/>
      </w:pPr>
      <w:r>
        <w:t xml:space="preserve">In </w:t>
      </w:r>
      <w:r w:rsidRPr="004E1A04">
        <w:t>total, 24</w:t>
      </w:r>
      <w:r>
        <w:t xml:space="preserve"> submissions were received in response to the </w:t>
      </w:r>
      <w:r w:rsidR="003F32C9">
        <w:t xml:space="preserve">March 2018 </w:t>
      </w:r>
      <w:r>
        <w:t xml:space="preserve">consultation paper, 18 of which were from organisations </w:t>
      </w:r>
      <w:r w:rsidR="00DC59F0">
        <w:t xml:space="preserve">involved directly in </w:t>
      </w:r>
      <w:r>
        <w:t xml:space="preserve">the gas supply chain. The remainder were provided by Energy Consumers Australia (ECA), Australian Pipeline and Gas Association (APGA), Chemistry Australia, the Energy Users’ Association of Australia (EUAA), the Major Energy Users (MEU) and the Public Interest Advocacy Centre (PIAC). </w:t>
      </w:r>
    </w:p>
    <w:p w14:paraId="6D01F914" w14:textId="48C79865" w:rsidR="001B5338" w:rsidRDefault="001B5338" w:rsidP="001B5338">
      <w:pPr>
        <w:pStyle w:val="BodyText"/>
      </w:pPr>
      <w:r>
        <w:fldChar w:fldCharType="begin"/>
      </w:r>
      <w:r>
        <w:instrText xml:space="preserve"> REF _Ref514357032 \h </w:instrText>
      </w:r>
      <w:r>
        <w:fldChar w:fldCharType="separate"/>
      </w:r>
      <w:r w:rsidR="0026074F">
        <w:t xml:space="preserve">Table </w:t>
      </w:r>
      <w:r w:rsidR="0026074F">
        <w:rPr>
          <w:noProof/>
        </w:rPr>
        <w:t>1</w:t>
      </w:r>
      <w:r w:rsidR="0026074F">
        <w:t>.</w:t>
      </w:r>
      <w:r w:rsidR="0026074F">
        <w:rPr>
          <w:noProof/>
        </w:rPr>
        <w:t>2</w:t>
      </w:r>
      <w:r>
        <w:fldChar w:fldCharType="end"/>
      </w:r>
      <w:r>
        <w:t xml:space="preserve"> provides a snapshot of the feedback these stakeholders provided on the proposed refinements to the design of the capacity trading reform package.  In th</w:t>
      </w:r>
      <w:r w:rsidR="00DC59F0">
        <w:t>e</w:t>
      </w:r>
      <w:r>
        <w:t xml:space="preserve"> table, green is used to indicate support for the proposed refinement, red is used to indicate opposition to the proposed refinement, orange is used to indicate a position in between these points and grey is used in those cases where stakeholders did not express a view. </w:t>
      </w:r>
    </w:p>
    <w:p w14:paraId="7FBD646E" w14:textId="77777777" w:rsidR="001B5338" w:rsidRPr="002B6B24" w:rsidRDefault="001B5338" w:rsidP="001B5338">
      <w:pPr>
        <w:pStyle w:val="BodyText"/>
      </w:pPr>
      <w:r w:rsidRPr="002B6B24">
        <w:t xml:space="preserve">As </w:t>
      </w:r>
      <w:r w:rsidR="00DC59F0">
        <w:t>the</w:t>
      </w:r>
      <w:r>
        <w:t xml:space="preserve"> table shows</w:t>
      </w:r>
      <w:r w:rsidRPr="002B6B24">
        <w:t xml:space="preserve">, </w:t>
      </w:r>
      <w:r>
        <w:t xml:space="preserve">most of the proposed refinements were supported by stakeholders. Concerns were, however, raised by a number of stakeholders about the </w:t>
      </w:r>
      <w:r w:rsidR="00A658E6">
        <w:t>following</w:t>
      </w:r>
      <w:r w:rsidRPr="002B6B24">
        <w:t>:</w:t>
      </w:r>
    </w:p>
    <w:p w14:paraId="1FC2CD05" w14:textId="77777777" w:rsidR="001B5338" w:rsidRDefault="00A658E6" w:rsidP="001B5338">
      <w:pPr>
        <w:pStyle w:val="ListBullet"/>
        <w:ind w:left="357" w:hanging="357"/>
      </w:pPr>
      <w:r w:rsidRPr="00A658E6">
        <w:rPr>
          <w:b/>
        </w:rPr>
        <w:t>The proposed exemptions framework</w:t>
      </w:r>
      <w:r w:rsidR="001B5338" w:rsidRPr="002B6B24">
        <w:t>: While most stakeholders supported the proposed exemption</w:t>
      </w:r>
      <w:r w:rsidR="001B5338">
        <w:t xml:space="preserve"> categories</w:t>
      </w:r>
      <w:r w:rsidR="001B5338" w:rsidRPr="002B6B24">
        <w:t xml:space="preserve">, </w:t>
      </w:r>
      <w:r w:rsidR="001B5338">
        <w:t>a number of s</w:t>
      </w:r>
      <w:r w:rsidR="001B5338" w:rsidRPr="002B6B24">
        <w:t>ervice providers</w:t>
      </w:r>
      <w:r w:rsidR="001B5338">
        <w:t xml:space="preserve"> were of the view </w:t>
      </w:r>
      <w:r w:rsidR="00DC59F0">
        <w:t xml:space="preserve">that </w:t>
      </w:r>
      <w:r w:rsidR="001B5338">
        <w:t xml:space="preserve">the </w:t>
      </w:r>
      <w:r w:rsidR="001B5338" w:rsidRPr="008D1CE2">
        <w:t>10</w:t>
      </w:r>
      <w:r w:rsidR="001B5338">
        <w:t> </w:t>
      </w:r>
      <w:r w:rsidR="001B5338" w:rsidRPr="008D1CE2">
        <w:t>TJ/day threshold was too low.</w:t>
      </w:r>
      <w:r w:rsidR="001B5338">
        <w:t xml:space="preserve"> A</w:t>
      </w:r>
      <w:r w:rsidR="001B5338" w:rsidRPr="002B6B24">
        <w:t xml:space="preserve"> number of</w:t>
      </w:r>
      <w:r w:rsidR="001B5338">
        <w:t xml:space="preserve"> </w:t>
      </w:r>
      <w:r w:rsidR="001B5338" w:rsidRPr="002B6B24">
        <w:t>consumer and user representatives</w:t>
      </w:r>
      <w:r w:rsidR="001B5338">
        <w:t>, on the other hand,</w:t>
      </w:r>
      <w:r w:rsidR="001B5338" w:rsidRPr="002B6B24">
        <w:t xml:space="preserve"> </w:t>
      </w:r>
      <w:r w:rsidR="001B5338">
        <w:t xml:space="preserve">were of the view that </w:t>
      </w:r>
      <w:r w:rsidR="001B5338" w:rsidRPr="002B6B24">
        <w:t xml:space="preserve">distribution pipelines, </w:t>
      </w:r>
      <w:r w:rsidR="001B5338">
        <w:t xml:space="preserve">transportation facilities </w:t>
      </w:r>
      <w:r w:rsidR="001B5338" w:rsidRPr="002B6B24">
        <w:t xml:space="preserve">with a nameplate rating less than 10 TJ/day </w:t>
      </w:r>
      <w:r w:rsidR="001B5338">
        <w:t xml:space="preserve">and facilities servicing a single user (shipper) should be subject to </w:t>
      </w:r>
      <w:r w:rsidR="001B5338" w:rsidRPr="002B6B24">
        <w:t>the reforms</w:t>
      </w:r>
      <w:r w:rsidR="001B5338">
        <w:t xml:space="preserve">. This group of stakeholders </w:t>
      </w:r>
      <w:r w:rsidR="00223197">
        <w:t>was</w:t>
      </w:r>
      <w:r w:rsidR="001B5338">
        <w:t xml:space="preserve"> particularly concerned about the potential for smaller transportation facilities and retailers on single user facilities to exercise market power.  </w:t>
      </w:r>
    </w:p>
    <w:p w14:paraId="0F3FF271" w14:textId="77777777" w:rsidR="001B5338" w:rsidRPr="008D1CE2" w:rsidRDefault="001B5338" w:rsidP="001B5338">
      <w:pPr>
        <w:pStyle w:val="ListBullet2"/>
        <w:numPr>
          <w:ilvl w:val="0"/>
          <w:numId w:val="0"/>
        </w:numPr>
        <w:ind w:left="360"/>
      </w:pPr>
      <w:r>
        <w:t xml:space="preserve">A number of stakeholders also noted the proposed definition of compression services may not capture all the facilities it is intended to and suggested an alternative approach be adopted. One stakeholder also noted that while the DTS is excluded from the reforms, all the compression </w:t>
      </w:r>
      <w:r w:rsidR="00D51280">
        <w:t xml:space="preserve">service </w:t>
      </w:r>
      <w:r>
        <w:t>facilities used in the transportation of gas from the DTS to other pipelines should be included.</w:t>
      </w:r>
    </w:p>
    <w:p w14:paraId="23448051" w14:textId="77777777" w:rsidR="001B5338" w:rsidRPr="0070124C" w:rsidRDefault="00A658E6" w:rsidP="001B5338">
      <w:pPr>
        <w:pStyle w:val="ListBullet"/>
        <w:ind w:left="357" w:hanging="357"/>
        <w:rPr>
          <w:rFonts w:asciiTheme="majorHAnsi" w:hAnsiTheme="majorHAnsi" w:cstheme="majorHAnsi"/>
        </w:rPr>
      </w:pPr>
      <w:r>
        <w:rPr>
          <w:b/>
        </w:rPr>
        <w:t xml:space="preserve">The proposal to allow certain rights held by </w:t>
      </w:r>
      <w:r w:rsidR="001B5338">
        <w:rPr>
          <w:b/>
        </w:rPr>
        <w:t>gas-fired</w:t>
      </w:r>
      <w:r w:rsidR="001B5338" w:rsidRPr="003356F6">
        <w:rPr>
          <w:b/>
        </w:rPr>
        <w:t xml:space="preserve"> generators to rank ahead of the auction product for </w:t>
      </w:r>
      <w:r>
        <w:rPr>
          <w:b/>
        </w:rPr>
        <w:t xml:space="preserve">up to </w:t>
      </w:r>
      <w:r w:rsidR="001B5338" w:rsidRPr="003356F6">
        <w:rPr>
          <w:b/>
        </w:rPr>
        <w:t>two years</w:t>
      </w:r>
      <w:r w:rsidR="00F038F5">
        <w:rPr>
          <w:b/>
        </w:rPr>
        <w:t xml:space="preserve"> (‘</w:t>
      </w:r>
      <w:r w:rsidR="003F32C9">
        <w:rPr>
          <w:b/>
        </w:rPr>
        <w:t xml:space="preserve">transitional firm </w:t>
      </w:r>
      <w:r w:rsidR="00F038F5">
        <w:rPr>
          <w:b/>
        </w:rPr>
        <w:t>rights</w:t>
      </w:r>
      <w:r w:rsidR="003F32C9">
        <w:rPr>
          <w:b/>
        </w:rPr>
        <w:t>’</w:t>
      </w:r>
      <w:r w:rsidR="00F038F5">
        <w:rPr>
          <w:b/>
        </w:rPr>
        <w:t>)</w:t>
      </w:r>
      <w:r w:rsidR="001B5338" w:rsidRPr="003356F6">
        <w:rPr>
          <w:b/>
        </w:rPr>
        <w:t>:</w:t>
      </w:r>
      <w:r w:rsidR="001B5338" w:rsidRPr="0070124C">
        <w:t xml:space="preserve"> </w:t>
      </w:r>
      <w:r w:rsidR="001B5338" w:rsidRPr="0070124C">
        <w:rPr>
          <w:rFonts w:asciiTheme="majorHAnsi" w:hAnsiTheme="majorHAnsi" w:cstheme="majorHAnsi"/>
        </w:rPr>
        <w:t xml:space="preserve">Mixed views were expressed about </w:t>
      </w:r>
      <w:r w:rsidR="003F32C9">
        <w:rPr>
          <w:rFonts w:asciiTheme="majorHAnsi" w:hAnsiTheme="majorHAnsi" w:cstheme="majorHAnsi"/>
        </w:rPr>
        <w:t xml:space="preserve">transitional firm </w:t>
      </w:r>
      <w:r w:rsidR="001B5338">
        <w:rPr>
          <w:rFonts w:asciiTheme="majorHAnsi" w:hAnsiTheme="majorHAnsi" w:cstheme="majorHAnsi"/>
        </w:rPr>
        <w:t>rights</w:t>
      </w:r>
      <w:r w:rsidR="001B5338" w:rsidRPr="0070124C">
        <w:rPr>
          <w:rFonts w:asciiTheme="majorHAnsi" w:hAnsiTheme="majorHAnsi" w:cstheme="majorHAnsi"/>
        </w:rPr>
        <w:t xml:space="preserve">, with a number of stakeholders opposed to </w:t>
      </w:r>
      <w:r w:rsidR="001B5338">
        <w:rPr>
          <w:rFonts w:asciiTheme="majorHAnsi" w:hAnsiTheme="majorHAnsi" w:cstheme="majorHAnsi"/>
        </w:rPr>
        <w:t xml:space="preserve">their </w:t>
      </w:r>
      <w:r w:rsidR="001B5338" w:rsidRPr="0070124C">
        <w:rPr>
          <w:rFonts w:asciiTheme="majorHAnsi" w:hAnsiTheme="majorHAnsi" w:cstheme="majorHAnsi"/>
        </w:rPr>
        <w:t>inclusion</w:t>
      </w:r>
      <w:r w:rsidR="001B5338">
        <w:rPr>
          <w:rFonts w:asciiTheme="majorHAnsi" w:hAnsiTheme="majorHAnsi" w:cstheme="majorHAnsi"/>
        </w:rPr>
        <w:t xml:space="preserve"> (i.e. because it reduces the </w:t>
      </w:r>
      <w:r w:rsidR="00F038F5">
        <w:rPr>
          <w:rFonts w:asciiTheme="majorHAnsi" w:hAnsiTheme="majorHAnsi" w:cstheme="majorHAnsi"/>
        </w:rPr>
        <w:t xml:space="preserve">amount of </w:t>
      </w:r>
      <w:r w:rsidR="001B5338">
        <w:rPr>
          <w:rFonts w:asciiTheme="majorHAnsi" w:hAnsiTheme="majorHAnsi" w:cstheme="majorHAnsi"/>
        </w:rPr>
        <w:t>capacity released in the auction)</w:t>
      </w:r>
      <w:r w:rsidR="001B5338" w:rsidRPr="0070124C">
        <w:rPr>
          <w:rFonts w:asciiTheme="majorHAnsi" w:hAnsiTheme="majorHAnsi" w:cstheme="majorHAnsi"/>
        </w:rPr>
        <w:t xml:space="preserve">, while </w:t>
      </w:r>
      <w:r w:rsidR="001B5338">
        <w:rPr>
          <w:rFonts w:asciiTheme="majorHAnsi" w:hAnsiTheme="majorHAnsi" w:cstheme="majorHAnsi"/>
        </w:rPr>
        <w:t xml:space="preserve">others </w:t>
      </w:r>
      <w:r w:rsidR="001B5338" w:rsidRPr="0070124C">
        <w:rPr>
          <w:rFonts w:asciiTheme="majorHAnsi" w:hAnsiTheme="majorHAnsi" w:cstheme="majorHAnsi"/>
        </w:rPr>
        <w:t xml:space="preserve">supported their inclusion. </w:t>
      </w:r>
      <w:r w:rsidR="001B5338">
        <w:rPr>
          <w:rFonts w:asciiTheme="majorHAnsi" w:hAnsiTheme="majorHAnsi" w:cstheme="majorHAnsi"/>
        </w:rPr>
        <w:t>Most of the stakeholders that supported their inclusion</w:t>
      </w:r>
      <w:r w:rsidR="001B5338" w:rsidRPr="0070124C">
        <w:rPr>
          <w:rFonts w:asciiTheme="majorHAnsi" w:hAnsiTheme="majorHAnsi" w:cstheme="majorHAnsi"/>
        </w:rPr>
        <w:t xml:space="preserve"> accepted </w:t>
      </w:r>
      <w:r w:rsidR="001B5338">
        <w:rPr>
          <w:rFonts w:asciiTheme="majorHAnsi" w:hAnsiTheme="majorHAnsi" w:cstheme="majorHAnsi"/>
        </w:rPr>
        <w:t xml:space="preserve">the proposal to limit the </w:t>
      </w:r>
      <w:r w:rsidR="003F32C9">
        <w:rPr>
          <w:rFonts w:asciiTheme="majorHAnsi" w:hAnsiTheme="majorHAnsi" w:cstheme="majorHAnsi"/>
        </w:rPr>
        <w:t xml:space="preserve">transitional firm </w:t>
      </w:r>
      <w:r w:rsidR="001B5338">
        <w:rPr>
          <w:rFonts w:asciiTheme="majorHAnsi" w:hAnsiTheme="majorHAnsi" w:cstheme="majorHAnsi"/>
        </w:rPr>
        <w:t xml:space="preserve">rights to those used by gas-fired generators, although two suggested the rights should be available </w:t>
      </w:r>
      <w:r w:rsidR="001B5338" w:rsidRPr="0070124C">
        <w:rPr>
          <w:rFonts w:asciiTheme="majorHAnsi" w:hAnsiTheme="majorHAnsi" w:cstheme="majorHAnsi"/>
        </w:rPr>
        <w:t xml:space="preserve">to </w:t>
      </w:r>
      <w:r w:rsidR="001B5338">
        <w:rPr>
          <w:rFonts w:asciiTheme="majorHAnsi" w:hAnsiTheme="majorHAnsi" w:cstheme="majorHAnsi"/>
        </w:rPr>
        <w:t xml:space="preserve">all </w:t>
      </w:r>
      <w:r w:rsidR="001B5338" w:rsidRPr="0070124C">
        <w:rPr>
          <w:rFonts w:asciiTheme="majorHAnsi" w:hAnsiTheme="majorHAnsi" w:cstheme="majorHAnsi"/>
        </w:rPr>
        <w:t>users.</w:t>
      </w:r>
      <w:r w:rsidR="001B5338">
        <w:rPr>
          <w:rFonts w:asciiTheme="majorHAnsi" w:hAnsiTheme="majorHAnsi" w:cstheme="majorHAnsi"/>
        </w:rPr>
        <w:t xml:space="preserve"> The term of the </w:t>
      </w:r>
      <w:r w:rsidR="003F32C9">
        <w:rPr>
          <w:rFonts w:asciiTheme="majorHAnsi" w:hAnsiTheme="majorHAnsi" w:cstheme="majorHAnsi"/>
        </w:rPr>
        <w:t xml:space="preserve">transitional firm </w:t>
      </w:r>
      <w:r w:rsidR="001B5338">
        <w:rPr>
          <w:rFonts w:asciiTheme="majorHAnsi" w:hAnsiTheme="majorHAnsi" w:cstheme="majorHAnsi"/>
        </w:rPr>
        <w:t xml:space="preserve">rights was </w:t>
      </w:r>
      <w:r w:rsidR="00F038F5">
        <w:rPr>
          <w:rFonts w:asciiTheme="majorHAnsi" w:hAnsiTheme="majorHAnsi" w:cstheme="majorHAnsi"/>
        </w:rPr>
        <w:t xml:space="preserve">also </w:t>
      </w:r>
      <w:r w:rsidR="001B5338">
        <w:rPr>
          <w:rFonts w:asciiTheme="majorHAnsi" w:hAnsiTheme="majorHAnsi" w:cstheme="majorHAnsi"/>
        </w:rPr>
        <w:t>subject to debate, with some suggesting a one to two-year term was appropriate, while others thought they should be available indefinitely or subject to extension following a review</w:t>
      </w:r>
      <w:r w:rsidR="00F038F5">
        <w:rPr>
          <w:rFonts w:asciiTheme="majorHAnsi" w:hAnsiTheme="majorHAnsi" w:cstheme="majorHAnsi"/>
        </w:rPr>
        <w:t xml:space="preserve"> once the rules are implemented</w:t>
      </w:r>
      <w:r w:rsidR="001B5338">
        <w:rPr>
          <w:rFonts w:asciiTheme="majorHAnsi" w:hAnsiTheme="majorHAnsi" w:cstheme="majorHAnsi"/>
        </w:rPr>
        <w:t>.</w:t>
      </w:r>
    </w:p>
    <w:p w14:paraId="15FB5DCC" w14:textId="77777777" w:rsidR="001B5338" w:rsidRDefault="00F038F5" w:rsidP="001B5338">
      <w:pPr>
        <w:pStyle w:val="ListBullet"/>
        <w:ind w:left="357" w:hanging="357"/>
      </w:pPr>
      <w:r>
        <w:rPr>
          <w:b/>
        </w:rPr>
        <w:t xml:space="preserve">The proposal to </w:t>
      </w:r>
      <w:r w:rsidR="001B5338" w:rsidRPr="00F24B58">
        <w:rPr>
          <w:b/>
        </w:rPr>
        <w:t>allow the AER to amend the Code</w:t>
      </w:r>
      <w:r w:rsidR="001B5338">
        <w:t xml:space="preserve">: Although most </w:t>
      </w:r>
      <w:r w:rsidR="001B5338" w:rsidRPr="00A82AD0">
        <w:t xml:space="preserve">stakeholders </w:t>
      </w:r>
      <w:r w:rsidR="001B5338">
        <w:t xml:space="preserve">recognised the need for the AER to have this power, a number were concerned that </w:t>
      </w:r>
      <w:r>
        <w:t>it</w:t>
      </w:r>
      <w:r w:rsidR="001B5338">
        <w:t xml:space="preserve"> could be used to bypass the Panel. This group of stakeholders were therefore of the view that the AER should exercise some caution when using this power and be required to consult </w:t>
      </w:r>
      <w:r w:rsidR="001B5338" w:rsidRPr="00A82AD0">
        <w:t xml:space="preserve">with </w:t>
      </w:r>
      <w:r w:rsidR="001B5338">
        <w:t>interested parties (including consumers) before doing so.</w:t>
      </w:r>
    </w:p>
    <w:p w14:paraId="674A21B1" w14:textId="77777777" w:rsidR="001B5338" w:rsidRPr="00242682" w:rsidRDefault="00F038F5" w:rsidP="001B5338">
      <w:pPr>
        <w:pStyle w:val="ListBullet"/>
        <w:ind w:left="357" w:hanging="357"/>
      </w:pPr>
      <w:r>
        <w:rPr>
          <w:b/>
        </w:rPr>
        <w:t xml:space="preserve">The proposal to </w:t>
      </w:r>
      <w:r w:rsidR="001B5338">
        <w:rPr>
          <w:b/>
        </w:rPr>
        <w:t>r</w:t>
      </w:r>
      <w:r w:rsidR="001B5338" w:rsidRPr="003C54FF">
        <w:rPr>
          <w:b/>
        </w:rPr>
        <w:t xml:space="preserve">equire AEMO to determine the zones </w:t>
      </w:r>
      <w:r w:rsidR="001B5338" w:rsidRPr="003C54FF">
        <w:rPr>
          <w:rFonts w:asciiTheme="majorHAnsi" w:hAnsiTheme="majorHAnsi" w:cstheme="majorHAnsi"/>
          <w:b/>
          <w:szCs w:val="18"/>
        </w:rPr>
        <w:t xml:space="preserve">used for the </w:t>
      </w:r>
      <w:r w:rsidR="001B5338">
        <w:rPr>
          <w:rFonts w:asciiTheme="majorHAnsi" w:hAnsiTheme="majorHAnsi" w:cstheme="majorHAnsi"/>
          <w:b/>
          <w:szCs w:val="18"/>
        </w:rPr>
        <w:t xml:space="preserve">capacity trading </w:t>
      </w:r>
      <w:r w:rsidR="001B5338" w:rsidRPr="003C54FF">
        <w:rPr>
          <w:rFonts w:asciiTheme="majorHAnsi" w:hAnsiTheme="majorHAnsi" w:cstheme="majorHAnsi"/>
          <w:b/>
          <w:szCs w:val="18"/>
        </w:rPr>
        <w:t>platform, auction and reporting framework</w:t>
      </w:r>
      <w:r w:rsidR="001B5338">
        <w:t xml:space="preserve">: The majority of </w:t>
      </w:r>
      <w:r w:rsidR="001B5338">
        <w:rPr>
          <w:rFonts w:asciiTheme="majorHAnsi" w:hAnsiTheme="majorHAnsi" w:cstheme="majorHAnsi"/>
          <w:szCs w:val="18"/>
        </w:rPr>
        <w:t>s</w:t>
      </w:r>
      <w:r w:rsidR="001B5338" w:rsidRPr="00B56D38">
        <w:rPr>
          <w:rFonts w:asciiTheme="majorHAnsi" w:hAnsiTheme="majorHAnsi" w:cstheme="majorHAnsi"/>
          <w:szCs w:val="18"/>
        </w:rPr>
        <w:t>hippers</w:t>
      </w:r>
      <w:r w:rsidR="001B5338">
        <w:rPr>
          <w:rFonts w:asciiTheme="majorHAnsi" w:hAnsiTheme="majorHAnsi" w:cstheme="majorHAnsi"/>
          <w:szCs w:val="18"/>
        </w:rPr>
        <w:t>,</w:t>
      </w:r>
      <w:r w:rsidR="001B5338" w:rsidRPr="00B56D38">
        <w:rPr>
          <w:rFonts w:asciiTheme="majorHAnsi" w:hAnsiTheme="majorHAnsi" w:cstheme="majorHAnsi"/>
          <w:szCs w:val="18"/>
        </w:rPr>
        <w:t xml:space="preserve"> </w:t>
      </w:r>
      <w:r w:rsidR="001B5338" w:rsidRPr="00B56D38">
        <w:rPr>
          <w:rFonts w:asciiTheme="majorHAnsi" w:hAnsiTheme="majorHAnsi" w:cstheme="majorHAnsi"/>
          <w:szCs w:val="18"/>
        </w:rPr>
        <w:lastRenderedPageBreak/>
        <w:t xml:space="preserve">consumer </w:t>
      </w:r>
      <w:r w:rsidR="001B5338">
        <w:rPr>
          <w:rFonts w:asciiTheme="majorHAnsi" w:hAnsiTheme="majorHAnsi" w:cstheme="majorHAnsi"/>
          <w:szCs w:val="18"/>
        </w:rPr>
        <w:t xml:space="preserve">and user </w:t>
      </w:r>
      <w:r w:rsidR="001B5338" w:rsidRPr="00B56D38">
        <w:rPr>
          <w:rFonts w:asciiTheme="majorHAnsi" w:hAnsiTheme="majorHAnsi" w:cstheme="majorHAnsi"/>
          <w:szCs w:val="18"/>
        </w:rPr>
        <w:t xml:space="preserve">groups </w:t>
      </w:r>
      <w:r w:rsidR="001B5338">
        <w:rPr>
          <w:rFonts w:asciiTheme="majorHAnsi" w:hAnsiTheme="majorHAnsi" w:cstheme="majorHAnsi"/>
          <w:szCs w:val="18"/>
        </w:rPr>
        <w:t xml:space="preserve">supported this proposal but noted that before making a determination, AEMO should be required to consult with interested parties. A number of service providers, on the other hand, were of the view that they should be accorded responsibility for determining </w:t>
      </w:r>
      <w:r>
        <w:rPr>
          <w:rFonts w:asciiTheme="majorHAnsi" w:hAnsiTheme="majorHAnsi" w:cstheme="majorHAnsi"/>
          <w:szCs w:val="18"/>
        </w:rPr>
        <w:t xml:space="preserve">the </w:t>
      </w:r>
      <w:r w:rsidR="001B5338">
        <w:rPr>
          <w:rFonts w:asciiTheme="majorHAnsi" w:hAnsiTheme="majorHAnsi" w:cstheme="majorHAnsi"/>
          <w:szCs w:val="18"/>
        </w:rPr>
        <w:t>zones</w:t>
      </w:r>
      <w:r>
        <w:rPr>
          <w:rFonts w:asciiTheme="majorHAnsi" w:hAnsiTheme="majorHAnsi" w:cstheme="majorHAnsi"/>
          <w:szCs w:val="18"/>
        </w:rPr>
        <w:t xml:space="preserve"> on their transportation facilities</w:t>
      </w:r>
      <w:r w:rsidR="001B5338">
        <w:rPr>
          <w:rFonts w:asciiTheme="majorHAnsi" w:hAnsiTheme="majorHAnsi" w:cstheme="majorHAnsi"/>
          <w:szCs w:val="18"/>
        </w:rPr>
        <w:t>.</w:t>
      </w:r>
    </w:p>
    <w:p w14:paraId="21FB6130" w14:textId="77777777" w:rsidR="001B5338" w:rsidRPr="003356F6" w:rsidRDefault="00F038F5" w:rsidP="001B5338">
      <w:pPr>
        <w:pStyle w:val="ListBullet"/>
        <w:ind w:left="357" w:hanging="357"/>
      </w:pPr>
      <w:r>
        <w:rPr>
          <w:b/>
        </w:rPr>
        <w:t xml:space="preserve">The proposal to </w:t>
      </w:r>
      <w:r w:rsidR="001B5338">
        <w:rPr>
          <w:b/>
        </w:rPr>
        <w:t xml:space="preserve">utilise the hybrid point-to-point / zonal contract path model in the </w:t>
      </w:r>
      <w:r w:rsidR="003F32C9">
        <w:rPr>
          <w:b/>
        </w:rPr>
        <w:t xml:space="preserve">day-ahead </w:t>
      </w:r>
      <w:r w:rsidR="001B5338">
        <w:rPr>
          <w:b/>
        </w:rPr>
        <w:t xml:space="preserve">auction: </w:t>
      </w:r>
      <w:r w:rsidR="001B5338">
        <w:t>Most stakeholders agreed that the hybrid model, which mirrors the approach used in the capacity trading platform, would yield the most efficient allocation of CBU capacity. However, one stakeholder suggested it went beyond the original recommendations because it allowed shippers to access ‘unused’ capacity at individual receipt and delivery points</w:t>
      </w:r>
      <w:r w:rsidR="003F32C9">
        <w:t>,</w:t>
      </w:r>
      <w:r w:rsidR="001B5338">
        <w:t xml:space="preserve"> rather than being restricted to CBU capacity at those points. </w:t>
      </w:r>
    </w:p>
    <w:p w14:paraId="43CC38C4" w14:textId="77777777" w:rsidR="001B5338" w:rsidRDefault="001B5338" w:rsidP="001B5338">
      <w:pPr>
        <w:pStyle w:val="BodyText"/>
      </w:pPr>
      <w:r>
        <w:t xml:space="preserve">Concerns were also raised by a number of stakeholders about the following matters: </w:t>
      </w:r>
    </w:p>
    <w:p w14:paraId="0CAA983D" w14:textId="77777777" w:rsidR="001B5338" w:rsidRDefault="001B5338" w:rsidP="001B5338">
      <w:pPr>
        <w:pStyle w:val="ListBullet"/>
        <w:ind w:left="357" w:hanging="357"/>
      </w:pPr>
      <w:r>
        <w:rPr>
          <w:b/>
        </w:rPr>
        <w:t xml:space="preserve">AEMO’s </w:t>
      </w:r>
      <w:r w:rsidRPr="00E11EF3">
        <w:rPr>
          <w:b/>
        </w:rPr>
        <w:t>powers</w:t>
      </w:r>
      <w:r>
        <w:rPr>
          <w:b/>
        </w:rPr>
        <w:t xml:space="preserve"> under the new framework</w:t>
      </w:r>
      <w:r>
        <w:t xml:space="preserve">. A number of service providers raised concerns about the breadth of AEMO’s powers under the legal and regulatory framework and noted that further guidance should be provided in the NGR on how AEMO is to exercise some of those powers.  </w:t>
      </w:r>
    </w:p>
    <w:p w14:paraId="079F1842" w14:textId="77777777" w:rsidR="001B5338" w:rsidRDefault="001B5338" w:rsidP="001B5338">
      <w:pPr>
        <w:pStyle w:val="ListBullet"/>
        <w:ind w:left="357" w:hanging="357"/>
      </w:pPr>
      <w:r>
        <w:rPr>
          <w:b/>
        </w:rPr>
        <w:t xml:space="preserve">The resources available to the AER to carry out its new functions: </w:t>
      </w:r>
      <w:r w:rsidRPr="0075732E">
        <w:t>A number</w:t>
      </w:r>
      <w:r>
        <w:rPr>
          <w:b/>
        </w:rPr>
        <w:t xml:space="preserve"> </w:t>
      </w:r>
      <w:r>
        <w:t>of consumer and user representatives noted that the AER is expected to play a critical role in monitoring the compliance of service providers and other market participants with the reforms and stressed the importance of the AER being adequately resourced</w:t>
      </w:r>
      <w:r w:rsidR="00F038F5">
        <w:t xml:space="preserve"> to do so</w:t>
      </w:r>
      <w:r>
        <w:t>. A number of stakeholders also suggested that the AER be accorded responsibility for undertaking the following transitional roles:</w:t>
      </w:r>
    </w:p>
    <w:p w14:paraId="7D724303" w14:textId="77777777" w:rsidR="001B5338" w:rsidRPr="00A86414" w:rsidRDefault="001B5338" w:rsidP="001B5338">
      <w:pPr>
        <w:pStyle w:val="ListBullet2"/>
        <w:ind w:left="714" w:hanging="357"/>
      </w:pPr>
      <w:r>
        <w:t xml:space="preserve">conducting a review of </w:t>
      </w:r>
      <w:r w:rsidR="003F32C9">
        <w:t xml:space="preserve">transportation </w:t>
      </w:r>
      <w:r>
        <w:t>service providers’ standard OTSAs</w:t>
      </w:r>
      <w:r w:rsidR="003F32C9">
        <w:t xml:space="preserve"> and their </w:t>
      </w:r>
      <w:r>
        <w:t xml:space="preserve">standardisation costs </w:t>
      </w:r>
      <w:r w:rsidR="003F32C9">
        <w:t xml:space="preserve">and charges </w:t>
      </w:r>
      <w:r>
        <w:t>within 6-12 months of the reforms being implemented to ensure that they comply with the relevant provisions in the NGR</w:t>
      </w:r>
      <w:r w:rsidR="003F32C9">
        <w:t xml:space="preserve"> and Code</w:t>
      </w:r>
      <w:r>
        <w:t>; and</w:t>
      </w:r>
    </w:p>
    <w:p w14:paraId="2381BC48" w14:textId="77777777" w:rsidR="001B5338" w:rsidRDefault="001B5338" w:rsidP="001B5338">
      <w:pPr>
        <w:pStyle w:val="ListBullet2"/>
        <w:ind w:left="714" w:hanging="357"/>
      </w:pPr>
      <w:r>
        <w:t xml:space="preserve">determining, in response to an application by a gas-fired generator (or supplier to a gas-fired generator), whether its transportation services are capable of being treated as a </w:t>
      </w:r>
      <w:r w:rsidR="003F32C9">
        <w:t xml:space="preserve">transitional firm </w:t>
      </w:r>
      <w:r>
        <w:t>right for the purposes of the auction.</w:t>
      </w:r>
    </w:p>
    <w:p w14:paraId="4320E91A" w14:textId="77777777" w:rsidR="001B5338" w:rsidRDefault="001B5338" w:rsidP="001B5338">
      <w:pPr>
        <w:pStyle w:val="ListBullet"/>
        <w:ind w:left="357" w:hanging="357"/>
      </w:pPr>
      <w:r>
        <w:rPr>
          <w:b/>
        </w:rPr>
        <w:t xml:space="preserve">The proposed timing of the reforms and obligations: </w:t>
      </w:r>
      <w:r w:rsidRPr="001F138F">
        <w:t xml:space="preserve">A </w:t>
      </w:r>
      <w:r>
        <w:t xml:space="preserve">small </w:t>
      </w:r>
      <w:r w:rsidRPr="001F138F">
        <w:t>number of</w:t>
      </w:r>
      <w:r>
        <w:rPr>
          <w:b/>
        </w:rPr>
        <w:t xml:space="preserve"> </w:t>
      </w:r>
      <w:r>
        <w:t>stakeholders suggested that, rather than implementing the auction and capacity trading platform on 1 March 2019, a staged approach to implementation be adopted, by either delaying the commencement of the auction or only applying the auction to select routes and services. Some stakeholders also noted the need for more time to comply with a number of obligations and questioned when a facility would become subject to the auction if an exemption is revoked.</w:t>
      </w:r>
    </w:p>
    <w:p w14:paraId="609B6734" w14:textId="77777777" w:rsidR="001B5338" w:rsidRDefault="001B5338" w:rsidP="001B5338">
      <w:pPr>
        <w:pStyle w:val="ListBullet"/>
        <w:spacing w:before="0" w:after="0"/>
        <w:ind w:left="357" w:hanging="357"/>
      </w:pPr>
      <w:r>
        <w:rPr>
          <w:b/>
        </w:rPr>
        <w:t xml:space="preserve">The liabilities service providers may be exposed to when implementing the harmonised times and the auction: </w:t>
      </w:r>
      <w:r w:rsidRPr="001F138F">
        <w:t xml:space="preserve">A number of </w:t>
      </w:r>
      <w:r>
        <w:t>service providers</w:t>
      </w:r>
      <w:r w:rsidRPr="001F138F">
        <w:t xml:space="preserve"> noted that </w:t>
      </w:r>
      <w:r>
        <w:t xml:space="preserve">the requirement in the NGL and NGR to implement the harmonised times and the auction priority and scheduling principles, may result in a breach of </w:t>
      </w:r>
      <w:r w:rsidRPr="00A56268">
        <w:t>their existing contractual obligations</w:t>
      </w:r>
      <w:r>
        <w:t>. It was therefore suggested that a number of immunity provisions be included in the NGL.</w:t>
      </w:r>
    </w:p>
    <w:p w14:paraId="44D33126" w14:textId="77777777" w:rsidR="001B5338" w:rsidRDefault="001B5338" w:rsidP="001B5338">
      <w:pPr>
        <w:pStyle w:val="ListBullet"/>
        <w:numPr>
          <w:ilvl w:val="0"/>
          <w:numId w:val="0"/>
        </w:numPr>
        <w:spacing w:after="0" w:line="250" w:lineRule="auto"/>
        <w:sectPr w:rsidR="001B5338" w:rsidSect="00C0654C">
          <w:headerReference w:type="default" r:id="rId24"/>
          <w:footerReference w:type="default" r:id="rId25"/>
          <w:pgSz w:w="11907" w:h="16839" w:code="9"/>
          <w:pgMar w:top="1361" w:right="1418" w:bottom="992" w:left="1701" w:header="567" w:footer="397" w:gutter="0"/>
          <w:cols w:space="708"/>
          <w:docGrid w:linePitch="360"/>
        </w:sectPr>
      </w:pPr>
    </w:p>
    <w:p w14:paraId="751150EC" w14:textId="6AF7805E" w:rsidR="001B5338" w:rsidRDefault="001B5338" w:rsidP="001B5338">
      <w:pPr>
        <w:pStyle w:val="Caption"/>
        <w:spacing w:before="0" w:after="0"/>
      </w:pPr>
      <w:bookmarkStart w:id="17" w:name="_Ref514357032"/>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1</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2</w:t>
      </w:r>
      <w:r w:rsidR="002B13EB">
        <w:rPr>
          <w:noProof/>
        </w:rPr>
        <w:fldChar w:fldCharType="end"/>
      </w:r>
      <w:bookmarkEnd w:id="17"/>
      <w:r>
        <w:t>: Snapshot of stakeholder feedback</w:t>
      </w:r>
    </w:p>
    <w:p w14:paraId="345A70EF" w14:textId="77777777" w:rsidR="001B5338" w:rsidRDefault="001B5338" w:rsidP="001B5338">
      <w:pPr>
        <w:pStyle w:val="ListBullet"/>
        <w:numPr>
          <w:ilvl w:val="0"/>
          <w:numId w:val="0"/>
        </w:numPr>
        <w:spacing w:before="0" w:after="0" w:line="240" w:lineRule="auto"/>
        <w:sectPr w:rsidR="001B5338" w:rsidSect="001B5338">
          <w:footerReference w:type="default" r:id="rId26"/>
          <w:pgSz w:w="23811" w:h="16838" w:orient="landscape" w:code="8"/>
          <w:pgMar w:top="1361" w:right="1418" w:bottom="992" w:left="1701" w:header="567" w:footer="397" w:gutter="0"/>
          <w:cols w:space="708"/>
          <w:docGrid w:linePitch="360"/>
        </w:sectPr>
      </w:pPr>
      <w:r w:rsidRPr="00482B36">
        <w:rPr>
          <w:noProof/>
        </w:rPr>
        <w:drawing>
          <wp:inline distT="0" distB="0" distL="0" distR="0" wp14:anchorId="5334CACA" wp14:editId="2B549036">
            <wp:extent cx="12787200" cy="8629200"/>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787200" cy="8629200"/>
                    </a:xfrm>
                    <a:prstGeom prst="rect">
                      <a:avLst/>
                    </a:prstGeom>
                    <a:noFill/>
                    <a:ln>
                      <a:noFill/>
                    </a:ln>
                  </pic:spPr>
                </pic:pic>
              </a:graphicData>
            </a:graphic>
          </wp:inline>
        </w:drawing>
      </w:r>
    </w:p>
    <w:p w14:paraId="0CAB5CC4" w14:textId="77777777" w:rsidR="001B5338" w:rsidRDefault="001B5338" w:rsidP="001B5338">
      <w:pPr>
        <w:pStyle w:val="BodyText"/>
        <w:spacing w:before="200" w:after="0"/>
      </w:pPr>
      <w:r>
        <w:lastRenderedPageBreak/>
        <w:t>In addition to this feedback, stakeholders provided extensive feedback on the proposed drafting of the NGL, Regulations, NGR and the Code. A number of s</w:t>
      </w:r>
      <w:r w:rsidRPr="00E11EF3">
        <w:t>takeholders</w:t>
      </w:r>
      <w:r>
        <w:t xml:space="preserve"> also suggested that a post-implementation review of the effectiveness of the reforms be carried out and, as part of this review, consideration </w:t>
      </w:r>
      <w:r w:rsidR="00DC59F0">
        <w:t xml:space="preserve">be </w:t>
      </w:r>
      <w:r>
        <w:t xml:space="preserve">given to whether any further refinements to the design of the </w:t>
      </w:r>
      <w:r w:rsidR="00282878">
        <w:t xml:space="preserve">day-ahead </w:t>
      </w:r>
      <w:r>
        <w:t xml:space="preserve">auction may be required.  </w:t>
      </w:r>
      <w:r w:rsidR="00DC59F0">
        <w:t>Several</w:t>
      </w:r>
      <w:r>
        <w:t xml:space="preserve"> consumer and user representatives noted that in carrying out such a review careful consideration should be given to how end-users and consumers would benefit from the reforms.</w:t>
      </w:r>
    </w:p>
    <w:p w14:paraId="251279CF" w14:textId="77777777" w:rsidR="00346135" w:rsidRDefault="00F038F5" w:rsidP="001B5338">
      <w:pPr>
        <w:pStyle w:val="BodyText"/>
        <w:spacing w:before="200" w:after="0"/>
      </w:pPr>
      <w:r>
        <w:rPr>
          <w:lang w:val="en-US" w:eastAsia="en-US"/>
        </w:rPr>
        <w:t xml:space="preserve">Further detail on </w:t>
      </w:r>
      <w:r w:rsidR="00E0726C">
        <w:rPr>
          <w:lang w:val="en-US" w:eastAsia="en-US"/>
        </w:rPr>
        <w:t xml:space="preserve">the feedback provided by stakeholders and the GMRG’s response to this feedback is provided </w:t>
      </w:r>
      <w:r>
        <w:rPr>
          <w:lang w:val="en-US" w:eastAsia="en-US"/>
        </w:rPr>
        <w:t xml:space="preserve">in </w:t>
      </w:r>
      <w:r w:rsidR="00E0726C" w:rsidRPr="00E0726C">
        <w:rPr>
          <w:b/>
          <w:lang w:val="en-US" w:eastAsia="en-US"/>
        </w:rPr>
        <w:t xml:space="preserve">Appendix </w:t>
      </w:r>
      <w:r w:rsidR="00186F52">
        <w:rPr>
          <w:b/>
          <w:lang w:val="en-US" w:eastAsia="en-US"/>
        </w:rPr>
        <w:t>A</w:t>
      </w:r>
      <w:r w:rsidR="00E0726C" w:rsidRPr="00E0726C">
        <w:rPr>
          <w:b/>
          <w:lang w:val="en-US" w:eastAsia="en-US"/>
        </w:rPr>
        <w:t>.</w:t>
      </w:r>
    </w:p>
    <w:p w14:paraId="50D7D34A" w14:textId="77777777" w:rsidR="001B5338" w:rsidRDefault="001B5338" w:rsidP="001B5338">
      <w:pPr>
        <w:pStyle w:val="Heading2"/>
        <w:spacing w:before="240" w:line="252" w:lineRule="auto"/>
      </w:pPr>
      <w:bookmarkStart w:id="18" w:name="_Toc515276992"/>
      <w:bookmarkStart w:id="19" w:name="_Toc530546449"/>
      <w:r>
        <w:t>Final legal and regulatory framework</w:t>
      </w:r>
      <w:bookmarkEnd w:id="18"/>
      <w:bookmarkEnd w:id="19"/>
    </w:p>
    <w:p w14:paraId="02D1969A" w14:textId="77777777" w:rsidR="00F038F5" w:rsidRDefault="001B5338" w:rsidP="001B5338">
      <w:pPr>
        <w:pStyle w:val="BodyText"/>
        <w:spacing w:before="120" w:line="252" w:lineRule="auto"/>
      </w:pPr>
      <w:r>
        <w:t>Having regard to the feedback provided by stakeholders, the GMRG developed its final recommendations on the</w:t>
      </w:r>
      <w:r w:rsidR="00F038F5">
        <w:t xml:space="preserve"> following matters for Energy Council consideration and approval in June 2018:</w:t>
      </w:r>
      <w:r>
        <w:t xml:space="preserve"> </w:t>
      </w:r>
    </w:p>
    <w:p w14:paraId="3D8B47D2" w14:textId="77777777" w:rsidR="00F038F5" w:rsidRDefault="00F038F5" w:rsidP="00F038F5">
      <w:pPr>
        <w:pStyle w:val="ListBullet"/>
      </w:pPr>
      <w:r>
        <w:t>the proposed refinements to the design of the capacity trading reform package</w:t>
      </w:r>
      <w:r w:rsidR="005654DE">
        <w:t xml:space="preserve"> (see Table 1.3 for a summary of the GMRG’s final recommendations)</w:t>
      </w:r>
      <w:r>
        <w:t>; and</w:t>
      </w:r>
    </w:p>
    <w:p w14:paraId="234F0DC6" w14:textId="77777777" w:rsidR="00F038F5" w:rsidRDefault="00F038F5" w:rsidP="00F038F5">
      <w:pPr>
        <w:pStyle w:val="ListBullet"/>
      </w:pPr>
      <w:r>
        <w:t xml:space="preserve">the </w:t>
      </w:r>
      <w:r w:rsidR="001B5338">
        <w:t>legal and regulatory framework required to give effect to the reform</w:t>
      </w:r>
      <w:r>
        <w:t xml:space="preserve"> package.</w:t>
      </w:r>
    </w:p>
    <w:p w14:paraId="2AD01E2D" w14:textId="77777777" w:rsidR="0036532E" w:rsidRPr="0036532E" w:rsidRDefault="005654DE" w:rsidP="0036532E">
      <w:pPr>
        <w:pStyle w:val="BodyText"/>
        <w:spacing w:line="252" w:lineRule="auto"/>
        <w:rPr>
          <w:rFonts w:asciiTheme="majorHAnsi" w:hAnsiTheme="majorHAnsi" w:cstheme="majorHAnsi"/>
        </w:rPr>
      </w:pPr>
      <w:r w:rsidRPr="0036532E">
        <w:rPr>
          <w:rFonts w:asciiTheme="majorHAnsi" w:hAnsiTheme="majorHAnsi" w:cstheme="majorHAnsi"/>
        </w:rPr>
        <w:t>The GMRG’s final recommendations were approved by the Energy Council out of session on 29 June 2018.</w:t>
      </w:r>
      <w:r w:rsidR="003F32C9" w:rsidRPr="0036532E">
        <w:rPr>
          <w:rFonts w:asciiTheme="majorHAnsi" w:hAnsiTheme="majorHAnsi" w:cstheme="majorHAnsi"/>
        </w:rPr>
        <w:t xml:space="preserve"> </w:t>
      </w:r>
      <w:r w:rsidR="0036532E" w:rsidRPr="0036532E">
        <w:rPr>
          <w:rFonts w:asciiTheme="majorHAnsi" w:hAnsiTheme="majorHAnsi" w:cstheme="majorHAnsi"/>
        </w:rPr>
        <w:t xml:space="preserve">The Energy Council also agreed at this time that the Senior Committee of Officials (SCO) would conduct a review of the capacity trading reforms two years following implementation. This review will be informed by the AEMC’s biennial review </w:t>
      </w:r>
      <w:r w:rsidR="0036532E" w:rsidRPr="0036532E">
        <w:rPr>
          <w:rFonts w:asciiTheme="majorHAnsi" w:hAnsiTheme="majorHAnsi" w:cstheme="majorHAnsi"/>
          <w:lang w:val="en-US"/>
        </w:rPr>
        <w:t>into the growth in liquidity in wholesale gas and pipeline trading markets, which is due to be completed in mid-2020.</w:t>
      </w:r>
    </w:p>
    <w:p w14:paraId="0D227580" w14:textId="77777777" w:rsidR="001B5338" w:rsidRDefault="001B5338" w:rsidP="005654DE">
      <w:pPr>
        <w:pStyle w:val="BodyText"/>
        <w:spacing w:line="252" w:lineRule="auto"/>
      </w:pPr>
      <w:r w:rsidRPr="00FC4FD0">
        <w:t xml:space="preserve">The key elements of the </w:t>
      </w:r>
      <w:r w:rsidR="005654DE">
        <w:t xml:space="preserve">final </w:t>
      </w:r>
      <w:r w:rsidRPr="00FC4FD0">
        <w:t xml:space="preserve">legal and regulatory framework </w:t>
      </w:r>
      <w:r w:rsidR="005654DE">
        <w:t xml:space="preserve">that were approved by the Energy Council </w:t>
      </w:r>
      <w:r w:rsidRPr="00FC4FD0">
        <w:t>are depicted in Figure 1.1</w:t>
      </w:r>
      <w:r w:rsidRPr="00DC3EB8">
        <w:t xml:space="preserve">. </w:t>
      </w:r>
      <w:r w:rsidR="00282878">
        <w:t xml:space="preserve">As this figure shows, </w:t>
      </w:r>
      <w:r>
        <w:t xml:space="preserve">the legal and regulatory framework </w:t>
      </w:r>
      <w:r w:rsidR="00282878">
        <w:t xml:space="preserve">includes </w:t>
      </w:r>
      <w:r>
        <w:t xml:space="preserve">a number of transitional provisions in the NGL (Schedule 3) and NGR (Schedule 5) that are designed to assist market participants, AEMO and the AER with the transition to the new framework. </w:t>
      </w:r>
      <w:r>
        <w:rPr>
          <w:rStyle w:val="CommentReference"/>
          <w:rFonts w:asciiTheme="minorHAnsi" w:eastAsiaTheme="minorHAnsi" w:hAnsiTheme="minorHAnsi" w:cstheme="minorBidi"/>
          <w:lang w:eastAsia="en-US"/>
        </w:rPr>
        <w:t xml:space="preserve"> </w:t>
      </w:r>
    </w:p>
    <w:p w14:paraId="7E02581C" w14:textId="77777777" w:rsidR="001B5338" w:rsidRDefault="001B5338" w:rsidP="001B5338">
      <w:pPr>
        <w:pStyle w:val="BodyText"/>
      </w:pPr>
      <w:r>
        <w:t xml:space="preserve">Where appropriate, the legal and regulatory framework also incorporates stakeholder feedback received on the drafting of specific provisions in the NGL, Regulations and NGR, which are intended to provide market participants with: </w:t>
      </w:r>
    </w:p>
    <w:p w14:paraId="3AFB153F" w14:textId="77777777" w:rsidR="001B5338" w:rsidRDefault="001B5338" w:rsidP="001B5338">
      <w:pPr>
        <w:pStyle w:val="ListBullet"/>
      </w:pPr>
      <w:r>
        <w:t xml:space="preserve">greater clarity about their rights and obligations under the various elements of the capacity trading reform package; and </w:t>
      </w:r>
    </w:p>
    <w:p w14:paraId="4D6ADB17" w14:textId="77777777" w:rsidR="001B5338" w:rsidRDefault="001B5338" w:rsidP="001B5338">
      <w:pPr>
        <w:pStyle w:val="ListBullet"/>
      </w:pPr>
      <w:r>
        <w:t xml:space="preserve">greater confidence in the </w:t>
      </w:r>
      <w:r w:rsidR="00D34AF5">
        <w:t xml:space="preserve">capacity trading </w:t>
      </w:r>
      <w:r>
        <w:t xml:space="preserve">platform and </w:t>
      </w:r>
      <w:r w:rsidR="00282878">
        <w:t xml:space="preserve">day-ahead </w:t>
      </w:r>
      <w:r>
        <w:t>auction by providing for greater levels of transparency, stakeholder consultation and oversight by the AER.</w:t>
      </w:r>
    </w:p>
    <w:p w14:paraId="1763ECF5" w14:textId="77777777" w:rsidR="001B5338" w:rsidRDefault="001B5338" w:rsidP="001B5338">
      <w:pPr>
        <w:pStyle w:val="BodyText"/>
      </w:pPr>
      <w:r>
        <w:t xml:space="preserve">The key changes that have been made to the framework to reflect stakeholder feedback are set out in Box 1.2. </w:t>
      </w:r>
    </w:p>
    <w:p w14:paraId="6F86202F" w14:textId="77777777" w:rsidR="001B5338" w:rsidRDefault="001B5338" w:rsidP="001B5338">
      <w:pPr>
        <w:pStyle w:val="BodyText"/>
        <w:sectPr w:rsidR="001B5338" w:rsidSect="00C0654C">
          <w:headerReference w:type="default" r:id="rId28"/>
          <w:footerReference w:type="default" r:id="rId29"/>
          <w:pgSz w:w="11907" w:h="16839" w:code="9"/>
          <w:pgMar w:top="1361" w:right="1418" w:bottom="992" w:left="1701" w:header="567" w:footer="397" w:gutter="0"/>
          <w:cols w:space="708"/>
          <w:docGrid w:linePitch="360"/>
        </w:sectPr>
      </w:pPr>
    </w:p>
    <w:p w14:paraId="078D9939" w14:textId="55695EF5" w:rsidR="001B5338" w:rsidRDefault="001B5338" w:rsidP="001B5338">
      <w:pPr>
        <w:pStyle w:val="Caption"/>
        <w:spacing w:before="0" w:after="0"/>
      </w:pPr>
      <w:bookmarkStart w:id="20" w:name="_Ref508801738"/>
      <w:bookmarkStart w:id="21" w:name="_Ref514354594"/>
      <w:r>
        <w:lastRenderedPageBreak/>
        <w:t xml:space="preserve">Figure </w:t>
      </w:r>
      <w:r w:rsidR="002633F5">
        <w:rPr>
          <w:noProof/>
        </w:rPr>
        <w:fldChar w:fldCharType="begin"/>
      </w:r>
      <w:r w:rsidR="002633F5">
        <w:rPr>
          <w:noProof/>
        </w:rPr>
        <w:instrText xml:space="preserve"> STYLEREF 1 \s </w:instrText>
      </w:r>
      <w:r w:rsidR="002633F5">
        <w:rPr>
          <w:noProof/>
        </w:rPr>
        <w:fldChar w:fldCharType="separate"/>
      </w:r>
      <w:r w:rsidR="0026074F">
        <w:rPr>
          <w:noProof/>
        </w:rPr>
        <w:t>1</w:t>
      </w:r>
      <w:r w:rsidR="002633F5">
        <w:rPr>
          <w:noProof/>
        </w:rPr>
        <w:fldChar w:fldCharType="end"/>
      </w:r>
      <w:r w:rsidR="00EA7902">
        <w:t>.</w:t>
      </w:r>
      <w:r w:rsidR="002633F5">
        <w:rPr>
          <w:noProof/>
        </w:rPr>
        <w:fldChar w:fldCharType="begin"/>
      </w:r>
      <w:r w:rsidR="002633F5">
        <w:rPr>
          <w:noProof/>
        </w:rPr>
        <w:instrText xml:space="preserve"> SEQ Figure \* ARABIC \s 1 </w:instrText>
      </w:r>
      <w:r w:rsidR="002633F5">
        <w:rPr>
          <w:noProof/>
        </w:rPr>
        <w:fldChar w:fldCharType="separate"/>
      </w:r>
      <w:r w:rsidR="0026074F">
        <w:rPr>
          <w:noProof/>
        </w:rPr>
        <w:t>1</w:t>
      </w:r>
      <w:r w:rsidR="002633F5">
        <w:rPr>
          <w:noProof/>
        </w:rPr>
        <w:fldChar w:fldCharType="end"/>
      </w:r>
      <w:bookmarkEnd w:id="20"/>
      <w:r>
        <w:t xml:space="preserve">: </w:t>
      </w:r>
      <w:r w:rsidR="005654DE">
        <w:t>Final l</w:t>
      </w:r>
      <w:r>
        <w:t xml:space="preserve">egal and regulatory framework </w:t>
      </w:r>
      <w:r w:rsidR="005654DE">
        <w:t>for the capacity trading reform package</w:t>
      </w:r>
    </w:p>
    <w:p w14:paraId="5E3BD3C8" w14:textId="77777777" w:rsidR="00315A3C" w:rsidRDefault="00282878" w:rsidP="001B5338">
      <w:pPr>
        <w:pStyle w:val="BodyText"/>
        <w:spacing w:before="0" w:after="0" w:line="240" w:lineRule="auto"/>
        <w:rPr>
          <w:noProof/>
        </w:rPr>
      </w:pPr>
      <w:r>
        <w:rPr>
          <w:noProof/>
        </w:rPr>
        <w:drawing>
          <wp:inline distT="0" distB="0" distL="0" distR="0" wp14:anchorId="662D1F83" wp14:editId="6C1ED1C2">
            <wp:extent cx="9441180" cy="48006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443975" cy="4802021"/>
                    </a:xfrm>
                    <a:prstGeom prst="rect">
                      <a:avLst/>
                    </a:prstGeom>
                    <a:noFill/>
                  </pic:spPr>
                </pic:pic>
              </a:graphicData>
            </a:graphic>
          </wp:inline>
        </w:drawing>
      </w:r>
    </w:p>
    <w:p w14:paraId="383882B6" w14:textId="77777777" w:rsidR="00282878" w:rsidRDefault="00282878" w:rsidP="001B5338">
      <w:pPr>
        <w:pStyle w:val="BodyText"/>
        <w:spacing w:before="0" w:after="0" w:line="240" w:lineRule="auto"/>
      </w:pPr>
    </w:p>
    <w:p w14:paraId="6AFB5EE6" w14:textId="77777777" w:rsidR="00282878" w:rsidRDefault="00282878" w:rsidP="001B5338">
      <w:pPr>
        <w:pStyle w:val="BodyText"/>
        <w:spacing w:before="0" w:after="0" w:line="240" w:lineRule="auto"/>
      </w:pPr>
    </w:p>
    <w:p w14:paraId="48749524" w14:textId="77777777" w:rsidR="00282878" w:rsidRDefault="00282878" w:rsidP="001B5338">
      <w:pPr>
        <w:pStyle w:val="BodyText"/>
        <w:spacing w:before="0" w:after="0" w:line="240" w:lineRule="auto"/>
        <w:sectPr w:rsidR="00282878" w:rsidSect="00973A7A">
          <w:headerReference w:type="even" r:id="rId31"/>
          <w:headerReference w:type="default" r:id="rId32"/>
          <w:headerReference w:type="first" r:id="rId33"/>
          <w:pgSz w:w="16839" w:h="11907" w:orient="landscape"/>
          <w:pgMar w:top="973" w:right="1418" w:bottom="851" w:left="1701" w:header="567" w:footer="423" w:gutter="0"/>
          <w:cols w:space="720"/>
          <w:docGrid w:linePitch="299"/>
        </w:sectPr>
      </w:pPr>
    </w:p>
    <w:p w14:paraId="3B8A5C05" w14:textId="11B3DA0C" w:rsidR="001B5338" w:rsidRDefault="001B5338" w:rsidP="001B5338">
      <w:pPr>
        <w:pStyle w:val="Caption"/>
        <w:spacing w:before="0" w:after="0"/>
      </w:pPr>
      <w:bookmarkStart w:id="22" w:name="_Ref514357172"/>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1</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3</w:t>
      </w:r>
      <w:r w:rsidR="002B13EB">
        <w:rPr>
          <w:noProof/>
        </w:rPr>
        <w:fldChar w:fldCharType="end"/>
      </w:r>
      <w:bookmarkEnd w:id="21"/>
      <w:bookmarkEnd w:id="22"/>
      <w:r>
        <w:t xml:space="preserve">: </w:t>
      </w:r>
      <w:r w:rsidR="003F32C9">
        <w:t>R</w:t>
      </w:r>
      <w:r>
        <w:t>efinements to the design of the capacity trading reform package</w:t>
      </w:r>
    </w:p>
    <w:tbl>
      <w:tblPr>
        <w:tblStyle w:val="TableGrid"/>
        <w:tblW w:w="14034" w:type="dxa"/>
        <w:tblInd w:w="-284" w:type="dxa"/>
        <w:tblLook w:val="04A0" w:firstRow="1" w:lastRow="0" w:firstColumn="1" w:lastColumn="0" w:noHBand="0" w:noVBand="1"/>
      </w:tblPr>
      <w:tblGrid>
        <w:gridCol w:w="1701"/>
        <w:gridCol w:w="12333"/>
      </w:tblGrid>
      <w:tr w:rsidR="001B5338" w:rsidRPr="00032B04" w14:paraId="020168A6" w14:textId="77777777" w:rsidTr="0041089F">
        <w:trPr>
          <w:cnfStyle w:val="100000000000" w:firstRow="1" w:lastRow="0" w:firstColumn="0" w:lastColumn="0" w:oddVBand="0" w:evenVBand="0" w:oddHBand="0" w:evenHBand="0" w:firstRowFirstColumn="0" w:firstRowLastColumn="0" w:lastRowFirstColumn="0" w:lastRowLastColumn="0"/>
          <w:tblHeader/>
        </w:trPr>
        <w:tc>
          <w:tcPr>
            <w:tcW w:w="1701" w:type="dxa"/>
            <w:tcBorders>
              <w:bottom w:val="single" w:sz="4" w:space="0" w:color="auto"/>
            </w:tcBorders>
            <w:shd w:val="clear" w:color="auto" w:fill="0099CC"/>
          </w:tcPr>
          <w:p w14:paraId="45F912C5" w14:textId="77777777" w:rsidR="001B5338" w:rsidRPr="003B5F7C" w:rsidRDefault="001B5338" w:rsidP="001B5338">
            <w:pPr>
              <w:spacing w:line="259" w:lineRule="auto"/>
              <w:rPr>
                <w:rFonts w:cs="Arial"/>
                <w:szCs w:val="18"/>
              </w:rPr>
            </w:pPr>
            <w:r w:rsidRPr="003B5F7C">
              <w:rPr>
                <w:rFonts w:cs="Arial"/>
                <w:szCs w:val="18"/>
              </w:rPr>
              <w:t>Topic</w:t>
            </w:r>
          </w:p>
        </w:tc>
        <w:tc>
          <w:tcPr>
            <w:tcW w:w="12333" w:type="dxa"/>
            <w:tcBorders>
              <w:bottom w:val="single" w:sz="4" w:space="0" w:color="auto"/>
            </w:tcBorders>
            <w:shd w:val="clear" w:color="auto" w:fill="0099CC"/>
          </w:tcPr>
          <w:p w14:paraId="7F51D911" w14:textId="77777777" w:rsidR="001B5338" w:rsidRPr="003B5F7C" w:rsidRDefault="0041089F" w:rsidP="001B5338">
            <w:pPr>
              <w:spacing w:line="259" w:lineRule="auto"/>
              <w:rPr>
                <w:rFonts w:cs="Arial"/>
                <w:szCs w:val="18"/>
              </w:rPr>
            </w:pPr>
            <w:r>
              <w:rPr>
                <w:rFonts w:cs="Arial"/>
                <w:szCs w:val="18"/>
              </w:rPr>
              <w:t>R</w:t>
            </w:r>
            <w:r w:rsidR="001B5338">
              <w:rPr>
                <w:rFonts w:cs="Arial"/>
                <w:szCs w:val="18"/>
              </w:rPr>
              <w:t>efinement</w:t>
            </w:r>
          </w:p>
        </w:tc>
      </w:tr>
      <w:tr w:rsidR="0041089F" w:rsidRPr="00032B04" w14:paraId="42DBBE6E" w14:textId="77777777" w:rsidTr="0041089F">
        <w:tc>
          <w:tcPr>
            <w:tcW w:w="14034" w:type="dxa"/>
            <w:gridSpan w:val="2"/>
            <w:shd w:val="clear" w:color="auto" w:fill="65697F" w:themeFill="background2" w:themeFillShade="80"/>
          </w:tcPr>
          <w:p w14:paraId="0B186B5E" w14:textId="77777777" w:rsidR="0041089F" w:rsidRPr="0041089F" w:rsidRDefault="0041089F" w:rsidP="0041089F">
            <w:pPr>
              <w:spacing w:line="259" w:lineRule="auto"/>
              <w:jc w:val="center"/>
              <w:rPr>
                <w:rFonts w:cs="Arial"/>
                <w:b/>
                <w:color w:val="FFFFFF" w:themeColor="background1"/>
                <w:szCs w:val="18"/>
              </w:rPr>
            </w:pPr>
            <w:r w:rsidRPr="0041089F">
              <w:rPr>
                <w:rFonts w:cs="Arial"/>
                <w:b/>
                <w:color w:val="FFFFFF" w:themeColor="background1"/>
                <w:szCs w:val="18"/>
              </w:rPr>
              <w:t>Refinements to measures to facilitate capacity trading and the auction</w:t>
            </w:r>
          </w:p>
        </w:tc>
      </w:tr>
      <w:tr w:rsidR="001B5338" w:rsidRPr="00032B04" w14:paraId="7F1B5A41" w14:textId="77777777" w:rsidTr="001B5338">
        <w:trPr>
          <w:cnfStyle w:val="000000010000" w:firstRow="0" w:lastRow="0" w:firstColumn="0" w:lastColumn="0" w:oddVBand="0" w:evenVBand="0" w:oddHBand="0" w:evenHBand="1" w:firstRowFirstColumn="0" w:firstRowLastColumn="0" w:lastRowFirstColumn="0" w:lastRowLastColumn="0"/>
        </w:trPr>
        <w:tc>
          <w:tcPr>
            <w:tcW w:w="1701" w:type="dxa"/>
          </w:tcPr>
          <w:p w14:paraId="03256529" w14:textId="77777777" w:rsidR="001B5338" w:rsidRPr="0082325C" w:rsidRDefault="001B5338" w:rsidP="001B5338">
            <w:pPr>
              <w:spacing w:line="259" w:lineRule="auto"/>
              <w:rPr>
                <w:rFonts w:cs="Arial"/>
                <w:szCs w:val="18"/>
              </w:rPr>
            </w:pPr>
            <w:r w:rsidRPr="0095716A">
              <w:rPr>
                <w:rFonts w:cs="Arial"/>
                <w:szCs w:val="18"/>
              </w:rPr>
              <w:t xml:space="preserve">Exemptions </w:t>
            </w:r>
            <w:r>
              <w:rPr>
                <w:rFonts w:cs="Arial"/>
                <w:szCs w:val="18"/>
              </w:rPr>
              <w:t xml:space="preserve">framework </w:t>
            </w:r>
          </w:p>
        </w:tc>
        <w:tc>
          <w:tcPr>
            <w:tcW w:w="12333" w:type="dxa"/>
          </w:tcPr>
          <w:p w14:paraId="4CA68CF7" w14:textId="77777777" w:rsidR="001B5338" w:rsidRPr="0082325C" w:rsidRDefault="001D3B19" w:rsidP="001B5338">
            <w:pPr>
              <w:spacing w:line="259" w:lineRule="auto"/>
              <w:rPr>
                <w:rFonts w:cs="Arial"/>
                <w:szCs w:val="18"/>
              </w:rPr>
            </w:pPr>
            <w:r>
              <w:rPr>
                <w:rFonts w:cs="Arial"/>
                <w:szCs w:val="18"/>
              </w:rPr>
              <w:t>The capacity trading reform package provides for the following</w:t>
            </w:r>
            <w:r w:rsidR="001B5338" w:rsidRPr="0082325C">
              <w:rPr>
                <w:rFonts w:cs="Arial"/>
                <w:szCs w:val="18"/>
              </w:rPr>
              <w:t>:</w:t>
            </w:r>
          </w:p>
          <w:p w14:paraId="2C7ACCFB" w14:textId="77777777" w:rsidR="001B5338" w:rsidRPr="0082325C" w:rsidRDefault="001B5338" w:rsidP="001B5338">
            <w:pPr>
              <w:pStyle w:val="TableBullet1"/>
            </w:pPr>
            <w:r w:rsidRPr="0082325C">
              <w:rPr>
                <w:szCs w:val="18"/>
              </w:rPr>
              <w:t xml:space="preserve">Exemptions from all aspects of the capacity trading reform package </w:t>
            </w:r>
            <w:r w:rsidR="00C44DB0">
              <w:rPr>
                <w:szCs w:val="18"/>
              </w:rPr>
              <w:t xml:space="preserve">(excluding the secondary capacity reporting framework and the standard market timetable) </w:t>
            </w:r>
            <w:r w:rsidRPr="0082325C">
              <w:rPr>
                <w:szCs w:val="18"/>
              </w:rPr>
              <w:t xml:space="preserve">to be: </w:t>
            </w:r>
          </w:p>
          <w:p w14:paraId="7E167D37" w14:textId="77777777" w:rsidR="001B5338" w:rsidRPr="0082325C" w:rsidRDefault="001B5338" w:rsidP="001B5338">
            <w:pPr>
              <w:pStyle w:val="TableBullet2"/>
            </w:pPr>
            <w:r w:rsidRPr="0082325C">
              <w:rPr>
                <w:szCs w:val="18"/>
              </w:rPr>
              <w:t xml:space="preserve">automatically available to </w:t>
            </w:r>
            <w:r w:rsidRPr="0082325C">
              <w:t>distribution pipelines, a facility that forms part of the DTS and compression</w:t>
            </w:r>
            <w:r w:rsidR="00D51280">
              <w:t xml:space="preserve"> service</w:t>
            </w:r>
            <w:r w:rsidRPr="0082325C">
              <w:t xml:space="preserve"> facilities that are not designated in the Regulations</w:t>
            </w:r>
            <w:r w:rsidRPr="0082325C">
              <w:rPr>
                <w:rStyle w:val="FootnoteReference"/>
              </w:rPr>
              <w:footnoteReference w:id="9"/>
            </w:r>
            <w:r w:rsidRPr="0082325C">
              <w:t xml:space="preserve"> (i.e. certain compression</w:t>
            </w:r>
            <w:r w:rsidR="00D51280">
              <w:t xml:space="preserve"> service</w:t>
            </w:r>
            <w:r w:rsidRPr="0082325C">
              <w:t xml:space="preserve"> facilities at Wallumbilla, Moomba, Iona and Ballera)</w:t>
            </w:r>
            <w:r w:rsidR="00621704">
              <w:t>,</w:t>
            </w:r>
            <w:r w:rsidRPr="0082325C">
              <w:t xml:space="preserve"> or are not stand-alone </w:t>
            </w:r>
            <w:r w:rsidR="00621704">
              <w:t xml:space="preserve">compression </w:t>
            </w:r>
            <w:r w:rsidRPr="0082325C">
              <w:t>facilities; and</w:t>
            </w:r>
          </w:p>
          <w:p w14:paraId="3FCEA47C" w14:textId="77777777" w:rsidR="001B5338" w:rsidRPr="0082325C" w:rsidRDefault="001B5338" w:rsidP="001B5338">
            <w:pPr>
              <w:pStyle w:val="TableBullet2"/>
            </w:pPr>
            <w:r w:rsidRPr="0082325C">
              <w:t>available on application to the AER, to facilities that are not providing third party access.</w:t>
            </w:r>
          </w:p>
          <w:p w14:paraId="75890C79" w14:textId="7BF81306" w:rsidR="001B5338" w:rsidRPr="0082325C" w:rsidRDefault="001B5338" w:rsidP="001B5338">
            <w:pPr>
              <w:pStyle w:val="TableBullet1"/>
            </w:pPr>
            <w:r w:rsidRPr="0082325C">
              <w:t xml:space="preserve">Exemptions from the </w:t>
            </w:r>
            <w:r w:rsidRPr="0082325C">
              <w:rPr>
                <w:b/>
              </w:rPr>
              <w:t>auction</w:t>
            </w:r>
            <w:r w:rsidRPr="0082325C">
              <w:t xml:space="preserve"> and the </w:t>
            </w:r>
            <w:r w:rsidRPr="0082325C">
              <w:rPr>
                <w:b/>
                <w:bCs/>
              </w:rPr>
              <w:t xml:space="preserve">obligation to publish a standard OTSA </w:t>
            </w:r>
            <w:r w:rsidRPr="0082325C">
              <w:rPr>
                <w:bCs/>
              </w:rPr>
              <w:t>to</w:t>
            </w:r>
            <w:r w:rsidRPr="0082325C">
              <w:rPr>
                <w:b/>
                <w:bCs/>
              </w:rPr>
              <w:t xml:space="preserve"> </w:t>
            </w:r>
            <w:r w:rsidRPr="0082325C">
              <w:t xml:space="preserve">be available to facilities with a nameplate rating less than 10 TJ/day or that are servicing a single transportation user (shipper). </w:t>
            </w:r>
            <w:r w:rsidR="00250CEA">
              <w:t>T</w:t>
            </w:r>
            <w:r w:rsidRPr="0082325C">
              <w:t xml:space="preserve">he exemption from the obligation to publish a standard OTSA in these cases does not extend to the obligation to </w:t>
            </w:r>
            <w:r w:rsidRPr="0082325C">
              <w:rPr>
                <w:bCs/>
              </w:rPr>
              <w:t>develop and offer to enter into a standard OTSA if requested to do so by a shipper, or a number of other measures to facilitate capacity trading</w:t>
            </w:r>
            <w:r w:rsidR="001F22F7">
              <w:rPr>
                <w:bCs/>
              </w:rPr>
              <w:t xml:space="preserve">, which is why they are referred to </w:t>
            </w:r>
            <w:r w:rsidR="00621704">
              <w:rPr>
                <w:bCs/>
              </w:rPr>
              <w:t xml:space="preserve">as conditionally exempt facilities </w:t>
            </w:r>
            <w:r w:rsidR="001F22F7">
              <w:rPr>
                <w:bCs/>
              </w:rPr>
              <w:t>in the legal and regulatory framework</w:t>
            </w:r>
            <w:r w:rsidRPr="0082325C">
              <w:rPr>
                <w:bCs/>
              </w:rPr>
              <w:t>.</w:t>
            </w:r>
            <w:r w:rsidRPr="0082325C">
              <w:rPr>
                <w:rStyle w:val="FootnoteReference"/>
                <w:bCs/>
              </w:rPr>
              <w:footnoteReference w:id="10"/>
            </w:r>
            <w:r w:rsidRPr="0082325C">
              <w:rPr>
                <w:bCs/>
              </w:rPr>
              <w:t xml:space="preserve"> </w:t>
            </w:r>
          </w:p>
          <w:p w14:paraId="25B07F96" w14:textId="77777777" w:rsidR="001B5338" w:rsidRPr="0082325C" w:rsidRDefault="00383C66" w:rsidP="00250CEA">
            <w:pPr>
              <w:spacing w:line="259" w:lineRule="auto"/>
              <w:rPr>
                <w:rFonts w:cs="Arial"/>
                <w:szCs w:val="18"/>
              </w:rPr>
            </w:pPr>
            <w:r>
              <w:rPr>
                <w:rFonts w:cs="Arial"/>
                <w:szCs w:val="18"/>
              </w:rPr>
              <w:t xml:space="preserve">The GMRG recommended this approach because it </w:t>
            </w:r>
            <w:r w:rsidR="001B5338" w:rsidRPr="0082325C">
              <w:rPr>
                <w:rFonts w:cs="Arial"/>
                <w:szCs w:val="18"/>
              </w:rPr>
              <w:t xml:space="preserve">is consistent with the overarching objectives of the capacity trading reform package and strikes an appropriate balance between the costs that are likely to be incurred by </w:t>
            </w:r>
            <w:r w:rsidR="00DA16AB">
              <w:rPr>
                <w:rFonts w:cs="Arial"/>
                <w:szCs w:val="18"/>
              </w:rPr>
              <w:t xml:space="preserve">transportation </w:t>
            </w:r>
            <w:r w:rsidR="001B5338" w:rsidRPr="0082325C">
              <w:rPr>
                <w:rFonts w:cs="Arial"/>
                <w:szCs w:val="18"/>
              </w:rPr>
              <w:t xml:space="preserve">service providers and the benefits of </w:t>
            </w:r>
            <w:r w:rsidR="001B4C7E">
              <w:rPr>
                <w:rFonts w:cs="Arial"/>
                <w:szCs w:val="18"/>
              </w:rPr>
              <w:t xml:space="preserve">the </w:t>
            </w:r>
            <w:r w:rsidR="001B5338" w:rsidRPr="0082325C">
              <w:rPr>
                <w:rFonts w:cs="Arial"/>
                <w:szCs w:val="18"/>
              </w:rPr>
              <w:t xml:space="preserve">capacity trading </w:t>
            </w:r>
            <w:r w:rsidR="001B4C7E">
              <w:rPr>
                <w:rFonts w:cs="Arial"/>
                <w:szCs w:val="18"/>
              </w:rPr>
              <w:t xml:space="preserve">reforms </w:t>
            </w:r>
            <w:r w:rsidR="001B5338" w:rsidRPr="0082325C">
              <w:rPr>
                <w:rFonts w:cs="Arial"/>
                <w:szCs w:val="18"/>
              </w:rPr>
              <w:t xml:space="preserve">that are likely to be experienced, particularly in the early stages of the market’s development. </w:t>
            </w:r>
            <w:r>
              <w:rPr>
                <w:rFonts w:cs="Arial"/>
                <w:szCs w:val="18"/>
              </w:rPr>
              <w:t xml:space="preserve">The GMRG also noted though that </w:t>
            </w:r>
            <w:r w:rsidR="001B5338" w:rsidRPr="0082325C">
              <w:rPr>
                <w:rFonts w:cs="Arial"/>
                <w:szCs w:val="18"/>
              </w:rPr>
              <w:t>there would be value in any post implementation review considering the feasibility and the costs and benefits of extend</w:t>
            </w:r>
            <w:r w:rsidR="00250CEA">
              <w:rPr>
                <w:rFonts w:cs="Arial"/>
                <w:szCs w:val="18"/>
              </w:rPr>
              <w:t>ing</w:t>
            </w:r>
            <w:r w:rsidR="001B5338" w:rsidRPr="0082325C">
              <w:rPr>
                <w:rFonts w:cs="Arial"/>
                <w:szCs w:val="18"/>
              </w:rPr>
              <w:t xml:space="preserve"> the coverage of the reforms to include distribution pipelines and facilities with a nameplate rating less than 10 TJ/day</w:t>
            </w:r>
            <w:r w:rsidR="00250CEA">
              <w:rPr>
                <w:rFonts w:cs="Arial"/>
                <w:szCs w:val="18"/>
              </w:rPr>
              <w:t xml:space="preserve">, as proposed by </w:t>
            </w:r>
            <w:r w:rsidR="00250CEA" w:rsidRPr="0082325C">
              <w:rPr>
                <w:rFonts w:cs="Arial"/>
                <w:szCs w:val="18"/>
              </w:rPr>
              <w:t>a number of consumer and user representatives</w:t>
            </w:r>
            <w:r w:rsidR="001B5338" w:rsidRPr="0082325C">
              <w:rPr>
                <w:rFonts w:cs="Arial"/>
                <w:szCs w:val="18"/>
              </w:rPr>
              <w:t xml:space="preserve">. </w:t>
            </w:r>
          </w:p>
        </w:tc>
      </w:tr>
      <w:tr w:rsidR="001B5338" w:rsidRPr="00032B04" w14:paraId="50AA56DA" w14:textId="77777777" w:rsidTr="001B5338">
        <w:tc>
          <w:tcPr>
            <w:tcW w:w="1701" w:type="dxa"/>
          </w:tcPr>
          <w:p w14:paraId="57627BBA" w14:textId="77777777" w:rsidR="001B5338" w:rsidRPr="0095716A" w:rsidRDefault="001B5338" w:rsidP="001B5338">
            <w:pPr>
              <w:spacing w:before="40" w:after="40" w:line="259" w:lineRule="auto"/>
              <w:rPr>
                <w:rFonts w:cs="Arial"/>
                <w:szCs w:val="18"/>
              </w:rPr>
            </w:pPr>
            <w:r>
              <w:rPr>
                <w:rFonts w:cs="Arial"/>
                <w:szCs w:val="18"/>
              </w:rPr>
              <w:t>Role of the AER in approving amendments to the Code</w:t>
            </w:r>
          </w:p>
        </w:tc>
        <w:tc>
          <w:tcPr>
            <w:tcW w:w="12333" w:type="dxa"/>
          </w:tcPr>
          <w:p w14:paraId="7831822E" w14:textId="77777777" w:rsidR="001B5338" w:rsidRDefault="001D3B19" w:rsidP="001B5338">
            <w:pPr>
              <w:pStyle w:val="TableBullet1"/>
              <w:numPr>
                <w:ilvl w:val="0"/>
                <w:numId w:val="0"/>
              </w:numPr>
              <w:spacing w:before="40" w:after="40" w:line="259" w:lineRule="auto"/>
              <w:ind w:left="85"/>
              <w:rPr>
                <w:szCs w:val="18"/>
              </w:rPr>
            </w:pPr>
            <w:r>
              <w:rPr>
                <w:szCs w:val="18"/>
              </w:rPr>
              <w:t xml:space="preserve">The capacity trading reform package provides for the AER to </w:t>
            </w:r>
            <w:r w:rsidR="001B5338">
              <w:rPr>
                <w:szCs w:val="18"/>
              </w:rPr>
              <w:t>approve, remit or reject recommendations made by the Panel</w:t>
            </w:r>
            <w:r>
              <w:rPr>
                <w:szCs w:val="18"/>
              </w:rPr>
              <w:t xml:space="preserve"> and </w:t>
            </w:r>
            <w:r w:rsidR="001B5338" w:rsidRPr="003C2D90">
              <w:rPr>
                <w:lang w:eastAsia="fr-CA"/>
              </w:rPr>
              <w:t>to amend the Code on its own initiative</w:t>
            </w:r>
            <w:r w:rsidR="001B5338">
              <w:rPr>
                <w:lang w:eastAsia="fr-CA"/>
              </w:rPr>
              <w:t>, following consultation with the Panel, AEMO and other interested parties</w:t>
            </w:r>
            <w:r w:rsidR="001B5338" w:rsidRPr="00793CE9">
              <w:rPr>
                <w:lang w:eastAsia="fr-CA"/>
              </w:rPr>
              <w:t>.</w:t>
            </w:r>
            <w:r w:rsidR="001B5338">
              <w:rPr>
                <w:lang w:eastAsia="fr-CA"/>
              </w:rPr>
              <w:t xml:space="preserve"> </w:t>
            </w:r>
            <w:r w:rsidR="001F22F7">
              <w:rPr>
                <w:szCs w:val="18"/>
              </w:rPr>
              <w:t xml:space="preserve">Allowing the AER to make amendments on its own initiative </w:t>
            </w:r>
            <w:r w:rsidR="001B5338" w:rsidRPr="00462811">
              <w:rPr>
                <w:szCs w:val="18"/>
              </w:rPr>
              <w:t xml:space="preserve">is not intended to circumvent the Panel. Rather, it is to provide the Panel with an additional incentive to work effectively </w:t>
            </w:r>
            <w:r>
              <w:rPr>
                <w:szCs w:val="18"/>
              </w:rPr>
              <w:t>and ensure that an</w:t>
            </w:r>
            <w:r w:rsidR="00DE29F2">
              <w:rPr>
                <w:szCs w:val="18"/>
              </w:rPr>
              <w:t>y</w:t>
            </w:r>
            <w:r>
              <w:rPr>
                <w:szCs w:val="18"/>
              </w:rPr>
              <w:t xml:space="preserve"> impasse </w:t>
            </w:r>
            <w:r w:rsidRPr="00363DF3">
              <w:rPr>
                <w:szCs w:val="18"/>
              </w:rPr>
              <w:t xml:space="preserve">within the Panel </w:t>
            </w:r>
            <w:r>
              <w:rPr>
                <w:szCs w:val="18"/>
              </w:rPr>
              <w:t>does not adversely affect the development of the secondary capacity market</w:t>
            </w:r>
            <w:r w:rsidR="00DE29F2">
              <w:rPr>
                <w:szCs w:val="18"/>
              </w:rPr>
              <w:t xml:space="preserve"> and the day-ahead auction</w:t>
            </w:r>
            <w:r>
              <w:rPr>
                <w:szCs w:val="18"/>
              </w:rPr>
              <w:t xml:space="preserve">. </w:t>
            </w:r>
            <w:r w:rsidR="001B5338">
              <w:rPr>
                <w:szCs w:val="18"/>
              </w:rPr>
              <w:t xml:space="preserve">As a number of stakeholders pointed out, it will be important that, when exercising this power, the AER consult with stakeholders. </w:t>
            </w:r>
            <w:r>
              <w:rPr>
                <w:szCs w:val="18"/>
              </w:rPr>
              <w:t>Part 24 of t</w:t>
            </w:r>
            <w:r w:rsidR="001B5338">
              <w:rPr>
                <w:szCs w:val="18"/>
              </w:rPr>
              <w:t xml:space="preserve">he </w:t>
            </w:r>
            <w:r>
              <w:rPr>
                <w:szCs w:val="18"/>
              </w:rPr>
              <w:t xml:space="preserve">NGR </w:t>
            </w:r>
            <w:r w:rsidR="001B5338">
              <w:rPr>
                <w:szCs w:val="18"/>
              </w:rPr>
              <w:t>provides for this to occur and also allows the AER to seek the advice of consumer and industry representatives</w:t>
            </w:r>
            <w:r w:rsidR="00383C66">
              <w:rPr>
                <w:szCs w:val="18"/>
              </w:rPr>
              <w:t>.</w:t>
            </w:r>
            <w:r w:rsidR="001B5338">
              <w:rPr>
                <w:szCs w:val="18"/>
              </w:rPr>
              <w:t xml:space="preserve"> </w:t>
            </w:r>
          </w:p>
          <w:p w14:paraId="1E5C2955" w14:textId="77777777" w:rsidR="001B5338" w:rsidRPr="00032B04" w:rsidRDefault="00383C66" w:rsidP="00250CEA">
            <w:pPr>
              <w:pStyle w:val="TableBullet1"/>
              <w:numPr>
                <w:ilvl w:val="0"/>
                <w:numId w:val="0"/>
              </w:numPr>
              <w:spacing w:before="40" w:after="40" w:line="259" w:lineRule="auto"/>
              <w:ind w:left="85"/>
              <w:rPr>
                <w:szCs w:val="18"/>
              </w:rPr>
            </w:pPr>
            <w:r>
              <w:rPr>
                <w:szCs w:val="18"/>
              </w:rPr>
              <w:t xml:space="preserve">The </w:t>
            </w:r>
            <w:r w:rsidR="001B5338" w:rsidRPr="00D41757">
              <w:rPr>
                <w:szCs w:val="18"/>
              </w:rPr>
              <w:t>GMRG</w:t>
            </w:r>
            <w:r>
              <w:rPr>
                <w:szCs w:val="18"/>
              </w:rPr>
              <w:t xml:space="preserve"> recommended this refinement because it </w:t>
            </w:r>
            <w:r w:rsidR="001B5338" w:rsidRPr="00D41757">
              <w:rPr>
                <w:szCs w:val="18"/>
              </w:rPr>
              <w:t xml:space="preserve">provides an appropriate balance between ensuring that </w:t>
            </w:r>
            <w:r w:rsidR="001B5338">
              <w:rPr>
                <w:szCs w:val="18"/>
              </w:rPr>
              <w:t>market participants</w:t>
            </w:r>
            <w:r w:rsidR="001B5338" w:rsidRPr="00D41757">
              <w:rPr>
                <w:szCs w:val="18"/>
              </w:rPr>
              <w:t>, through the Panel, ha</w:t>
            </w:r>
            <w:r w:rsidR="001B5338">
              <w:rPr>
                <w:szCs w:val="18"/>
              </w:rPr>
              <w:t>ve</w:t>
            </w:r>
            <w:r w:rsidR="001B5338" w:rsidRPr="00D41757">
              <w:rPr>
                <w:szCs w:val="18"/>
              </w:rPr>
              <w:t xml:space="preserve"> a central role in the development of the Code, and allowing the AER, as regulator, to ensure the Code is operating as intended</w:t>
            </w:r>
            <w:r w:rsidR="001B5338">
              <w:rPr>
                <w:szCs w:val="18"/>
              </w:rPr>
              <w:t xml:space="preserve"> and continues to promote the NGO and the Code objective, which is to </w:t>
            </w:r>
            <w:r w:rsidR="001B5338">
              <w:t>provide for access to operational transportation services on reasonable terms (which is taken to mean at prices and on other terms and conditions that, so far as practical, reflect the outcomes of a workably competitive market)</w:t>
            </w:r>
            <w:r w:rsidR="001B5338" w:rsidRPr="00D41757">
              <w:rPr>
                <w:szCs w:val="18"/>
              </w:rPr>
              <w:t xml:space="preserve">. </w:t>
            </w:r>
          </w:p>
        </w:tc>
      </w:tr>
      <w:tr w:rsidR="001B5338" w:rsidRPr="00032B04" w14:paraId="6C90A26E" w14:textId="77777777" w:rsidTr="001B5338">
        <w:trPr>
          <w:cnfStyle w:val="000000010000" w:firstRow="0" w:lastRow="0" w:firstColumn="0" w:lastColumn="0" w:oddVBand="0" w:evenVBand="0" w:oddHBand="0" w:evenHBand="1" w:firstRowFirstColumn="0" w:firstRowLastColumn="0" w:lastRowFirstColumn="0" w:lastRowLastColumn="0"/>
        </w:trPr>
        <w:tc>
          <w:tcPr>
            <w:tcW w:w="1701" w:type="dxa"/>
          </w:tcPr>
          <w:p w14:paraId="31D2D325" w14:textId="77777777" w:rsidR="001B5338" w:rsidRPr="0095716A" w:rsidRDefault="001B5338" w:rsidP="001F22F7">
            <w:pPr>
              <w:keepNext/>
              <w:spacing w:before="40" w:after="40" w:line="259" w:lineRule="auto"/>
              <w:rPr>
                <w:rFonts w:cs="Arial"/>
                <w:szCs w:val="18"/>
              </w:rPr>
            </w:pPr>
            <w:r w:rsidRPr="0095716A">
              <w:rPr>
                <w:rFonts w:cs="Arial"/>
                <w:szCs w:val="18"/>
              </w:rPr>
              <w:lastRenderedPageBreak/>
              <w:t xml:space="preserve">Governance of zones </w:t>
            </w:r>
            <w:r>
              <w:rPr>
                <w:rFonts w:cs="Arial"/>
                <w:szCs w:val="18"/>
              </w:rPr>
              <w:t>for trading p</w:t>
            </w:r>
            <w:r w:rsidRPr="0095716A">
              <w:rPr>
                <w:rFonts w:cs="Arial"/>
                <w:szCs w:val="18"/>
              </w:rPr>
              <w:t>latform</w:t>
            </w:r>
            <w:r>
              <w:rPr>
                <w:rFonts w:cs="Arial"/>
                <w:szCs w:val="18"/>
              </w:rPr>
              <w:t>, auction and reporting</w:t>
            </w:r>
          </w:p>
        </w:tc>
        <w:tc>
          <w:tcPr>
            <w:tcW w:w="12333" w:type="dxa"/>
          </w:tcPr>
          <w:p w14:paraId="7FFB0622" w14:textId="77777777" w:rsidR="00CD0300" w:rsidRDefault="001B5338" w:rsidP="001F22F7">
            <w:pPr>
              <w:keepNext/>
              <w:spacing w:before="40" w:after="40" w:line="259" w:lineRule="auto"/>
              <w:rPr>
                <w:rFonts w:cs="Arial"/>
                <w:szCs w:val="18"/>
              </w:rPr>
            </w:pPr>
            <w:r>
              <w:rPr>
                <w:rFonts w:cs="Arial"/>
                <w:szCs w:val="18"/>
              </w:rPr>
              <w:t xml:space="preserve">The </w:t>
            </w:r>
            <w:r w:rsidR="00CD0300">
              <w:rPr>
                <w:rFonts w:cs="Arial"/>
                <w:szCs w:val="18"/>
              </w:rPr>
              <w:t>capacity trading reform package provides for:</w:t>
            </w:r>
          </w:p>
          <w:p w14:paraId="5C27426E" w14:textId="77777777" w:rsidR="001B5338" w:rsidRPr="006A5E9F" w:rsidRDefault="001B5338" w:rsidP="001F22F7">
            <w:pPr>
              <w:pStyle w:val="TableBullet1"/>
              <w:keepNext/>
              <w:spacing w:before="40" w:after="40"/>
            </w:pPr>
            <w:r>
              <w:t xml:space="preserve">AEMO to </w:t>
            </w:r>
            <w:r w:rsidRPr="006A5E9F">
              <w:t xml:space="preserve">be accorded responsibility for determining zones </w:t>
            </w:r>
            <w:r>
              <w:t xml:space="preserve">and, when doing so, to have </w:t>
            </w:r>
            <w:r w:rsidRPr="006A5E9F">
              <w:t>regard to any matter relevant to that determination including:</w:t>
            </w:r>
          </w:p>
          <w:p w14:paraId="692C6E5E" w14:textId="77777777" w:rsidR="001B5338" w:rsidRDefault="001B5338" w:rsidP="001F22F7">
            <w:pPr>
              <w:pStyle w:val="TableBullet2"/>
              <w:keepNext/>
              <w:spacing w:before="40" w:after="40"/>
            </w:pPr>
            <w:r>
              <w:t>the impact of the proposed zone on trade in products offered through the exchange or the capacity auction including on demand or liquidity;</w:t>
            </w:r>
          </w:p>
          <w:p w14:paraId="68930861" w14:textId="77777777" w:rsidR="001B5338" w:rsidRDefault="001B5338" w:rsidP="001F22F7">
            <w:pPr>
              <w:pStyle w:val="TableBullet2"/>
              <w:keepNext/>
              <w:spacing w:before="40" w:after="40"/>
            </w:pPr>
            <w:r>
              <w:t>possible curtailment of capacity released for transfer from one service point in the zone when nominated for use at another service point in the zone, whether over time or at particular times or in particular conditions; and</w:t>
            </w:r>
          </w:p>
          <w:p w14:paraId="6BB55138" w14:textId="77777777" w:rsidR="001B5338" w:rsidRDefault="001B5338" w:rsidP="001F22F7">
            <w:pPr>
              <w:pStyle w:val="TableBullet2"/>
              <w:keepNext/>
              <w:spacing w:before="40" w:after="40"/>
            </w:pPr>
            <w:r>
              <w:t xml:space="preserve">the </w:t>
            </w:r>
            <w:r w:rsidRPr="00DE6027">
              <w:t xml:space="preserve">technical or </w:t>
            </w:r>
            <w:r>
              <w:t>operational</w:t>
            </w:r>
            <w:r w:rsidRPr="00DE6027">
              <w:t xml:space="preserve"> characteristics of the </w:t>
            </w:r>
            <w:r>
              <w:t>facility;</w:t>
            </w:r>
          </w:p>
          <w:p w14:paraId="25F9C556" w14:textId="77777777" w:rsidR="001B5338" w:rsidRDefault="001B5338" w:rsidP="001F22F7">
            <w:pPr>
              <w:pStyle w:val="TableBullet1"/>
              <w:keepNext/>
              <w:spacing w:before="40" w:after="40"/>
            </w:pPr>
            <w:r>
              <w:t xml:space="preserve">AEMO to consult with interested parties before making a determination; and </w:t>
            </w:r>
          </w:p>
          <w:p w14:paraId="7A142E9C" w14:textId="77777777" w:rsidR="001B5338" w:rsidRPr="006A5E9F" w:rsidRDefault="00621704" w:rsidP="001F22F7">
            <w:pPr>
              <w:pStyle w:val="TableBullet1"/>
              <w:keepNext/>
              <w:spacing w:before="40" w:after="40"/>
            </w:pPr>
            <w:r>
              <w:t xml:space="preserve">transportation </w:t>
            </w:r>
            <w:r w:rsidR="001B5338" w:rsidRPr="006A5E9F">
              <w:t xml:space="preserve">service providers to provide AEMO with the information it reasonably requires </w:t>
            </w:r>
            <w:r w:rsidR="001B5338">
              <w:t>to make its determination.</w:t>
            </w:r>
          </w:p>
          <w:p w14:paraId="734D039D" w14:textId="77777777" w:rsidR="001B5338" w:rsidRPr="00032B04" w:rsidRDefault="00383C66" w:rsidP="001A7533">
            <w:pPr>
              <w:keepNext/>
              <w:spacing w:before="40" w:after="40" w:line="259" w:lineRule="auto"/>
              <w:rPr>
                <w:rFonts w:cs="Arial"/>
                <w:szCs w:val="18"/>
              </w:rPr>
            </w:pPr>
            <w:r>
              <w:rPr>
                <w:rFonts w:cs="Arial"/>
                <w:szCs w:val="18"/>
              </w:rPr>
              <w:t xml:space="preserve">The GMRG recommended this refinement because it </w:t>
            </w:r>
            <w:r w:rsidR="001B5338">
              <w:rPr>
                <w:rFonts w:cs="Arial"/>
                <w:szCs w:val="18"/>
              </w:rPr>
              <w:t>enable</w:t>
            </w:r>
            <w:r w:rsidR="001A7533">
              <w:rPr>
                <w:rFonts w:cs="Arial"/>
                <w:szCs w:val="18"/>
              </w:rPr>
              <w:t>s</w:t>
            </w:r>
            <w:r w:rsidR="001B5338">
              <w:rPr>
                <w:rFonts w:cs="Arial"/>
                <w:szCs w:val="18"/>
              </w:rPr>
              <w:t xml:space="preserve"> the market and operational trade-offs associated with defining zones to be effectively balanced, which benefit</w:t>
            </w:r>
            <w:r w:rsidR="001A7533">
              <w:rPr>
                <w:rFonts w:cs="Arial"/>
                <w:szCs w:val="18"/>
              </w:rPr>
              <w:t>s</w:t>
            </w:r>
            <w:r w:rsidR="001B5338">
              <w:rPr>
                <w:rFonts w:cs="Arial"/>
                <w:szCs w:val="18"/>
              </w:rPr>
              <w:t xml:space="preserve"> all market participants and contribute to the NGO by promoting the efficient use of and investment in facilities subject to the reforms.  </w:t>
            </w:r>
          </w:p>
        </w:tc>
      </w:tr>
      <w:tr w:rsidR="0041089F" w:rsidRPr="00032B04" w14:paraId="3B30526A" w14:textId="77777777" w:rsidTr="006031B9">
        <w:tc>
          <w:tcPr>
            <w:tcW w:w="1701" w:type="dxa"/>
          </w:tcPr>
          <w:p w14:paraId="03B454AB" w14:textId="77777777" w:rsidR="0041089F" w:rsidRDefault="0041089F" w:rsidP="0041089F">
            <w:pPr>
              <w:keepNext/>
              <w:spacing w:before="40" w:after="40" w:line="259" w:lineRule="auto"/>
              <w:rPr>
                <w:rFonts w:cs="Arial"/>
                <w:szCs w:val="18"/>
              </w:rPr>
            </w:pPr>
            <w:r>
              <w:rPr>
                <w:rFonts w:cs="Arial"/>
                <w:szCs w:val="18"/>
              </w:rPr>
              <w:t xml:space="preserve">Approach used to address contractual limitations </w:t>
            </w:r>
          </w:p>
        </w:tc>
        <w:tc>
          <w:tcPr>
            <w:tcW w:w="12333" w:type="dxa"/>
          </w:tcPr>
          <w:p w14:paraId="3820DD98" w14:textId="77777777" w:rsidR="0041089F" w:rsidRDefault="0041089F" w:rsidP="0041089F">
            <w:pPr>
              <w:spacing w:before="40" w:after="40" w:line="259" w:lineRule="auto"/>
              <w:rPr>
                <w:rFonts w:cs="Arial"/>
                <w:szCs w:val="18"/>
              </w:rPr>
            </w:pPr>
            <w:r>
              <w:rPr>
                <w:rFonts w:cs="Arial"/>
                <w:szCs w:val="18"/>
              </w:rPr>
              <w:t xml:space="preserve">The capacity trading reform package provides for contractual limitations on capacity trading in existing facility agreements to be addressed through the inclusion of provisions in the NGR that allow facility agreements to be amended on a case-by-case basis and that: </w:t>
            </w:r>
          </w:p>
          <w:p w14:paraId="5FE1CFE8" w14:textId="77777777" w:rsidR="0041089F" w:rsidRDefault="0041089F" w:rsidP="0041089F">
            <w:pPr>
              <w:pStyle w:val="TableBullet1"/>
              <w:spacing w:before="40" w:after="40"/>
            </w:pPr>
            <w:r w:rsidRPr="004D5D64">
              <w:t xml:space="preserve">require </w:t>
            </w:r>
            <w:r w:rsidR="00621704">
              <w:t xml:space="preserve">transportation </w:t>
            </w:r>
            <w:r w:rsidRPr="004D5D64">
              <w:t>service providers</w:t>
            </w:r>
            <w:r>
              <w:t xml:space="preserve"> </w:t>
            </w:r>
            <w:r w:rsidRPr="004D5D64">
              <w:t xml:space="preserve">within 30 </w:t>
            </w:r>
            <w:r>
              <w:t xml:space="preserve">business </w:t>
            </w:r>
            <w:r w:rsidRPr="004D5D64">
              <w:t>days of receiving a request</w:t>
            </w:r>
            <w:r>
              <w:t xml:space="preserve"> from a shipper (or 45 business days during the transitional period)</w:t>
            </w:r>
            <w:r w:rsidRPr="004D5D64">
              <w:t xml:space="preserve">, to </w:t>
            </w:r>
            <w:r>
              <w:t xml:space="preserve">provide </w:t>
            </w:r>
            <w:r w:rsidRPr="004D5D64">
              <w:t>an amending agreement</w:t>
            </w:r>
            <w:r>
              <w:t xml:space="preserve"> that enables the shipper to sell any spare capacity it may have through an operational transfer and to give effect to other principles specified in the NGR; </w:t>
            </w:r>
          </w:p>
          <w:p w14:paraId="74F1E041" w14:textId="77777777" w:rsidR="0041089F" w:rsidRDefault="0041089F" w:rsidP="0041089F">
            <w:pPr>
              <w:pStyle w:val="TableBullet1"/>
              <w:spacing w:before="40" w:after="40"/>
            </w:pPr>
            <w:r>
              <w:t xml:space="preserve">require </w:t>
            </w:r>
            <w:r w:rsidR="00621704">
              <w:t xml:space="preserve">transportation </w:t>
            </w:r>
            <w:r>
              <w:t xml:space="preserve">service providers and shippers to negotiate in good faith </w:t>
            </w:r>
            <w:r w:rsidR="00621704">
              <w:t xml:space="preserve">when </w:t>
            </w:r>
            <w:r>
              <w:t xml:space="preserve">amending </w:t>
            </w:r>
            <w:r w:rsidR="00621704">
              <w:t xml:space="preserve">the </w:t>
            </w:r>
            <w:r>
              <w:t>agreement; and</w:t>
            </w:r>
          </w:p>
          <w:p w14:paraId="7E3509CE" w14:textId="77777777" w:rsidR="0041089F" w:rsidRDefault="0041089F" w:rsidP="0041089F">
            <w:pPr>
              <w:pStyle w:val="TableBullet1"/>
              <w:spacing w:before="40" w:after="40"/>
            </w:pPr>
            <w:r>
              <w:t>enable any dispute about the terms of the amending agreement to be referred for determination by an expert.</w:t>
            </w:r>
          </w:p>
          <w:p w14:paraId="53C62F20" w14:textId="77777777" w:rsidR="0041089F" w:rsidRDefault="001F22F7" w:rsidP="0041089F">
            <w:pPr>
              <w:pStyle w:val="TableBullet1"/>
              <w:numPr>
                <w:ilvl w:val="0"/>
                <w:numId w:val="0"/>
              </w:numPr>
              <w:spacing w:before="40" w:after="40"/>
              <w:ind w:left="85"/>
            </w:pPr>
            <w:r>
              <w:t>T</w:t>
            </w:r>
            <w:r w:rsidR="0041089F">
              <w:t xml:space="preserve">he NGR also requires any new facility agreements entered into after the commencement of the reforms to allow the shipper to sell capacity though an operational transfer and to give effect to the facilitation of trade principles. </w:t>
            </w:r>
          </w:p>
          <w:p w14:paraId="750AD23D" w14:textId="77777777" w:rsidR="0041089F" w:rsidRPr="00032B04" w:rsidRDefault="00383C66" w:rsidP="001A7533">
            <w:pPr>
              <w:spacing w:before="40" w:after="40" w:line="259" w:lineRule="auto"/>
              <w:rPr>
                <w:rFonts w:cs="Arial"/>
                <w:szCs w:val="18"/>
              </w:rPr>
            </w:pPr>
            <w:r>
              <w:rPr>
                <w:rFonts w:cs="Arial"/>
                <w:szCs w:val="18"/>
              </w:rPr>
              <w:t xml:space="preserve">The </w:t>
            </w:r>
            <w:r w:rsidR="0041089F">
              <w:rPr>
                <w:rFonts w:cs="Arial"/>
                <w:szCs w:val="18"/>
              </w:rPr>
              <w:t>GMRG</w:t>
            </w:r>
            <w:r>
              <w:rPr>
                <w:rFonts w:cs="Arial"/>
                <w:szCs w:val="18"/>
              </w:rPr>
              <w:t xml:space="preserve"> recommended </w:t>
            </w:r>
            <w:r w:rsidR="0041089F">
              <w:rPr>
                <w:rFonts w:cs="Arial"/>
                <w:szCs w:val="18"/>
              </w:rPr>
              <w:t xml:space="preserve">these refinements </w:t>
            </w:r>
            <w:r>
              <w:rPr>
                <w:rFonts w:cs="Arial"/>
                <w:szCs w:val="18"/>
              </w:rPr>
              <w:t xml:space="preserve">to overcome the </w:t>
            </w:r>
            <w:r w:rsidR="0041089F">
              <w:rPr>
                <w:rFonts w:cs="Arial"/>
                <w:szCs w:val="18"/>
              </w:rPr>
              <w:t>limitations on capacity trading that could otherwise prevent or impede trade in a more effective and efficient manner than the original proposal and provide shippers adequate protection in the event of a dispute.</w:t>
            </w:r>
          </w:p>
        </w:tc>
      </w:tr>
      <w:tr w:rsidR="0041089F" w:rsidRPr="00032B04" w14:paraId="0C26536C" w14:textId="77777777" w:rsidTr="006031B9">
        <w:trPr>
          <w:cnfStyle w:val="000000010000" w:firstRow="0" w:lastRow="0" w:firstColumn="0" w:lastColumn="0" w:oddVBand="0" w:evenVBand="0" w:oddHBand="0" w:evenHBand="1" w:firstRowFirstColumn="0" w:firstRowLastColumn="0" w:lastRowFirstColumn="0" w:lastRowLastColumn="0"/>
        </w:trPr>
        <w:tc>
          <w:tcPr>
            <w:tcW w:w="14034" w:type="dxa"/>
            <w:gridSpan w:val="2"/>
            <w:shd w:val="clear" w:color="auto" w:fill="65697F" w:themeFill="background2" w:themeFillShade="80"/>
          </w:tcPr>
          <w:p w14:paraId="47D687D8" w14:textId="77777777" w:rsidR="0041089F" w:rsidRPr="0041089F" w:rsidRDefault="0041089F" w:rsidP="001F22F7">
            <w:pPr>
              <w:spacing w:before="20" w:after="20" w:line="259" w:lineRule="auto"/>
              <w:jc w:val="center"/>
              <w:rPr>
                <w:rFonts w:cs="Arial"/>
                <w:b/>
                <w:color w:val="FFFFFF" w:themeColor="background1"/>
                <w:szCs w:val="18"/>
              </w:rPr>
            </w:pPr>
            <w:r w:rsidRPr="0041089F">
              <w:rPr>
                <w:rFonts w:cs="Arial"/>
                <w:b/>
                <w:color w:val="FFFFFF" w:themeColor="background1"/>
                <w:szCs w:val="18"/>
              </w:rPr>
              <w:t>Refinements to the auction</w:t>
            </w:r>
            <w:r>
              <w:rPr>
                <w:rFonts w:cs="Arial"/>
                <w:b/>
                <w:color w:val="FFFFFF" w:themeColor="background1"/>
                <w:szCs w:val="18"/>
              </w:rPr>
              <w:t xml:space="preserve"> design </w:t>
            </w:r>
          </w:p>
        </w:tc>
      </w:tr>
      <w:tr w:rsidR="001B5338" w:rsidRPr="00032B04" w14:paraId="7B1AEB9A" w14:textId="77777777" w:rsidTr="001B5338">
        <w:tc>
          <w:tcPr>
            <w:tcW w:w="1701" w:type="dxa"/>
          </w:tcPr>
          <w:p w14:paraId="355B0391" w14:textId="77777777" w:rsidR="001B5338" w:rsidRDefault="001B5338" w:rsidP="0041089F">
            <w:pPr>
              <w:spacing w:before="40" w:after="40" w:line="259" w:lineRule="auto"/>
              <w:rPr>
                <w:rFonts w:cs="Arial"/>
                <w:szCs w:val="18"/>
              </w:rPr>
            </w:pPr>
            <w:r>
              <w:rPr>
                <w:rFonts w:cs="Arial"/>
                <w:szCs w:val="18"/>
              </w:rPr>
              <w:t xml:space="preserve">Scope of </w:t>
            </w:r>
            <w:r w:rsidR="00621704">
              <w:rPr>
                <w:rFonts w:cs="Arial"/>
                <w:szCs w:val="18"/>
              </w:rPr>
              <w:t xml:space="preserve">transitional firm </w:t>
            </w:r>
            <w:r>
              <w:rPr>
                <w:rFonts w:cs="Arial"/>
                <w:szCs w:val="18"/>
              </w:rPr>
              <w:t>rights</w:t>
            </w:r>
          </w:p>
        </w:tc>
        <w:tc>
          <w:tcPr>
            <w:tcW w:w="12333" w:type="dxa"/>
          </w:tcPr>
          <w:p w14:paraId="7FA4A764" w14:textId="77777777" w:rsidR="001B5338" w:rsidRDefault="001B5338" w:rsidP="0041089F">
            <w:pPr>
              <w:spacing w:before="40" w:after="40" w:line="259" w:lineRule="auto"/>
              <w:rPr>
                <w:szCs w:val="18"/>
              </w:rPr>
            </w:pPr>
            <w:r w:rsidRPr="005E01D1">
              <w:rPr>
                <w:szCs w:val="18"/>
              </w:rPr>
              <w:t>The</w:t>
            </w:r>
            <w:r>
              <w:rPr>
                <w:szCs w:val="18"/>
              </w:rPr>
              <w:t xml:space="preserve"> </w:t>
            </w:r>
            <w:r w:rsidR="00CD0300">
              <w:rPr>
                <w:szCs w:val="18"/>
              </w:rPr>
              <w:t xml:space="preserve">auction includes </w:t>
            </w:r>
            <w:r>
              <w:t>t</w:t>
            </w:r>
            <w:r w:rsidRPr="00ED6511">
              <w:t xml:space="preserve">ransitional arrangements </w:t>
            </w:r>
            <w:r w:rsidR="00CD0300">
              <w:t xml:space="preserve">that </w:t>
            </w:r>
            <w:r w:rsidRPr="00ED6511">
              <w:t xml:space="preserve">enable transportation rights </w:t>
            </w:r>
            <w:r>
              <w:t>that were acquired on or before 19 March 2018</w:t>
            </w:r>
            <w:r>
              <w:rPr>
                <w:rStyle w:val="FootnoteReference"/>
              </w:rPr>
              <w:footnoteReference w:id="11"/>
            </w:r>
            <w:r>
              <w:t xml:space="preserve"> that are used to transport gas to a gas-fired generation site and are currently treated as firm once scheduled </w:t>
            </w:r>
            <w:r w:rsidRPr="00ED6511">
              <w:t xml:space="preserve">(e.g. as available and </w:t>
            </w:r>
            <w:r>
              <w:t xml:space="preserve">some </w:t>
            </w:r>
            <w:r w:rsidRPr="00ED6511">
              <w:t>authorised overrun</w:t>
            </w:r>
            <w:r>
              <w:t xml:space="preserve"> services</w:t>
            </w:r>
            <w:r w:rsidRPr="00ED6511">
              <w:t>)</w:t>
            </w:r>
            <w:r>
              <w:t xml:space="preserve">, to rank ahead of the auction product for up to </w:t>
            </w:r>
            <w:r w:rsidRPr="00ED6511">
              <w:t>two</w:t>
            </w:r>
            <w:r>
              <w:t xml:space="preserve"> </w:t>
            </w:r>
            <w:r w:rsidRPr="00ED6511">
              <w:t>year</w:t>
            </w:r>
            <w:r>
              <w:t>s</w:t>
            </w:r>
            <w:r w:rsidRPr="00ED6511">
              <w:t xml:space="preserve"> </w:t>
            </w:r>
            <w:r>
              <w:t>following commencement of the auction</w:t>
            </w:r>
            <w:r w:rsidR="001F22F7">
              <w:t xml:space="preserve"> (‘transitional firm’ rights</w:t>
            </w:r>
            <w:r w:rsidR="001A7533">
              <w:t>)</w:t>
            </w:r>
            <w:r>
              <w:t xml:space="preserve">. </w:t>
            </w:r>
            <w:r w:rsidRPr="00ED6511">
              <w:t xml:space="preserve"> </w:t>
            </w:r>
            <w:r w:rsidR="00383C66">
              <w:t>T</w:t>
            </w:r>
            <w:r w:rsidR="00621704">
              <w:t xml:space="preserve">he GMRG </w:t>
            </w:r>
            <w:r w:rsidR="00383C66">
              <w:t xml:space="preserve">recommended </w:t>
            </w:r>
            <w:r w:rsidR="00621704">
              <w:t>g</w:t>
            </w:r>
            <w:r>
              <w:rPr>
                <w:szCs w:val="18"/>
              </w:rPr>
              <w:t xml:space="preserve">randfathering these rights </w:t>
            </w:r>
            <w:r w:rsidR="00383C66">
              <w:rPr>
                <w:szCs w:val="18"/>
              </w:rPr>
              <w:t xml:space="preserve">to </w:t>
            </w:r>
            <w:r>
              <w:rPr>
                <w:szCs w:val="18"/>
              </w:rPr>
              <w:t>provide for a more orderly transition to the new arrangements by gas-fired generators</w:t>
            </w:r>
            <w:r w:rsidR="001F22F7">
              <w:rPr>
                <w:szCs w:val="18"/>
              </w:rPr>
              <w:t xml:space="preserve"> (which is of particular importance given the conditions currently prevailing in the NEM)</w:t>
            </w:r>
            <w:r>
              <w:rPr>
                <w:szCs w:val="18"/>
              </w:rPr>
              <w:t xml:space="preserve">, which will promote the NGO.  </w:t>
            </w:r>
          </w:p>
          <w:p w14:paraId="6AB69FBC" w14:textId="77777777" w:rsidR="001B5338" w:rsidRDefault="001B5338" w:rsidP="001A7533">
            <w:pPr>
              <w:spacing w:before="40" w:after="40" w:line="259" w:lineRule="auto"/>
              <w:rPr>
                <w:szCs w:val="18"/>
              </w:rPr>
            </w:pPr>
            <w:r>
              <w:t>In relation to the proposed term of the transitional arrangements</w:t>
            </w:r>
            <w:r w:rsidR="001A7533">
              <w:t>,</w:t>
            </w:r>
            <w:r w:rsidR="00621704">
              <w:t xml:space="preserve"> the GMRG </w:t>
            </w:r>
            <w:r w:rsidR="00383C66">
              <w:t xml:space="preserve">was of the view </w:t>
            </w:r>
            <w:r w:rsidR="00621704">
              <w:t xml:space="preserve">that </w:t>
            </w:r>
            <w:r>
              <w:t xml:space="preserve">a two-year transitional period </w:t>
            </w:r>
            <w:r w:rsidR="00383C66">
              <w:t>provide</w:t>
            </w:r>
            <w:r w:rsidR="001C0945">
              <w:t>s</w:t>
            </w:r>
            <w:r w:rsidR="00383C66">
              <w:t xml:space="preserve"> </w:t>
            </w:r>
            <w:r>
              <w:t xml:space="preserve">gas-fired generators </w:t>
            </w:r>
            <w:r w:rsidR="00383C66">
              <w:t xml:space="preserve">sufficient time </w:t>
            </w:r>
            <w:r>
              <w:t xml:space="preserve">to transition to the new arrangements. </w:t>
            </w:r>
            <w:r w:rsidR="00CD0300">
              <w:t xml:space="preserve">The GMRG </w:t>
            </w:r>
            <w:r w:rsidR="00383C66">
              <w:t xml:space="preserve">did </w:t>
            </w:r>
            <w:r>
              <w:t xml:space="preserve">not therefore </w:t>
            </w:r>
            <w:r w:rsidR="00383C66">
              <w:t xml:space="preserve">recommended </w:t>
            </w:r>
            <w:r>
              <w:t xml:space="preserve">an extension beyond this time, as some stakeholders have suggested. Nor </w:t>
            </w:r>
            <w:r w:rsidR="00CD0300">
              <w:t xml:space="preserve">does it support </w:t>
            </w:r>
            <w:r>
              <w:t>a review of the transitional period once the reform package is in place, because this could discourage gas-fired generators from making the transition and have longer</w:t>
            </w:r>
            <w:r w:rsidR="001A7533">
              <w:t>-</w:t>
            </w:r>
            <w:r>
              <w:t xml:space="preserve">term implications for the success of these reforms. </w:t>
            </w:r>
          </w:p>
        </w:tc>
      </w:tr>
      <w:tr w:rsidR="001B5338" w:rsidRPr="00032B04" w14:paraId="2B8F6ACB" w14:textId="77777777" w:rsidTr="001B5338">
        <w:trPr>
          <w:cnfStyle w:val="000000010000" w:firstRow="0" w:lastRow="0" w:firstColumn="0" w:lastColumn="0" w:oddVBand="0" w:evenVBand="0" w:oddHBand="0" w:evenHBand="1" w:firstRowFirstColumn="0" w:firstRowLastColumn="0" w:lastRowFirstColumn="0" w:lastRowLastColumn="0"/>
        </w:trPr>
        <w:tc>
          <w:tcPr>
            <w:tcW w:w="1701" w:type="dxa"/>
          </w:tcPr>
          <w:p w14:paraId="52CD59E5" w14:textId="77777777" w:rsidR="001B5338" w:rsidRPr="003A61FD" w:rsidRDefault="001B5338" w:rsidP="0041089F">
            <w:pPr>
              <w:spacing w:before="40" w:after="40" w:line="259" w:lineRule="auto"/>
              <w:rPr>
                <w:rFonts w:cs="Arial"/>
                <w:szCs w:val="18"/>
              </w:rPr>
            </w:pPr>
            <w:r w:rsidRPr="007B180F">
              <w:rPr>
                <w:rFonts w:cs="Arial"/>
                <w:szCs w:val="18"/>
              </w:rPr>
              <w:lastRenderedPageBreak/>
              <w:t>Contract path specification for the auction</w:t>
            </w:r>
          </w:p>
        </w:tc>
        <w:tc>
          <w:tcPr>
            <w:tcW w:w="12333" w:type="dxa"/>
          </w:tcPr>
          <w:p w14:paraId="2AFE9636" w14:textId="77777777" w:rsidR="001F22F7" w:rsidRDefault="001B5338" w:rsidP="001F22F7">
            <w:pPr>
              <w:pStyle w:val="TableBullet1"/>
              <w:numPr>
                <w:ilvl w:val="0"/>
                <w:numId w:val="0"/>
              </w:numPr>
              <w:spacing w:before="40" w:after="40" w:line="259" w:lineRule="auto"/>
              <w:ind w:left="85"/>
              <w:rPr>
                <w:lang w:val="en-US"/>
              </w:rPr>
            </w:pPr>
            <w:r>
              <w:t xml:space="preserve">The </w:t>
            </w:r>
            <w:r w:rsidR="00CD0300">
              <w:t>auction use</w:t>
            </w:r>
            <w:r w:rsidR="001A7533">
              <w:t>s</w:t>
            </w:r>
            <w:r w:rsidR="00CD0300">
              <w:t xml:space="preserve"> the hybrid </w:t>
            </w:r>
            <w:r w:rsidRPr="003A61FD">
              <w:rPr>
                <w:szCs w:val="18"/>
              </w:rPr>
              <w:t>point-to-point</w:t>
            </w:r>
            <w:r w:rsidR="00CD0300">
              <w:rPr>
                <w:szCs w:val="18"/>
              </w:rPr>
              <w:t xml:space="preserve"> and </w:t>
            </w:r>
            <w:r w:rsidRPr="003A61FD">
              <w:rPr>
                <w:szCs w:val="18"/>
              </w:rPr>
              <w:t xml:space="preserve">zonal </w:t>
            </w:r>
            <w:r>
              <w:rPr>
                <w:szCs w:val="18"/>
              </w:rPr>
              <w:t xml:space="preserve">contract path </w:t>
            </w:r>
            <w:r w:rsidRPr="003A61FD">
              <w:rPr>
                <w:szCs w:val="18"/>
              </w:rPr>
              <w:t>model</w:t>
            </w:r>
            <w:r w:rsidR="00CD0300">
              <w:rPr>
                <w:szCs w:val="18"/>
              </w:rPr>
              <w:t xml:space="preserve"> for forward haul and compression auction services. </w:t>
            </w:r>
            <w:r w:rsidRPr="003A61FD">
              <w:rPr>
                <w:lang w:val="en-US"/>
              </w:rPr>
              <w:t xml:space="preserve">In contrast to the </w:t>
            </w:r>
            <w:r w:rsidRPr="003A61FD">
              <w:t xml:space="preserve">other models that were considered, </w:t>
            </w:r>
            <w:r w:rsidRPr="003A61FD">
              <w:rPr>
                <w:lang w:val="en-US"/>
              </w:rPr>
              <w:t xml:space="preserve">the hybrid model yields a more efficient allocation of capacity because, in a similar manner to the capacity trading platform, it allows CBU capacity from individual points to be moved to other points within the zone if there is unused capacity at those points and sufficient pipeline segment (or compression </w:t>
            </w:r>
            <w:r w:rsidR="00D51280">
              <w:rPr>
                <w:lang w:val="en-US"/>
              </w:rPr>
              <w:t xml:space="preserve">service </w:t>
            </w:r>
            <w:r w:rsidRPr="003A61FD">
              <w:rPr>
                <w:lang w:val="en-US"/>
              </w:rPr>
              <w:t xml:space="preserve">facility) CBU.  It also overcomes the delivery risk associated with </w:t>
            </w:r>
            <w:r w:rsidRPr="003A61FD">
              <w:t>other models</w:t>
            </w:r>
            <w:r w:rsidRPr="003A61FD">
              <w:rPr>
                <w:lang w:val="en-US"/>
              </w:rPr>
              <w:t xml:space="preserve">, because when a shipper wins capacity it knows it has secured capacity at the points it requires. </w:t>
            </w:r>
          </w:p>
          <w:p w14:paraId="03D55E4D" w14:textId="77777777" w:rsidR="001B5338" w:rsidRPr="003A61FD" w:rsidRDefault="001B5338" w:rsidP="001F22F7">
            <w:pPr>
              <w:pStyle w:val="TableBullet1"/>
              <w:numPr>
                <w:ilvl w:val="0"/>
                <w:numId w:val="0"/>
              </w:numPr>
              <w:spacing w:before="40" w:after="40" w:line="259" w:lineRule="auto"/>
              <w:ind w:left="85"/>
              <w:rPr>
                <w:szCs w:val="18"/>
              </w:rPr>
            </w:pPr>
            <w:r w:rsidRPr="003A61FD">
              <w:rPr>
                <w:lang w:val="en-US"/>
              </w:rPr>
              <w:t xml:space="preserve">The </w:t>
            </w:r>
            <w:r w:rsidR="00621704">
              <w:rPr>
                <w:lang w:val="en-US"/>
              </w:rPr>
              <w:t xml:space="preserve">GMRG </w:t>
            </w:r>
            <w:r w:rsidR="00383C66">
              <w:rPr>
                <w:lang w:val="en-US"/>
              </w:rPr>
              <w:t xml:space="preserve">recommended this model because it </w:t>
            </w:r>
            <w:r>
              <w:rPr>
                <w:lang w:val="en-US"/>
              </w:rPr>
              <w:t xml:space="preserve">is </w:t>
            </w:r>
            <w:r w:rsidRPr="003A61FD">
              <w:rPr>
                <w:lang w:val="en-US"/>
              </w:rPr>
              <w:t xml:space="preserve">more consistent with the NGO than the other options. </w:t>
            </w:r>
            <w:r w:rsidRPr="003A61FD">
              <w:rPr>
                <w:szCs w:val="18"/>
              </w:rPr>
              <w:t>It is also consistent with the AEMC’s original recommendations, because while this model allows auction participants to use uncontracted capacity at individual receipt and delivery points, their ability to do so is constrained by the availability of CBU capacity in the zone and pipeline segment (</w:t>
            </w:r>
            <w:r>
              <w:rPr>
                <w:szCs w:val="18"/>
              </w:rPr>
              <w:t xml:space="preserve">or </w:t>
            </w:r>
            <w:r w:rsidRPr="003A61FD">
              <w:rPr>
                <w:szCs w:val="18"/>
              </w:rPr>
              <w:t xml:space="preserve">compression </w:t>
            </w:r>
            <w:r w:rsidR="00D51280">
              <w:rPr>
                <w:szCs w:val="18"/>
              </w:rPr>
              <w:t xml:space="preserve">service </w:t>
            </w:r>
            <w:r w:rsidRPr="003A61FD">
              <w:rPr>
                <w:szCs w:val="18"/>
              </w:rPr>
              <w:t xml:space="preserve">facility). The amount of capacity released in the auction is therefore capped by the amount of CBU capacity.  </w:t>
            </w:r>
          </w:p>
        </w:tc>
      </w:tr>
      <w:tr w:rsidR="001B5338" w:rsidRPr="00032B04" w14:paraId="5A51BD9D" w14:textId="77777777" w:rsidTr="001B5338">
        <w:tc>
          <w:tcPr>
            <w:tcW w:w="1701" w:type="dxa"/>
          </w:tcPr>
          <w:p w14:paraId="3800B7C7" w14:textId="77777777" w:rsidR="001B5338" w:rsidRPr="00032B04" w:rsidRDefault="001B5338" w:rsidP="0041089F">
            <w:pPr>
              <w:keepNext/>
              <w:spacing w:before="40" w:after="40" w:line="259" w:lineRule="auto"/>
              <w:rPr>
                <w:rFonts w:cs="Arial"/>
                <w:szCs w:val="18"/>
              </w:rPr>
            </w:pPr>
            <w:r>
              <w:rPr>
                <w:rFonts w:cs="Arial"/>
                <w:szCs w:val="18"/>
              </w:rPr>
              <w:t xml:space="preserve">Responsibility for </w:t>
            </w:r>
            <w:r w:rsidRPr="00032B04">
              <w:rPr>
                <w:rFonts w:cs="Arial"/>
                <w:szCs w:val="18"/>
              </w:rPr>
              <w:t xml:space="preserve">determining the </w:t>
            </w:r>
            <w:r>
              <w:rPr>
                <w:rFonts w:cs="Arial"/>
                <w:szCs w:val="18"/>
              </w:rPr>
              <w:t xml:space="preserve">method for calculating the </w:t>
            </w:r>
            <w:r w:rsidRPr="00032B04">
              <w:rPr>
                <w:rFonts w:cs="Arial"/>
                <w:szCs w:val="18"/>
              </w:rPr>
              <w:t>auction quantity</w:t>
            </w:r>
            <w:r>
              <w:rPr>
                <w:rFonts w:cs="Arial"/>
                <w:szCs w:val="18"/>
              </w:rPr>
              <w:t xml:space="preserve"> limits</w:t>
            </w:r>
          </w:p>
        </w:tc>
        <w:tc>
          <w:tcPr>
            <w:tcW w:w="12333" w:type="dxa"/>
          </w:tcPr>
          <w:p w14:paraId="0E971275" w14:textId="77777777" w:rsidR="001B5338" w:rsidRDefault="001B5338" w:rsidP="0041089F">
            <w:pPr>
              <w:keepNext/>
              <w:spacing w:before="40" w:after="40" w:line="259" w:lineRule="auto"/>
            </w:pPr>
            <w:r>
              <w:t xml:space="preserve">The </w:t>
            </w:r>
            <w:r w:rsidR="005626B4">
              <w:t>capacity trading reform package provides for</w:t>
            </w:r>
            <w:r>
              <w:t xml:space="preserve">: </w:t>
            </w:r>
          </w:p>
          <w:p w14:paraId="54ABB8B7" w14:textId="77777777" w:rsidR="001B5338" w:rsidRDefault="001B5338" w:rsidP="0041089F">
            <w:pPr>
              <w:pStyle w:val="TableBullet1"/>
              <w:spacing w:before="40" w:after="40"/>
            </w:pPr>
            <w:r>
              <w:t xml:space="preserve">AEMO </w:t>
            </w:r>
            <w:r w:rsidR="005626B4">
              <w:t xml:space="preserve">to determine </w:t>
            </w:r>
            <w:r>
              <w:t xml:space="preserve">the methodology </w:t>
            </w:r>
            <w:r w:rsidR="005626B4">
              <w:t xml:space="preserve">to be used to calculate the auction quantity limits </w:t>
            </w:r>
            <w:r>
              <w:t>in accordance with principles set out in the NGR; and</w:t>
            </w:r>
          </w:p>
          <w:p w14:paraId="5ADA36BF" w14:textId="77777777" w:rsidR="001B5338" w:rsidRDefault="001B5338" w:rsidP="0041089F">
            <w:pPr>
              <w:pStyle w:val="TableBullet1"/>
              <w:spacing w:before="40" w:after="40"/>
            </w:pPr>
            <w:r>
              <w:t xml:space="preserve">the methodology </w:t>
            </w:r>
            <w:r w:rsidR="005626B4">
              <w:t xml:space="preserve">to </w:t>
            </w:r>
            <w:r>
              <w:t xml:space="preserve">be prescribed in the </w:t>
            </w:r>
            <w:r w:rsidR="00C56043">
              <w:t>Capacity Transfer and Auction Procedures (</w:t>
            </w:r>
            <w:r w:rsidR="00221E73">
              <w:t>CT&amp;A Procedures</w:t>
            </w:r>
            <w:r w:rsidR="00C56043">
              <w:t>)</w:t>
            </w:r>
            <w:r>
              <w:t>.</w:t>
            </w:r>
          </w:p>
          <w:p w14:paraId="0073174E" w14:textId="77777777" w:rsidR="001B5338" w:rsidRPr="00F5543E" w:rsidRDefault="00383C66" w:rsidP="001A7533">
            <w:pPr>
              <w:keepNext/>
              <w:spacing w:before="40" w:after="40" w:line="259" w:lineRule="auto"/>
              <w:rPr>
                <w:rFonts w:cs="Arial"/>
                <w:szCs w:val="18"/>
                <w:highlight w:val="yellow"/>
              </w:rPr>
            </w:pPr>
            <w:r>
              <w:rPr>
                <w:rFonts w:cs="Arial"/>
                <w:szCs w:val="18"/>
              </w:rPr>
              <w:t xml:space="preserve">The GMRG recommended this refinement </w:t>
            </w:r>
            <w:r w:rsidR="001B5338">
              <w:rPr>
                <w:rFonts w:cs="Arial"/>
                <w:szCs w:val="18"/>
              </w:rPr>
              <w:t xml:space="preserve">because it will ensure the auction quantity limits are calculated in a consistent and transparent manner, which </w:t>
            </w:r>
            <w:r w:rsidR="001B5338">
              <w:t>limit</w:t>
            </w:r>
            <w:r w:rsidR="001A7533">
              <w:t>s</w:t>
            </w:r>
            <w:r w:rsidR="001B5338">
              <w:t xml:space="preserve"> the scope for gaming by </w:t>
            </w:r>
            <w:r w:rsidR="00621704">
              <w:t xml:space="preserve">transportation </w:t>
            </w:r>
            <w:r w:rsidR="001B5338">
              <w:t xml:space="preserve">service providers and enable compliance with the methodology to be more effectively monitored by the AER. </w:t>
            </w:r>
          </w:p>
        </w:tc>
      </w:tr>
      <w:tr w:rsidR="0041089F" w:rsidRPr="00032B04" w14:paraId="22AC5B67" w14:textId="77777777" w:rsidTr="008B110F">
        <w:trPr>
          <w:cnfStyle w:val="000000010000" w:firstRow="0" w:lastRow="0" w:firstColumn="0" w:lastColumn="0" w:oddVBand="0" w:evenVBand="0" w:oddHBand="0" w:evenHBand="1" w:firstRowFirstColumn="0" w:firstRowLastColumn="0" w:lastRowFirstColumn="0" w:lastRowLastColumn="0"/>
        </w:trPr>
        <w:tc>
          <w:tcPr>
            <w:tcW w:w="14034" w:type="dxa"/>
            <w:gridSpan w:val="2"/>
            <w:tcBorders>
              <w:bottom w:val="single" w:sz="4" w:space="0" w:color="auto"/>
            </w:tcBorders>
            <w:shd w:val="clear" w:color="auto" w:fill="65697F" w:themeFill="background2" w:themeFillShade="80"/>
          </w:tcPr>
          <w:p w14:paraId="0CE4054F" w14:textId="77777777" w:rsidR="0041089F" w:rsidRPr="0041089F" w:rsidRDefault="0041089F" w:rsidP="0041089F">
            <w:pPr>
              <w:spacing w:before="20" w:after="20" w:line="259" w:lineRule="auto"/>
              <w:jc w:val="center"/>
              <w:rPr>
                <w:rFonts w:cs="Arial"/>
                <w:b/>
                <w:color w:val="FFFFFF" w:themeColor="background1"/>
                <w:szCs w:val="18"/>
              </w:rPr>
            </w:pPr>
            <w:r>
              <w:rPr>
                <w:rFonts w:cs="Arial"/>
                <w:b/>
                <w:color w:val="FFFFFF" w:themeColor="background1"/>
                <w:szCs w:val="18"/>
              </w:rPr>
              <w:t>Other r</w:t>
            </w:r>
            <w:r w:rsidRPr="0041089F">
              <w:rPr>
                <w:rFonts w:cs="Arial"/>
                <w:b/>
                <w:color w:val="FFFFFF" w:themeColor="background1"/>
                <w:szCs w:val="18"/>
              </w:rPr>
              <w:t xml:space="preserve">efinements </w:t>
            </w:r>
          </w:p>
        </w:tc>
      </w:tr>
      <w:tr w:rsidR="00480FEB" w:rsidRPr="00032B04" w14:paraId="76C21C16" w14:textId="77777777" w:rsidTr="008B110F">
        <w:tc>
          <w:tcPr>
            <w:tcW w:w="1701" w:type="dxa"/>
            <w:tcBorders>
              <w:bottom w:val="single" w:sz="4" w:space="0" w:color="auto"/>
            </w:tcBorders>
            <w:shd w:val="clear" w:color="auto" w:fill="E1E2E7" w:themeFill="background2"/>
          </w:tcPr>
          <w:p w14:paraId="493B3EA2" w14:textId="77777777" w:rsidR="00480FEB" w:rsidRPr="00032B04" w:rsidRDefault="00480FEB" w:rsidP="0041089F">
            <w:pPr>
              <w:spacing w:before="40" w:after="40" w:line="259" w:lineRule="auto"/>
              <w:rPr>
                <w:rFonts w:cs="Arial"/>
                <w:szCs w:val="18"/>
              </w:rPr>
            </w:pPr>
            <w:r>
              <w:rPr>
                <w:rFonts w:cs="Arial"/>
                <w:szCs w:val="18"/>
              </w:rPr>
              <w:t>Transparency of a</w:t>
            </w:r>
            <w:r w:rsidRPr="00032B04">
              <w:rPr>
                <w:rFonts w:cs="Arial"/>
                <w:szCs w:val="18"/>
              </w:rPr>
              <w:t>llocation arrangements</w:t>
            </w:r>
          </w:p>
        </w:tc>
        <w:tc>
          <w:tcPr>
            <w:tcW w:w="12333" w:type="dxa"/>
            <w:tcBorders>
              <w:bottom w:val="single" w:sz="4" w:space="0" w:color="auto"/>
            </w:tcBorders>
            <w:shd w:val="clear" w:color="auto" w:fill="E1E2E7" w:themeFill="background2"/>
          </w:tcPr>
          <w:p w14:paraId="00DE99E2" w14:textId="77777777" w:rsidR="00480FEB" w:rsidRPr="00032B04" w:rsidRDefault="00480FEB" w:rsidP="001A7533">
            <w:pPr>
              <w:pStyle w:val="TableBullet1"/>
              <w:numPr>
                <w:ilvl w:val="0"/>
                <w:numId w:val="0"/>
              </w:numPr>
              <w:spacing w:before="40" w:after="40" w:line="259" w:lineRule="auto"/>
              <w:ind w:left="85"/>
              <w:rPr>
                <w:szCs w:val="18"/>
              </w:rPr>
            </w:pPr>
            <w:r>
              <w:rPr>
                <w:szCs w:val="18"/>
              </w:rPr>
              <w:t xml:space="preserve">The capacity trading reform package provides for </w:t>
            </w:r>
            <w:r>
              <w:rPr>
                <w:rFonts w:asciiTheme="majorHAnsi" w:hAnsiTheme="majorHAnsi" w:cstheme="majorHAnsi"/>
                <w:szCs w:val="18"/>
              </w:rPr>
              <w:t xml:space="preserve">allocation agents to provide the following information to AEMO for publication on the Bulletin Board: </w:t>
            </w:r>
            <w:r>
              <w:t xml:space="preserve">the allocation agent’s contact details; </w:t>
            </w:r>
            <w:r w:rsidRPr="00032B04">
              <w:t xml:space="preserve">a </w:t>
            </w:r>
            <w:r w:rsidRPr="00377897">
              <w:t xml:space="preserve">description of the allocation methodology used at the allocation point; </w:t>
            </w:r>
            <w:r>
              <w:t xml:space="preserve">and </w:t>
            </w:r>
            <w:r w:rsidRPr="00377897">
              <w:t>a description of the process for joining and leaving the relevant agreement and any charges payable</w:t>
            </w:r>
            <w:r>
              <w:t xml:space="preserve">. </w:t>
            </w:r>
            <w:r w:rsidR="00383C66">
              <w:t>T</w:t>
            </w:r>
            <w:r>
              <w:t>he GMRG</w:t>
            </w:r>
            <w:r w:rsidR="00383C66">
              <w:t xml:space="preserve"> recommended </w:t>
            </w:r>
            <w:r>
              <w:t xml:space="preserve">this refinement </w:t>
            </w:r>
            <w:r w:rsidR="00383C66">
              <w:t xml:space="preserve">because it </w:t>
            </w:r>
            <w:r>
              <w:t xml:space="preserve">will </w:t>
            </w:r>
            <w:r>
              <w:rPr>
                <w:rFonts w:asciiTheme="majorHAnsi" w:hAnsiTheme="majorHAnsi" w:cstheme="majorHAnsi"/>
                <w:szCs w:val="18"/>
              </w:rPr>
              <w:t>reduc</w:t>
            </w:r>
            <w:r w:rsidR="00383C66">
              <w:rPr>
                <w:rFonts w:asciiTheme="majorHAnsi" w:hAnsiTheme="majorHAnsi" w:cstheme="majorHAnsi"/>
                <w:szCs w:val="18"/>
              </w:rPr>
              <w:t>e</w:t>
            </w:r>
            <w:r>
              <w:rPr>
                <w:rFonts w:asciiTheme="majorHAnsi" w:hAnsiTheme="majorHAnsi" w:cstheme="majorHAnsi"/>
                <w:szCs w:val="18"/>
              </w:rPr>
              <w:t xml:space="preserve"> search and transaction costs and the barriers to trade. </w:t>
            </w:r>
          </w:p>
        </w:tc>
      </w:tr>
      <w:tr w:rsidR="001B5338" w:rsidRPr="00032B04" w14:paraId="08693E8C" w14:textId="77777777" w:rsidTr="008B110F">
        <w:trPr>
          <w:cnfStyle w:val="000000010000" w:firstRow="0" w:lastRow="0" w:firstColumn="0" w:lastColumn="0" w:oddVBand="0" w:evenVBand="0" w:oddHBand="0" w:evenHBand="1" w:firstRowFirstColumn="0" w:firstRowLastColumn="0" w:lastRowFirstColumn="0" w:lastRowLastColumn="0"/>
        </w:trPr>
        <w:tc>
          <w:tcPr>
            <w:tcW w:w="1701" w:type="dxa"/>
            <w:shd w:val="clear" w:color="auto" w:fill="FFFFFF" w:themeFill="background1"/>
          </w:tcPr>
          <w:p w14:paraId="0FBC5F8C" w14:textId="77777777" w:rsidR="001B5338" w:rsidRPr="00032B04" w:rsidRDefault="001B5338" w:rsidP="0041089F">
            <w:pPr>
              <w:spacing w:before="40" w:after="40" w:line="252" w:lineRule="auto"/>
              <w:rPr>
                <w:rFonts w:cs="Arial"/>
                <w:szCs w:val="18"/>
              </w:rPr>
            </w:pPr>
            <w:r w:rsidRPr="00032B04">
              <w:rPr>
                <w:rFonts w:cs="Arial"/>
                <w:szCs w:val="18"/>
              </w:rPr>
              <w:t>Transitional arrangements</w:t>
            </w:r>
            <w:r>
              <w:rPr>
                <w:rFonts w:cs="Arial"/>
                <w:szCs w:val="18"/>
              </w:rPr>
              <w:t xml:space="preserve"> for </w:t>
            </w:r>
            <w:r w:rsidR="0031496B">
              <w:rPr>
                <w:rFonts w:cs="Arial"/>
                <w:szCs w:val="18"/>
              </w:rPr>
              <w:t>the implementation of the standard market timetable</w:t>
            </w:r>
          </w:p>
        </w:tc>
        <w:tc>
          <w:tcPr>
            <w:tcW w:w="12333" w:type="dxa"/>
            <w:shd w:val="clear" w:color="auto" w:fill="FFFFFF" w:themeFill="background1"/>
          </w:tcPr>
          <w:p w14:paraId="48AA3DEC" w14:textId="77777777" w:rsidR="001B5338" w:rsidRDefault="001B5338" w:rsidP="0041089F">
            <w:pPr>
              <w:spacing w:before="40" w:after="40" w:line="252" w:lineRule="auto"/>
              <w:rPr>
                <w:rFonts w:cs="Arial"/>
                <w:szCs w:val="18"/>
              </w:rPr>
            </w:pPr>
            <w:r>
              <w:rPr>
                <w:rFonts w:cs="Arial"/>
                <w:szCs w:val="18"/>
              </w:rPr>
              <w:t xml:space="preserve">The </w:t>
            </w:r>
            <w:r w:rsidR="005626B4">
              <w:rPr>
                <w:rFonts w:cs="Arial"/>
                <w:szCs w:val="18"/>
              </w:rPr>
              <w:t>capacity trading reform package provides for</w:t>
            </w:r>
            <w:r>
              <w:rPr>
                <w:rFonts w:cs="Arial"/>
                <w:szCs w:val="18"/>
              </w:rPr>
              <w:t>:</w:t>
            </w:r>
          </w:p>
          <w:p w14:paraId="46166C30" w14:textId="77777777" w:rsidR="001B5338" w:rsidRDefault="001B5338" w:rsidP="0041089F">
            <w:pPr>
              <w:pStyle w:val="TableBullet1"/>
              <w:spacing w:before="40" w:after="40" w:line="252" w:lineRule="auto"/>
            </w:pPr>
            <w:r>
              <w:t>AEMO to publish information on the arrangements for the transition to the standard gas day in each of the gas markets it operates (the Short Term Trading Market (STTM), Declared Wholesale Gas Market (DWGM), Gas Supply Hub and retail markets) prior to 1 April 2019</w:t>
            </w:r>
            <w:r w:rsidRPr="004D62DB">
              <w:t>.</w:t>
            </w:r>
          </w:p>
          <w:p w14:paraId="65414507" w14:textId="77777777" w:rsidR="001B5338" w:rsidRPr="008B4694" w:rsidRDefault="001B5338" w:rsidP="0041089F">
            <w:pPr>
              <w:pStyle w:val="TableBullet1"/>
              <w:spacing w:before="40" w:after="40" w:line="252" w:lineRule="auto"/>
              <w:rPr>
                <w:szCs w:val="18"/>
              </w:rPr>
            </w:pPr>
            <w:r w:rsidRPr="00133EA3">
              <w:t xml:space="preserve">Facility </w:t>
            </w:r>
            <w:r w:rsidRPr="00CC7973">
              <w:rPr>
                <w:szCs w:val="18"/>
              </w:rPr>
              <w:t xml:space="preserve">operators that provide services to third parties to publish information on the operational arrangements to transition to the standard gas day and standard nomination cut-off times </w:t>
            </w:r>
            <w:r w:rsidR="00480FEB" w:rsidRPr="00DF13EF">
              <w:rPr>
                <w:rFonts w:asciiTheme="majorHAnsi" w:hAnsiTheme="majorHAnsi" w:cstheme="majorHAnsi"/>
              </w:rPr>
              <w:t xml:space="preserve">by </w:t>
            </w:r>
            <w:r w:rsidR="00480FEB">
              <w:rPr>
                <w:rFonts w:asciiTheme="majorHAnsi" w:hAnsiTheme="majorHAnsi" w:cstheme="majorHAnsi"/>
              </w:rPr>
              <w:t xml:space="preserve">the earlier of </w:t>
            </w:r>
            <w:r w:rsidR="00480FEB" w:rsidRPr="00DF13EF">
              <w:rPr>
                <w:rFonts w:asciiTheme="majorHAnsi" w:hAnsiTheme="majorHAnsi" w:cstheme="majorHAnsi"/>
              </w:rPr>
              <w:t>30 June 2019</w:t>
            </w:r>
            <w:r w:rsidR="00480FEB">
              <w:rPr>
                <w:rFonts w:asciiTheme="majorHAnsi" w:hAnsiTheme="majorHAnsi" w:cstheme="majorHAnsi"/>
              </w:rPr>
              <w:t xml:space="preserve"> and 20 business days before they implement the new gas day</w:t>
            </w:r>
            <w:r w:rsidRPr="00CC7973">
              <w:rPr>
                <w:szCs w:val="18"/>
              </w:rPr>
              <w:t xml:space="preserve">. </w:t>
            </w:r>
          </w:p>
          <w:p w14:paraId="14020459" w14:textId="77777777" w:rsidR="001B5338" w:rsidRPr="008B4694" w:rsidRDefault="00480FEB" w:rsidP="0041089F">
            <w:pPr>
              <w:pStyle w:val="TableBullet1"/>
              <w:numPr>
                <w:ilvl w:val="0"/>
                <w:numId w:val="0"/>
              </w:numPr>
              <w:spacing w:before="40" w:after="40" w:line="252" w:lineRule="auto"/>
              <w:ind w:left="85"/>
              <w:rPr>
                <w:szCs w:val="18"/>
              </w:rPr>
            </w:pPr>
            <w:r>
              <w:rPr>
                <w:szCs w:val="18"/>
              </w:rPr>
              <w:t>Transitional provisions have also been included in the legal and regulatory framework</w:t>
            </w:r>
            <w:r w:rsidR="0041089F">
              <w:rPr>
                <w:szCs w:val="18"/>
              </w:rPr>
              <w:t xml:space="preserve"> to</w:t>
            </w:r>
            <w:r w:rsidR="001B5338" w:rsidRPr="008B4694">
              <w:rPr>
                <w:szCs w:val="18"/>
              </w:rPr>
              <w:t xml:space="preserve">: </w:t>
            </w:r>
          </w:p>
          <w:p w14:paraId="2C6D85E7" w14:textId="77777777" w:rsidR="001B5338" w:rsidRPr="00084A4D" w:rsidRDefault="001B5338" w:rsidP="0041089F">
            <w:pPr>
              <w:pStyle w:val="TableBullet1"/>
              <w:spacing w:before="40" w:after="40" w:line="252" w:lineRule="auto"/>
              <w:rPr>
                <w:szCs w:val="18"/>
                <w:lang w:val="en-US"/>
              </w:rPr>
            </w:pPr>
            <w:r w:rsidRPr="008B4694">
              <w:rPr>
                <w:lang w:val="en-US"/>
              </w:rPr>
              <w:t>req</w:t>
            </w:r>
            <w:r w:rsidRPr="00084A4D">
              <w:rPr>
                <w:szCs w:val="18"/>
                <w:lang w:val="en-US"/>
              </w:rPr>
              <w:t>uire parties to negotiate in good faith if amendments to contracts are required to implement the new times and include a dispute resolution mechanism that parties can have recourse to if agreement cannot be reached; and</w:t>
            </w:r>
          </w:p>
          <w:p w14:paraId="00B6B1E8" w14:textId="77777777" w:rsidR="001B5338" w:rsidRPr="00084A4D" w:rsidRDefault="001B5338" w:rsidP="0041089F">
            <w:pPr>
              <w:pStyle w:val="TableBullet1"/>
              <w:spacing w:before="40" w:after="40" w:line="252" w:lineRule="auto"/>
              <w:rPr>
                <w:szCs w:val="18"/>
              </w:rPr>
            </w:pPr>
            <w:r w:rsidRPr="00084A4D">
              <w:rPr>
                <w:szCs w:val="18"/>
                <w:lang w:val="en-US"/>
              </w:rPr>
              <w:t xml:space="preserve">provide </w:t>
            </w:r>
            <w:r w:rsidR="00621704">
              <w:rPr>
                <w:szCs w:val="18"/>
                <w:lang w:val="en-US"/>
              </w:rPr>
              <w:t xml:space="preserve">those parties that are required to give effect to the standard market timetable </w:t>
            </w:r>
            <w:r w:rsidRPr="00084A4D">
              <w:rPr>
                <w:szCs w:val="18"/>
                <w:lang w:val="en-US"/>
              </w:rPr>
              <w:t xml:space="preserve">an immunity from </w:t>
            </w:r>
            <w:r w:rsidRPr="00084A4D">
              <w:rPr>
                <w:rFonts w:asciiTheme="majorHAnsi" w:hAnsiTheme="majorHAnsi" w:cstheme="majorHAnsi"/>
                <w:szCs w:val="18"/>
                <w:lang w:val="en-US"/>
              </w:rPr>
              <w:t xml:space="preserve">civil monetary liability that may otherwise arise from use of </w:t>
            </w:r>
            <w:r w:rsidR="00621704">
              <w:rPr>
                <w:rFonts w:asciiTheme="majorHAnsi" w:hAnsiTheme="majorHAnsi" w:cstheme="majorHAnsi"/>
                <w:szCs w:val="18"/>
                <w:lang w:val="en-US"/>
              </w:rPr>
              <w:t>this timetable</w:t>
            </w:r>
            <w:r w:rsidRPr="00084A4D">
              <w:rPr>
                <w:rFonts w:asciiTheme="majorHAnsi" w:hAnsiTheme="majorHAnsi" w:cstheme="majorHAnsi"/>
                <w:szCs w:val="18"/>
                <w:lang w:val="en-US"/>
              </w:rPr>
              <w:t>.</w:t>
            </w:r>
          </w:p>
          <w:p w14:paraId="7BD3D397" w14:textId="77777777" w:rsidR="001B5338" w:rsidRPr="00133EA3" w:rsidRDefault="00383C66" w:rsidP="0041089F">
            <w:pPr>
              <w:pStyle w:val="TableBullet1"/>
              <w:numPr>
                <w:ilvl w:val="0"/>
                <w:numId w:val="0"/>
              </w:numPr>
              <w:spacing w:before="40" w:after="40" w:line="252" w:lineRule="auto"/>
              <w:ind w:left="85"/>
              <w:rPr>
                <w:szCs w:val="18"/>
              </w:rPr>
            </w:pPr>
            <w:r>
              <w:rPr>
                <w:szCs w:val="18"/>
              </w:rPr>
              <w:t>T</w:t>
            </w:r>
            <w:r w:rsidR="001B5338" w:rsidRPr="00084A4D">
              <w:rPr>
                <w:szCs w:val="18"/>
              </w:rPr>
              <w:t>he GMRG</w:t>
            </w:r>
            <w:r>
              <w:rPr>
                <w:szCs w:val="18"/>
              </w:rPr>
              <w:t xml:space="preserve"> recommended this refinement to facilitate </w:t>
            </w:r>
            <w:r w:rsidR="001B5338">
              <w:rPr>
                <w:szCs w:val="18"/>
              </w:rPr>
              <w:t xml:space="preserve">an orderly transition to the </w:t>
            </w:r>
            <w:r w:rsidR="00621704">
              <w:rPr>
                <w:szCs w:val="18"/>
              </w:rPr>
              <w:t>standard market timetable</w:t>
            </w:r>
            <w:r w:rsidR="001B5338">
              <w:rPr>
                <w:szCs w:val="18"/>
              </w:rPr>
              <w:t>.</w:t>
            </w:r>
          </w:p>
        </w:tc>
      </w:tr>
    </w:tbl>
    <w:p w14:paraId="48913516" w14:textId="77777777" w:rsidR="001B5338" w:rsidRPr="00C92377" w:rsidRDefault="001B5338" w:rsidP="001B5338">
      <w:pPr>
        <w:pStyle w:val="BodyText"/>
        <w:spacing w:before="0" w:after="0"/>
        <w:rPr>
          <w:sz w:val="2"/>
          <w:szCs w:val="2"/>
        </w:rPr>
      </w:pPr>
    </w:p>
    <w:p w14:paraId="05AE57A0" w14:textId="77777777" w:rsidR="001B5338" w:rsidRPr="00C92377" w:rsidRDefault="001B5338" w:rsidP="001B5338">
      <w:pPr>
        <w:pStyle w:val="BodyText"/>
        <w:spacing w:before="0" w:after="0"/>
        <w:rPr>
          <w:sz w:val="2"/>
          <w:szCs w:val="2"/>
        </w:rPr>
        <w:sectPr w:rsidR="001B5338" w:rsidRPr="00C92377" w:rsidSect="001B5338">
          <w:footerReference w:type="default" r:id="rId34"/>
          <w:pgSz w:w="16839" w:h="11907" w:orient="landscape" w:code="9"/>
          <w:pgMar w:top="1276" w:right="1418" w:bottom="709" w:left="1701" w:header="567" w:footer="397" w:gutter="0"/>
          <w:cols w:space="708"/>
          <w:docGrid w:linePitch="360"/>
        </w:sectPr>
      </w:pPr>
    </w:p>
    <w:p w14:paraId="0C64454F" w14:textId="2C156EDE" w:rsidR="001B5338" w:rsidRDefault="001B5338" w:rsidP="00D34AF5">
      <w:pPr>
        <w:pStyle w:val="Caption"/>
        <w:spacing w:before="0" w:after="0"/>
      </w:pPr>
      <w:bookmarkStart w:id="23" w:name="_Ref514354528"/>
      <w:r>
        <w:lastRenderedPageBreak/>
        <w:t xml:space="preserve">Box </w:t>
      </w:r>
      <w:r w:rsidR="00307760">
        <w:rPr>
          <w:noProof/>
        </w:rPr>
        <w:fldChar w:fldCharType="begin"/>
      </w:r>
      <w:r w:rsidR="00307760">
        <w:rPr>
          <w:noProof/>
        </w:rPr>
        <w:instrText xml:space="preserve"> STYLEREF 1 \s </w:instrText>
      </w:r>
      <w:r w:rsidR="00307760">
        <w:rPr>
          <w:noProof/>
        </w:rPr>
        <w:fldChar w:fldCharType="separate"/>
      </w:r>
      <w:r w:rsidR="0026074F">
        <w:rPr>
          <w:noProof/>
        </w:rPr>
        <w:t>1</w:t>
      </w:r>
      <w:r w:rsidR="00307760">
        <w:rPr>
          <w:noProof/>
        </w:rPr>
        <w:fldChar w:fldCharType="end"/>
      </w:r>
      <w:r w:rsidR="00D32596">
        <w:t>.</w:t>
      </w:r>
      <w:r w:rsidR="00307760">
        <w:rPr>
          <w:noProof/>
        </w:rPr>
        <w:fldChar w:fldCharType="begin"/>
      </w:r>
      <w:r w:rsidR="00307760">
        <w:rPr>
          <w:noProof/>
        </w:rPr>
        <w:instrText xml:space="preserve"> SEQ Box \* ARABIC \s 1 </w:instrText>
      </w:r>
      <w:r w:rsidR="00307760">
        <w:rPr>
          <w:noProof/>
        </w:rPr>
        <w:fldChar w:fldCharType="separate"/>
      </w:r>
      <w:r w:rsidR="0026074F">
        <w:rPr>
          <w:noProof/>
        </w:rPr>
        <w:t>2</w:t>
      </w:r>
      <w:r w:rsidR="00307760">
        <w:rPr>
          <w:noProof/>
        </w:rPr>
        <w:fldChar w:fldCharType="end"/>
      </w:r>
      <w:bookmarkEnd w:id="23"/>
      <w:r>
        <w:t xml:space="preserve">: </w:t>
      </w:r>
      <w:r w:rsidR="005654DE">
        <w:t xml:space="preserve">Changes to </w:t>
      </w:r>
      <w:r>
        <w:t xml:space="preserve">legal and regulatory framework </w:t>
      </w:r>
      <w:r w:rsidR="005654DE">
        <w:t>to reflect stakeholder feedback</w:t>
      </w:r>
    </w:p>
    <w:tbl>
      <w:tblPr>
        <w:tblStyle w:val="PullOutBoxTable"/>
        <w:tblW w:w="5001" w:type="pct"/>
        <w:tblLook w:val="0600" w:firstRow="0" w:lastRow="0" w:firstColumn="0" w:lastColumn="0" w:noHBand="1" w:noVBand="1"/>
      </w:tblPr>
      <w:tblGrid>
        <w:gridCol w:w="8790"/>
      </w:tblGrid>
      <w:tr w:rsidR="001B5338" w:rsidRPr="003811E0" w14:paraId="396E1ABF" w14:textId="77777777" w:rsidTr="001B5338">
        <w:tc>
          <w:tcPr>
            <w:tcW w:w="5000" w:type="pct"/>
          </w:tcPr>
          <w:p w14:paraId="7DC3934E" w14:textId="77777777" w:rsidR="001B5338" w:rsidRPr="003811E0" w:rsidRDefault="001B5338" w:rsidP="001B5338">
            <w:pPr>
              <w:spacing w:before="40" w:after="40"/>
              <w:rPr>
                <w:rFonts w:cs="Arial"/>
                <w:sz w:val="19"/>
                <w:szCs w:val="19"/>
                <w:lang w:val="en-US"/>
              </w:rPr>
            </w:pPr>
            <w:r w:rsidRPr="003811E0">
              <w:rPr>
                <w:rFonts w:cs="Arial"/>
                <w:sz w:val="19"/>
                <w:szCs w:val="19"/>
                <w:lang w:val="en-US"/>
              </w:rPr>
              <w:t xml:space="preserve">The key amendments that have been made to the </w:t>
            </w:r>
            <w:r w:rsidR="005654DE">
              <w:rPr>
                <w:rFonts w:cs="Arial"/>
                <w:sz w:val="19"/>
                <w:szCs w:val="19"/>
                <w:lang w:val="en-US"/>
              </w:rPr>
              <w:t xml:space="preserve">draft </w:t>
            </w:r>
            <w:r w:rsidRPr="003811E0">
              <w:rPr>
                <w:rFonts w:cs="Arial"/>
                <w:sz w:val="19"/>
                <w:szCs w:val="19"/>
                <w:lang w:val="en-US"/>
              </w:rPr>
              <w:t xml:space="preserve">legal and regulatory framework </w:t>
            </w:r>
            <w:r w:rsidR="005654DE">
              <w:rPr>
                <w:rFonts w:cs="Arial"/>
                <w:sz w:val="19"/>
                <w:szCs w:val="19"/>
                <w:lang w:val="en-US"/>
              </w:rPr>
              <w:t xml:space="preserve">to provide greater clarity </w:t>
            </w:r>
            <w:r w:rsidR="00D34AF5">
              <w:rPr>
                <w:rFonts w:cs="Arial"/>
                <w:sz w:val="19"/>
                <w:szCs w:val="19"/>
                <w:lang w:val="en-US"/>
              </w:rPr>
              <w:t xml:space="preserve">about the rights and obligations of market participants and greater confidence in the trading platform and auction </w:t>
            </w:r>
            <w:r w:rsidRPr="003811E0">
              <w:rPr>
                <w:rFonts w:cs="Arial"/>
                <w:sz w:val="19"/>
                <w:szCs w:val="19"/>
                <w:lang w:val="en-US"/>
              </w:rPr>
              <w:t>are as follows:</w:t>
            </w:r>
          </w:p>
          <w:p w14:paraId="52F70C99" w14:textId="77777777" w:rsidR="001B5338" w:rsidRPr="003811E0" w:rsidRDefault="001B5338" w:rsidP="001B5338">
            <w:pPr>
              <w:pStyle w:val="TableBullet1"/>
              <w:spacing w:before="40" w:after="40"/>
              <w:rPr>
                <w:sz w:val="19"/>
                <w:szCs w:val="19"/>
                <w:lang w:val="en-US"/>
              </w:rPr>
            </w:pPr>
            <w:r w:rsidRPr="003811E0">
              <w:rPr>
                <w:b/>
                <w:sz w:val="19"/>
                <w:szCs w:val="19"/>
                <w:lang w:val="en-US"/>
              </w:rPr>
              <w:t>Capacity trading platform provisions:</w:t>
            </w:r>
            <w:r w:rsidRPr="003811E0">
              <w:rPr>
                <w:sz w:val="19"/>
                <w:szCs w:val="19"/>
                <w:lang w:val="en-US"/>
              </w:rPr>
              <w:t xml:space="preserve"> These provisions have been amended to:</w:t>
            </w:r>
          </w:p>
          <w:p w14:paraId="6AAB2DC2" w14:textId="77777777" w:rsidR="001B5338" w:rsidRPr="003811E0" w:rsidRDefault="001B5338" w:rsidP="001B5338">
            <w:pPr>
              <w:pStyle w:val="ListBullet2"/>
              <w:spacing w:before="40" w:after="40"/>
              <w:rPr>
                <w:sz w:val="19"/>
                <w:szCs w:val="19"/>
                <w:lang w:val="en-US"/>
              </w:rPr>
            </w:pPr>
            <w:r w:rsidRPr="003811E0">
              <w:rPr>
                <w:sz w:val="19"/>
                <w:szCs w:val="19"/>
                <w:lang w:val="en-US"/>
              </w:rPr>
              <w:t>Clarify that there is to be no short selling of capacity in the capacity trading platform.</w:t>
            </w:r>
          </w:p>
          <w:p w14:paraId="4407660F" w14:textId="77777777" w:rsidR="001B5338" w:rsidRPr="003811E0" w:rsidRDefault="001B5338" w:rsidP="001B5338">
            <w:pPr>
              <w:pStyle w:val="ListBullet2"/>
              <w:spacing w:before="40" w:after="40"/>
              <w:rPr>
                <w:sz w:val="19"/>
                <w:szCs w:val="19"/>
                <w:lang w:val="en-US"/>
              </w:rPr>
            </w:pPr>
            <w:r w:rsidRPr="003811E0">
              <w:rPr>
                <w:sz w:val="19"/>
                <w:szCs w:val="19"/>
                <w:lang w:val="en-US"/>
              </w:rPr>
              <w:t xml:space="preserve">Specify the method for calculating the price to be paid </w:t>
            </w:r>
            <w:r w:rsidR="00621704">
              <w:rPr>
                <w:sz w:val="19"/>
                <w:szCs w:val="19"/>
                <w:lang w:val="en-US"/>
              </w:rPr>
              <w:t xml:space="preserve">to transportation </w:t>
            </w:r>
            <w:r w:rsidR="00621704" w:rsidRPr="003811E0">
              <w:rPr>
                <w:sz w:val="19"/>
                <w:szCs w:val="19"/>
                <w:lang w:val="en-US"/>
              </w:rPr>
              <w:t xml:space="preserve">service providers </w:t>
            </w:r>
            <w:r w:rsidRPr="003811E0">
              <w:rPr>
                <w:sz w:val="19"/>
                <w:szCs w:val="19"/>
                <w:lang w:val="en-US"/>
              </w:rPr>
              <w:t xml:space="preserve">if a primary </w:t>
            </w:r>
            <w:r w:rsidR="00621704">
              <w:rPr>
                <w:sz w:val="19"/>
                <w:szCs w:val="19"/>
                <w:lang w:val="en-US"/>
              </w:rPr>
              <w:t xml:space="preserve">facility </w:t>
            </w:r>
            <w:r w:rsidRPr="003811E0">
              <w:rPr>
                <w:sz w:val="19"/>
                <w:szCs w:val="19"/>
                <w:lang w:val="en-US"/>
              </w:rPr>
              <w:t xml:space="preserve">agreement is terminated and </w:t>
            </w:r>
            <w:r w:rsidR="00621704">
              <w:rPr>
                <w:sz w:val="19"/>
                <w:szCs w:val="19"/>
                <w:lang w:val="en-US"/>
              </w:rPr>
              <w:t xml:space="preserve">a </w:t>
            </w:r>
            <w:r w:rsidRPr="003811E0">
              <w:rPr>
                <w:sz w:val="19"/>
                <w:szCs w:val="19"/>
                <w:lang w:val="en-US"/>
              </w:rPr>
              <w:t xml:space="preserve">trade </w:t>
            </w:r>
            <w:r w:rsidR="00621704">
              <w:rPr>
                <w:sz w:val="19"/>
                <w:szCs w:val="19"/>
                <w:lang w:val="en-US"/>
              </w:rPr>
              <w:t xml:space="preserve">is kept </w:t>
            </w:r>
            <w:r w:rsidRPr="003811E0">
              <w:rPr>
                <w:sz w:val="19"/>
                <w:szCs w:val="19"/>
                <w:lang w:val="en-US"/>
              </w:rPr>
              <w:t>on foot.</w:t>
            </w:r>
          </w:p>
          <w:p w14:paraId="6AE32D94" w14:textId="77777777" w:rsidR="001B5338" w:rsidRPr="003811E0" w:rsidRDefault="001B5338" w:rsidP="001B5338">
            <w:pPr>
              <w:pStyle w:val="TableBullet1"/>
              <w:spacing w:before="40" w:after="40"/>
              <w:rPr>
                <w:sz w:val="19"/>
                <w:szCs w:val="19"/>
                <w:lang w:val="en-US"/>
              </w:rPr>
            </w:pPr>
            <w:r w:rsidRPr="003811E0">
              <w:rPr>
                <w:b/>
                <w:sz w:val="19"/>
                <w:szCs w:val="19"/>
                <w:lang w:val="en-US"/>
              </w:rPr>
              <w:t>Auction provisions:</w:t>
            </w:r>
            <w:r w:rsidRPr="003811E0">
              <w:rPr>
                <w:sz w:val="19"/>
                <w:szCs w:val="19"/>
                <w:lang w:val="en-US"/>
              </w:rPr>
              <w:t xml:space="preserve"> These provisions have been amended to:</w:t>
            </w:r>
          </w:p>
          <w:p w14:paraId="285888B1" w14:textId="77777777" w:rsidR="001B5338" w:rsidRPr="003811E0" w:rsidRDefault="001B5338" w:rsidP="001B5338">
            <w:pPr>
              <w:pStyle w:val="ListBullet2"/>
              <w:spacing w:before="40" w:after="40"/>
              <w:rPr>
                <w:sz w:val="19"/>
                <w:szCs w:val="19"/>
                <w:lang w:val="en-US"/>
              </w:rPr>
            </w:pPr>
            <w:r w:rsidRPr="003811E0">
              <w:rPr>
                <w:sz w:val="19"/>
                <w:szCs w:val="19"/>
                <w:lang w:val="en-US"/>
              </w:rPr>
              <w:t xml:space="preserve">Provide </w:t>
            </w:r>
            <w:r w:rsidR="00621704">
              <w:rPr>
                <w:sz w:val="19"/>
                <w:szCs w:val="19"/>
                <w:lang w:val="en-US"/>
              </w:rPr>
              <w:t xml:space="preserve">transportation </w:t>
            </w:r>
            <w:r w:rsidRPr="003811E0">
              <w:rPr>
                <w:sz w:val="19"/>
                <w:szCs w:val="19"/>
                <w:lang w:val="en-US"/>
              </w:rPr>
              <w:t>service providers a transitional immunity from civil monetary liability that may otherwise arise as a result of releasing contracted capacity into the auction,</w:t>
            </w:r>
            <w:r w:rsidR="006537A6">
              <w:rPr>
                <w:sz w:val="19"/>
                <w:szCs w:val="19"/>
                <w:lang w:val="en-US"/>
              </w:rPr>
              <w:t xml:space="preserve"> </w:t>
            </w:r>
            <w:r w:rsidRPr="003811E0">
              <w:rPr>
                <w:sz w:val="19"/>
                <w:szCs w:val="19"/>
                <w:lang w:val="en-US"/>
              </w:rPr>
              <w:t>or giving effect to the auction priority principles and scheduling requirements in the NGR.</w:t>
            </w:r>
          </w:p>
          <w:p w14:paraId="6780C6F0" w14:textId="77777777" w:rsidR="001B5338" w:rsidRPr="003811E0" w:rsidRDefault="001B5338" w:rsidP="001B5338">
            <w:pPr>
              <w:pStyle w:val="ListBullet2"/>
              <w:spacing w:before="40" w:after="40"/>
              <w:rPr>
                <w:sz w:val="19"/>
                <w:szCs w:val="19"/>
              </w:rPr>
            </w:pPr>
            <w:r w:rsidRPr="003811E0">
              <w:rPr>
                <w:sz w:val="19"/>
                <w:szCs w:val="19"/>
                <w:lang w:val="en-US"/>
              </w:rPr>
              <w:t xml:space="preserve">Provide market participants with greater confidence in the process for the classification and use of </w:t>
            </w:r>
            <w:r w:rsidR="00D34AF5">
              <w:rPr>
                <w:sz w:val="19"/>
                <w:szCs w:val="19"/>
                <w:lang w:val="en-US"/>
              </w:rPr>
              <w:t xml:space="preserve">transitional firm </w:t>
            </w:r>
            <w:r w:rsidRPr="003811E0">
              <w:rPr>
                <w:sz w:val="19"/>
                <w:szCs w:val="19"/>
                <w:lang w:val="en-US"/>
              </w:rPr>
              <w:t>rights by:</w:t>
            </w:r>
          </w:p>
          <w:p w14:paraId="525CE0D2" w14:textId="77777777" w:rsidR="001B5338" w:rsidRPr="003811E0" w:rsidRDefault="001B5338" w:rsidP="003F25E1">
            <w:pPr>
              <w:pStyle w:val="TableBullet2"/>
              <w:numPr>
                <w:ilvl w:val="0"/>
                <w:numId w:val="34"/>
              </w:numPr>
              <w:spacing w:before="40" w:after="40"/>
              <w:rPr>
                <w:sz w:val="19"/>
                <w:szCs w:val="19"/>
              </w:rPr>
            </w:pPr>
            <w:r w:rsidRPr="003811E0">
              <w:rPr>
                <w:sz w:val="19"/>
                <w:szCs w:val="19"/>
                <w:lang w:val="en-US"/>
              </w:rPr>
              <w:t xml:space="preserve">Enabling </w:t>
            </w:r>
            <w:r w:rsidR="008B110F">
              <w:rPr>
                <w:sz w:val="19"/>
                <w:szCs w:val="19"/>
                <w:lang w:val="en-US"/>
              </w:rPr>
              <w:t xml:space="preserve">auction facility operators </w:t>
            </w:r>
            <w:r w:rsidRPr="003811E0">
              <w:rPr>
                <w:sz w:val="19"/>
                <w:szCs w:val="19"/>
                <w:lang w:val="en-US"/>
              </w:rPr>
              <w:t xml:space="preserve">to classify a transportation service used to supply a gas-fired generator as a </w:t>
            </w:r>
            <w:r w:rsidR="00621704">
              <w:rPr>
                <w:sz w:val="19"/>
                <w:szCs w:val="19"/>
                <w:lang w:val="en-US"/>
              </w:rPr>
              <w:t xml:space="preserve">transitional firm </w:t>
            </w:r>
            <w:r w:rsidRPr="003811E0">
              <w:rPr>
                <w:sz w:val="19"/>
                <w:szCs w:val="19"/>
                <w:lang w:val="en-US"/>
              </w:rPr>
              <w:t xml:space="preserve">right for the purposes of the auction if it meets the criteria in the transitional rules. Classification will be subject to review by the AER. </w:t>
            </w:r>
          </w:p>
          <w:p w14:paraId="5029A6E3" w14:textId="77777777" w:rsidR="001B5338" w:rsidRPr="00174849" w:rsidRDefault="001B5338" w:rsidP="003F25E1">
            <w:pPr>
              <w:pStyle w:val="TableBullet2"/>
              <w:numPr>
                <w:ilvl w:val="0"/>
                <w:numId w:val="34"/>
              </w:numPr>
              <w:spacing w:before="40" w:after="40"/>
              <w:rPr>
                <w:sz w:val="19"/>
                <w:szCs w:val="19"/>
              </w:rPr>
            </w:pPr>
            <w:r w:rsidRPr="003811E0">
              <w:rPr>
                <w:sz w:val="19"/>
                <w:szCs w:val="19"/>
                <w:lang w:val="en-US"/>
              </w:rPr>
              <w:t>Providing for the AER to monitor compliance with the conditions of use of these rights (e.g. that t</w:t>
            </w:r>
            <w:r w:rsidRPr="00174849">
              <w:rPr>
                <w:sz w:val="19"/>
                <w:szCs w:val="19"/>
                <w:lang w:val="en-US"/>
              </w:rPr>
              <w:t xml:space="preserve">hey must be used to transport gas to a gas-fired generation site). </w:t>
            </w:r>
          </w:p>
          <w:p w14:paraId="68F4410F" w14:textId="77777777" w:rsidR="001B5338" w:rsidRPr="00174849" w:rsidRDefault="001B5338" w:rsidP="003F25E1">
            <w:pPr>
              <w:pStyle w:val="TableBullet2"/>
              <w:numPr>
                <w:ilvl w:val="0"/>
                <w:numId w:val="34"/>
              </w:numPr>
              <w:spacing w:before="40" w:after="40"/>
              <w:rPr>
                <w:sz w:val="19"/>
                <w:szCs w:val="19"/>
              </w:rPr>
            </w:pPr>
            <w:r w:rsidRPr="00174849">
              <w:rPr>
                <w:sz w:val="19"/>
                <w:szCs w:val="19"/>
                <w:lang w:val="en-US"/>
              </w:rPr>
              <w:t>Require information on the amount of grandfathered rights used each day to be reported on the Bulletin Board after the gas day.</w:t>
            </w:r>
          </w:p>
          <w:p w14:paraId="7D70BA2E" w14:textId="77777777" w:rsidR="001B5338" w:rsidRPr="00174849" w:rsidRDefault="001B5338" w:rsidP="001B5338">
            <w:pPr>
              <w:pStyle w:val="ListBullet2"/>
              <w:spacing w:before="40" w:after="40"/>
              <w:rPr>
                <w:sz w:val="19"/>
                <w:szCs w:val="19"/>
                <w:lang w:val="en-US"/>
              </w:rPr>
            </w:pPr>
            <w:r w:rsidRPr="00174849">
              <w:rPr>
                <w:sz w:val="19"/>
                <w:szCs w:val="19"/>
                <w:lang w:val="en-US"/>
              </w:rPr>
              <w:t xml:space="preserve">Require </w:t>
            </w:r>
            <w:r w:rsidR="00174849" w:rsidRPr="00174849">
              <w:rPr>
                <w:sz w:val="19"/>
                <w:szCs w:val="19"/>
                <w:lang w:val="en-US"/>
              </w:rPr>
              <w:t xml:space="preserve">transportation </w:t>
            </w:r>
            <w:r w:rsidRPr="00174849">
              <w:rPr>
                <w:sz w:val="19"/>
                <w:szCs w:val="19"/>
                <w:lang w:val="en-US"/>
              </w:rPr>
              <w:t xml:space="preserve">service providers to report </w:t>
            </w:r>
            <w:r w:rsidRPr="00174849">
              <w:rPr>
                <w:sz w:val="19"/>
                <w:szCs w:val="19"/>
              </w:rPr>
              <w:t>any curtailment of auction services on the Bulletin Board as soon as reasonably practicable.</w:t>
            </w:r>
          </w:p>
          <w:p w14:paraId="68A37FD4" w14:textId="77777777" w:rsidR="001B5338" w:rsidRPr="00174849" w:rsidRDefault="001B5338" w:rsidP="001B5338">
            <w:pPr>
              <w:pStyle w:val="ListBullet2"/>
              <w:spacing w:before="40" w:after="40"/>
              <w:rPr>
                <w:sz w:val="19"/>
                <w:szCs w:val="19"/>
                <w:lang w:val="en-US"/>
              </w:rPr>
            </w:pPr>
            <w:r w:rsidRPr="00174849">
              <w:rPr>
                <w:sz w:val="19"/>
                <w:szCs w:val="19"/>
                <w:lang w:val="en-US"/>
              </w:rPr>
              <w:t xml:space="preserve">Clarify that </w:t>
            </w:r>
            <w:r w:rsidR="00621704" w:rsidRPr="00174849">
              <w:rPr>
                <w:sz w:val="19"/>
                <w:szCs w:val="19"/>
                <w:lang w:val="en-US"/>
              </w:rPr>
              <w:t xml:space="preserve">transportation </w:t>
            </w:r>
            <w:r w:rsidRPr="00174849">
              <w:rPr>
                <w:sz w:val="19"/>
                <w:szCs w:val="19"/>
                <w:lang w:val="en-US"/>
              </w:rPr>
              <w:t>service providers are responsible for determining their</w:t>
            </w:r>
            <w:r w:rsidRPr="00174849">
              <w:rPr>
                <w:sz w:val="19"/>
                <w:szCs w:val="19"/>
              </w:rPr>
              <w:t xml:space="preserve"> facility's</w:t>
            </w:r>
            <w:r w:rsidRPr="00174849">
              <w:rPr>
                <w:sz w:val="19"/>
                <w:szCs w:val="19"/>
                <w:lang w:val="en-US"/>
              </w:rPr>
              <w:t xml:space="preserve"> operational capacity, capacity shortfalls and auction quantities limits (subject to the provisions in the NGR and </w:t>
            </w:r>
            <w:r w:rsidR="00221E73" w:rsidRPr="00174849">
              <w:rPr>
                <w:sz w:val="19"/>
                <w:szCs w:val="19"/>
              </w:rPr>
              <w:t>CT&amp;A Procedures</w:t>
            </w:r>
            <w:r w:rsidRPr="00174849">
              <w:rPr>
                <w:sz w:val="19"/>
                <w:szCs w:val="19"/>
                <w:lang w:val="en-US"/>
              </w:rPr>
              <w:t>).</w:t>
            </w:r>
          </w:p>
          <w:p w14:paraId="636BD170" w14:textId="77777777" w:rsidR="001B5338" w:rsidRPr="003811E0" w:rsidRDefault="001B5338" w:rsidP="001B5338">
            <w:pPr>
              <w:pStyle w:val="ListBullet2"/>
              <w:spacing w:before="40" w:after="40"/>
              <w:rPr>
                <w:sz w:val="19"/>
                <w:szCs w:val="19"/>
                <w:lang w:val="en-US"/>
              </w:rPr>
            </w:pPr>
            <w:r w:rsidRPr="003811E0">
              <w:rPr>
                <w:sz w:val="19"/>
                <w:szCs w:val="19"/>
                <w:lang w:val="en-US"/>
              </w:rPr>
              <w:t xml:space="preserve">Prohibit </w:t>
            </w:r>
            <w:r w:rsidR="00174849">
              <w:rPr>
                <w:sz w:val="19"/>
                <w:szCs w:val="19"/>
                <w:lang w:val="en-US"/>
              </w:rPr>
              <w:t xml:space="preserve">auction </w:t>
            </w:r>
            <w:r w:rsidRPr="003811E0">
              <w:rPr>
                <w:sz w:val="19"/>
                <w:szCs w:val="19"/>
                <w:lang w:val="en-US"/>
              </w:rPr>
              <w:t xml:space="preserve">facility operators from </w:t>
            </w:r>
            <w:r w:rsidR="00174849">
              <w:rPr>
                <w:sz w:val="19"/>
                <w:szCs w:val="19"/>
                <w:lang w:val="en-US"/>
              </w:rPr>
              <w:t xml:space="preserve">directly or indirectly </w:t>
            </w:r>
            <w:r w:rsidRPr="003811E0">
              <w:rPr>
                <w:sz w:val="19"/>
                <w:szCs w:val="19"/>
                <w:lang w:val="en-US"/>
              </w:rPr>
              <w:t xml:space="preserve">bidding for capacity on their facility, or engaging in conduct with the intent of distorting or manipulating </w:t>
            </w:r>
            <w:r w:rsidR="00174849">
              <w:rPr>
                <w:sz w:val="19"/>
                <w:szCs w:val="19"/>
                <w:lang w:val="en-US"/>
              </w:rPr>
              <w:t xml:space="preserve">auction </w:t>
            </w:r>
            <w:r w:rsidRPr="003811E0">
              <w:rPr>
                <w:sz w:val="19"/>
                <w:szCs w:val="19"/>
                <w:lang w:val="en-US"/>
              </w:rPr>
              <w:t>prices.</w:t>
            </w:r>
          </w:p>
          <w:p w14:paraId="3A4EA555" w14:textId="77777777" w:rsidR="001B5338" w:rsidRPr="003811E0" w:rsidRDefault="001B5338" w:rsidP="001B5338">
            <w:pPr>
              <w:pStyle w:val="ListBullet2"/>
              <w:spacing w:before="40" w:after="40"/>
              <w:rPr>
                <w:sz w:val="19"/>
                <w:szCs w:val="19"/>
                <w:lang w:val="en-US"/>
              </w:rPr>
            </w:pPr>
            <w:r w:rsidRPr="003811E0">
              <w:rPr>
                <w:sz w:val="19"/>
                <w:szCs w:val="19"/>
                <w:lang w:val="en-US"/>
              </w:rPr>
              <w:t>Clarify the circumstances in which shippers must keep renomination records.</w:t>
            </w:r>
          </w:p>
          <w:p w14:paraId="76297A14" w14:textId="77777777" w:rsidR="001B5338" w:rsidRPr="003811E0" w:rsidRDefault="001B5338" w:rsidP="001B5338">
            <w:pPr>
              <w:pStyle w:val="TableBullet1"/>
              <w:spacing w:before="40" w:after="40"/>
              <w:rPr>
                <w:sz w:val="19"/>
                <w:szCs w:val="19"/>
                <w:lang w:val="en-US"/>
              </w:rPr>
            </w:pPr>
            <w:r w:rsidRPr="003811E0">
              <w:rPr>
                <w:b/>
                <w:sz w:val="19"/>
                <w:szCs w:val="19"/>
                <w:lang w:val="en-US"/>
              </w:rPr>
              <w:t>Measures to facilitate trade and the auction:</w:t>
            </w:r>
            <w:r w:rsidRPr="003811E0">
              <w:rPr>
                <w:sz w:val="19"/>
                <w:szCs w:val="19"/>
                <w:lang w:val="en-US"/>
              </w:rPr>
              <w:t xml:space="preserve"> These provisions have been amended to:</w:t>
            </w:r>
          </w:p>
          <w:p w14:paraId="303D470E" w14:textId="77777777" w:rsidR="001B5338" w:rsidRPr="003811E0" w:rsidRDefault="001B5338" w:rsidP="001B5338">
            <w:pPr>
              <w:pStyle w:val="ListBullet2"/>
              <w:spacing w:before="40" w:after="40"/>
              <w:rPr>
                <w:sz w:val="19"/>
                <w:szCs w:val="19"/>
                <w:lang w:val="en-US"/>
              </w:rPr>
            </w:pPr>
            <w:r w:rsidRPr="003811E0">
              <w:rPr>
                <w:sz w:val="19"/>
                <w:szCs w:val="19"/>
                <w:lang w:val="en-US"/>
              </w:rPr>
              <w:t>Require the AER to consult with interested parties before exercising its power to amend the Code on its own initiative and allow the Panel and AER to seek the advice of consumer and industry representative bodies</w:t>
            </w:r>
            <w:r w:rsidR="00174849">
              <w:rPr>
                <w:sz w:val="19"/>
                <w:szCs w:val="19"/>
                <w:lang w:val="en-US"/>
              </w:rPr>
              <w:t>,</w:t>
            </w:r>
            <w:r w:rsidRPr="003811E0">
              <w:rPr>
                <w:sz w:val="19"/>
                <w:szCs w:val="19"/>
                <w:lang w:val="en-US"/>
              </w:rPr>
              <w:t xml:space="preserve"> where it is appropriate to do so.</w:t>
            </w:r>
          </w:p>
          <w:p w14:paraId="39DBAC3E" w14:textId="77777777" w:rsidR="001B5338" w:rsidRPr="003811E0" w:rsidRDefault="001B5338" w:rsidP="001B5338">
            <w:pPr>
              <w:pStyle w:val="ListBullet2"/>
              <w:spacing w:before="40" w:after="40"/>
              <w:rPr>
                <w:sz w:val="19"/>
                <w:szCs w:val="19"/>
                <w:lang w:val="en-US"/>
              </w:rPr>
            </w:pPr>
            <w:r w:rsidRPr="003811E0">
              <w:rPr>
                <w:sz w:val="19"/>
                <w:szCs w:val="19"/>
                <w:lang w:val="en-US"/>
              </w:rPr>
              <w:t>Require AEMO to consult with interested parties before making a determination on zones and simplify the principles it is to consider when making a determination. The principles now include the facility’s technical or operational characteristics.</w:t>
            </w:r>
          </w:p>
          <w:p w14:paraId="3B6B9D4A" w14:textId="77777777" w:rsidR="001B5338" w:rsidRPr="003811E0" w:rsidRDefault="001B5338" w:rsidP="001B5338">
            <w:pPr>
              <w:pStyle w:val="ListBullet2"/>
              <w:spacing w:before="40" w:after="40"/>
              <w:rPr>
                <w:sz w:val="19"/>
                <w:szCs w:val="19"/>
              </w:rPr>
            </w:pPr>
            <w:r w:rsidRPr="003811E0">
              <w:rPr>
                <w:rFonts w:ascii="ArialMT" w:hAnsi="ArialMT" w:cs="Arial"/>
                <w:sz w:val="19"/>
                <w:szCs w:val="19"/>
                <w:lang w:val="en-US"/>
              </w:rPr>
              <w:t xml:space="preserve">Require the AER to review service providers' standard </w:t>
            </w:r>
            <w:r w:rsidR="00D34AF5">
              <w:rPr>
                <w:rFonts w:ascii="ArialMT" w:hAnsi="ArialMT" w:cs="Arial"/>
                <w:sz w:val="19"/>
                <w:szCs w:val="19"/>
                <w:lang w:val="en-US"/>
              </w:rPr>
              <w:t xml:space="preserve">OTSAs </w:t>
            </w:r>
            <w:r w:rsidRPr="003811E0">
              <w:rPr>
                <w:rFonts w:ascii="ArialMT" w:hAnsi="ArialMT" w:cs="Arial"/>
                <w:sz w:val="19"/>
                <w:szCs w:val="19"/>
                <w:lang w:val="en-US"/>
              </w:rPr>
              <w:t xml:space="preserve">and </w:t>
            </w:r>
            <w:r w:rsidRPr="00977713">
              <w:rPr>
                <w:rFonts w:ascii="ArialMT" w:hAnsi="ArialMT" w:cs="Arial"/>
                <w:sz w:val="19"/>
                <w:szCs w:val="19"/>
                <w:lang w:val="en-GB"/>
              </w:rPr>
              <w:t>standardisation</w:t>
            </w:r>
            <w:r w:rsidRPr="003811E0">
              <w:rPr>
                <w:rFonts w:ascii="ArialMT" w:hAnsi="ArialMT" w:cs="Arial"/>
                <w:sz w:val="19"/>
                <w:szCs w:val="19"/>
                <w:lang w:val="en-US"/>
              </w:rPr>
              <w:t xml:space="preserve"> charges against the Code and the NGR, within the first 12 months of the trading platform and auction </w:t>
            </w:r>
            <w:r>
              <w:rPr>
                <w:rFonts w:ascii="ArialMT" w:hAnsi="ArialMT" w:cs="Arial"/>
                <w:sz w:val="19"/>
                <w:szCs w:val="19"/>
                <w:lang w:val="en-US"/>
              </w:rPr>
              <w:t>commencing</w:t>
            </w:r>
            <w:r w:rsidRPr="003811E0">
              <w:rPr>
                <w:rFonts w:ascii="ArialMT" w:hAnsi="ArialMT" w:cs="Arial"/>
                <w:sz w:val="19"/>
                <w:szCs w:val="19"/>
                <w:lang w:val="en-US"/>
              </w:rPr>
              <w:t>.</w:t>
            </w:r>
          </w:p>
          <w:p w14:paraId="2A7E06C3" w14:textId="77777777" w:rsidR="001B5338" w:rsidRPr="003811E0" w:rsidRDefault="001B5338" w:rsidP="001B5338">
            <w:pPr>
              <w:pStyle w:val="ListBullet2"/>
              <w:spacing w:before="40" w:after="40"/>
              <w:rPr>
                <w:sz w:val="19"/>
                <w:szCs w:val="19"/>
              </w:rPr>
            </w:pPr>
            <w:r>
              <w:rPr>
                <w:rFonts w:ascii="ArialMT" w:hAnsi="ArialMT" w:cs="Arial"/>
                <w:sz w:val="19"/>
                <w:szCs w:val="19"/>
                <w:lang w:val="en-US"/>
              </w:rPr>
              <w:t>Require</w:t>
            </w:r>
            <w:r w:rsidRPr="003811E0">
              <w:rPr>
                <w:rFonts w:ascii="ArialMT" w:hAnsi="ArialMT" w:cs="Arial"/>
                <w:sz w:val="19"/>
                <w:szCs w:val="19"/>
                <w:lang w:val="en-US"/>
              </w:rPr>
              <w:t xml:space="preserve"> </w:t>
            </w:r>
            <w:r w:rsidR="00621704">
              <w:rPr>
                <w:rFonts w:ascii="ArialMT" w:hAnsi="ArialMT" w:cs="Arial"/>
                <w:sz w:val="19"/>
                <w:szCs w:val="19"/>
                <w:lang w:val="en-US"/>
              </w:rPr>
              <w:t xml:space="preserve">transportation </w:t>
            </w:r>
            <w:r w:rsidRPr="003811E0">
              <w:rPr>
                <w:rFonts w:ascii="ArialMT" w:hAnsi="ArialMT" w:cs="Arial"/>
                <w:sz w:val="19"/>
                <w:szCs w:val="19"/>
                <w:lang w:val="en-US"/>
              </w:rPr>
              <w:t xml:space="preserve">service providers and </w:t>
            </w:r>
            <w:r w:rsidR="00621704">
              <w:rPr>
                <w:rFonts w:ascii="ArialMT" w:hAnsi="ArialMT" w:cs="Arial"/>
                <w:sz w:val="19"/>
                <w:szCs w:val="19"/>
                <w:lang w:val="en-US"/>
              </w:rPr>
              <w:t xml:space="preserve">shippers </w:t>
            </w:r>
            <w:r w:rsidRPr="003811E0">
              <w:rPr>
                <w:rFonts w:ascii="ArialMT" w:hAnsi="ArialMT" w:cs="Arial"/>
                <w:sz w:val="19"/>
                <w:szCs w:val="19"/>
                <w:lang w:val="en-US"/>
              </w:rPr>
              <w:t xml:space="preserve">to negotiate in good faith if an amendment to the </w:t>
            </w:r>
            <w:r w:rsidR="00621704">
              <w:rPr>
                <w:rFonts w:ascii="ArialMT" w:hAnsi="ArialMT" w:cs="Arial"/>
                <w:sz w:val="19"/>
                <w:szCs w:val="19"/>
                <w:lang w:val="en-US"/>
              </w:rPr>
              <w:t xml:space="preserve">shipper's </w:t>
            </w:r>
            <w:r w:rsidRPr="003811E0">
              <w:rPr>
                <w:rFonts w:ascii="ArialMT" w:hAnsi="ArialMT" w:cs="Arial"/>
                <w:sz w:val="19"/>
                <w:szCs w:val="19"/>
                <w:lang w:val="en-US"/>
              </w:rPr>
              <w:t>existing facility agreement is required to enable capacity to be sold and include a dispute resolution mechanism in the NGR that parties may rely on if negotiations fail.</w:t>
            </w:r>
          </w:p>
          <w:p w14:paraId="3FD62960" w14:textId="77777777" w:rsidR="001B5338" w:rsidRPr="003811E0" w:rsidRDefault="001B5338" w:rsidP="001B5338">
            <w:pPr>
              <w:pStyle w:val="TableBullet1"/>
              <w:spacing w:before="40" w:after="40"/>
              <w:rPr>
                <w:sz w:val="19"/>
                <w:szCs w:val="19"/>
                <w:lang w:val="en-US"/>
              </w:rPr>
            </w:pPr>
            <w:r w:rsidRPr="003811E0">
              <w:rPr>
                <w:b/>
                <w:sz w:val="19"/>
                <w:szCs w:val="19"/>
                <w:lang w:val="en-US"/>
              </w:rPr>
              <w:t>Transparency provisions:</w:t>
            </w:r>
            <w:r w:rsidRPr="003811E0">
              <w:rPr>
                <w:sz w:val="19"/>
                <w:szCs w:val="19"/>
                <w:lang w:val="en-US"/>
              </w:rPr>
              <w:t xml:space="preserve"> These provisions have been amended to: </w:t>
            </w:r>
          </w:p>
          <w:p w14:paraId="15FE2D1B" w14:textId="77777777" w:rsidR="001B5338" w:rsidRPr="003811E0" w:rsidRDefault="001B5338" w:rsidP="001B5338">
            <w:pPr>
              <w:pStyle w:val="ListBullet2"/>
              <w:spacing w:before="40" w:after="40"/>
              <w:rPr>
                <w:rFonts w:asciiTheme="majorHAnsi" w:hAnsiTheme="majorHAnsi" w:cstheme="majorHAnsi"/>
                <w:sz w:val="19"/>
                <w:szCs w:val="19"/>
                <w:lang w:val="en-US"/>
              </w:rPr>
            </w:pPr>
            <w:r w:rsidRPr="003811E0">
              <w:rPr>
                <w:sz w:val="19"/>
                <w:szCs w:val="19"/>
                <w:lang w:val="en-US"/>
              </w:rPr>
              <w:t>Simplify the reporting arrangements for secondary trades and allow reporting of capacity transactions on non-</w:t>
            </w:r>
            <w:r w:rsidRPr="003811E0">
              <w:rPr>
                <w:rFonts w:asciiTheme="majorHAnsi" w:hAnsiTheme="majorHAnsi" w:cstheme="majorHAnsi"/>
                <w:sz w:val="19"/>
                <w:szCs w:val="19"/>
                <w:lang w:val="en-US"/>
              </w:rPr>
              <w:t>standard terms to be reported using reasonable approximations.</w:t>
            </w:r>
          </w:p>
          <w:p w14:paraId="5315277E" w14:textId="77777777" w:rsidR="001B5338" w:rsidRPr="003811E0" w:rsidRDefault="001B5338" w:rsidP="001B5338">
            <w:pPr>
              <w:pStyle w:val="ListBullet2"/>
              <w:spacing w:before="40" w:after="40"/>
              <w:rPr>
                <w:rFonts w:asciiTheme="majorHAnsi" w:hAnsiTheme="majorHAnsi" w:cstheme="majorHAnsi"/>
                <w:sz w:val="19"/>
                <w:szCs w:val="19"/>
                <w:lang w:val="en-US"/>
              </w:rPr>
            </w:pPr>
            <w:r w:rsidRPr="003811E0">
              <w:rPr>
                <w:rFonts w:asciiTheme="majorHAnsi" w:hAnsiTheme="majorHAnsi" w:cstheme="majorHAnsi"/>
                <w:sz w:val="19"/>
                <w:szCs w:val="19"/>
                <w:lang w:val="en-US"/>
              </w:rPr>
              <w:t>Exclude related party transactions from being reported</w:t>
            </w:r>
            <w:r w:rsidR="00621704">
              <w:rPr>
                <w:rFonts w:asciiTheme="majorHAnsi" w:hAnsiTheme="majorHAnsi" w:cstheme="majorHAnsi"/>
                <w:sz w:val="19"/>
                <w:szCs w:val="19"/>
                <w:lang w:val="en-US"/>
              </w:rPr>
              <w:t>.</w:t>
            </w:r>
            <w:r w:rsidRPr="003811E0">
              <w:rPr>
                <w:rFonts w:asciiTheme="majorHAnsi" w:hAnsiTheme="majorHAnsi" w:cstheme="majorHAnsi"/>
                <w:sz w:val="19"/>
                <w:szCs w:val="19"/>
                <w:lang w:val="en-US"/>
              </w:rPr>
              <w:t xml:space="preserve"> </w:t>
            </w:r>
          </w:p>
          <w:p w14:paraId="6D98FFF0" w14:textId="77777777" w:rsidR="001B5338" w:rsidRPr="003811E0" w:rsidRDefault="00D34AF5" w:rsidP="001B5338">
            <w:pPr>
              <w:pStyle w:val="TableBullet1"/>
              <w:spacing w:before="40" w:after="40"/>
              <w:rPr>
                <w:rFonts w:asciiTheme="majorHAnsi" w:hAnsiTheme="majorHAnsi" w:cstheme="majorHAnsi"/>
                <w:sz w:val="19"/>
                <w:szCs w:val="19"/>
                <w:lang w:val="en-US"/>
              </w:rPr>
            </w:pPr>
            <w:r>
              <w:rPr>
                <w:rFonts w:asciiTheme="majorHAnsi" w:hAnsiTheme="majorHAnsi" w:cstheme="majorHAnsi"/>
                <w:b/>
                <w:sz w:val="19"/>
                <w:szCs w:val="19"/>
                <w:lang w:val="en-US"/>
              </w:rPr>
              <w:t>Standard market timetable</w:t>
            </w:r>
            <w:r w:rsidR="001B5338" w:rsidRPr="003811E0">
              <w:rPr>
                <w:rFonts w:asciiTheme="majorHAnsi" w:hAnsiTheme="majorHAnsi" w:cstheme="majorHAnsi"/>
                <w:b/>
                <w:sz w:val="19"/>
                <w:szCs w:val="19"/>
                <w:lang w:val="en-US"/>
              </w:rPr>
              <w:t>:</w:t>
            </w:r>
            <w:r w:rsidR="001B5338" w:rsidRPr="003811E0">
              <w:rPr>
                <w:rFonts w:asciiTheme="majorHAnsi" w:hAnsiTheme="majorHAnsi" w:cstheme="majorHAnsi"/>
                <w:sz w:val="19"/>
                <w:szCs w:val="19"/>
                <w:lang w:val="en-US"/>
              </w:rPr>
              <w:t xml:space="preserve"> These provisions have been amended to:</w:t>
            </w:r>
          </w:p>
          <w:p w14:paraId="219F7AFF" w14:textId="77777777" w:rsidR="001B5338" w:rsidRPr="003811E0" w:rsidRDefault="001B5338" w:rsidP="001B5338">
            <w:pPr>
              <w:pStyle w:val="ListBullet2"/>
              <w:spacing w:before="40" w:after="40"/>
              <w:rPr>
                <w:rFonts w:asciiTheme="majorHAnsi" w:hAnsiTheme="majorHAnsi" w:cstheme="majorHAnsi"/>
                <w:sz w:val="19"/>
                <w:szCs w:val="19"/>
                <w:lang w:val="en-US"/>
              </w:rPr>
            </w:pPr>
            <w:r w:rsidRPr="003811E0">
              <w:rPr>
                <w:rFonts w:asciiTheme="majorHAnsi" w:hAnsiTheme="majorHAnsi" w:cstheme="majorHAnsi"/>
                <w:sz w:val="19"/>
                <w:szCs w:val="19"/>
                <w:lang w:val="en-US"/>
              </w:rPr>
              <w:t>Specify the nomination cut-off time for auction services.</w:t>
            </w:r>
          </w:p>
          <w:p w14:paraId="7E3E562F" w14:textId="77777777" w:rsidR="001B5338" w:rsidRPr="003811E0" w:rsidRDefault="001B5338" w:rsidP="001B5338">
            <w:pPr>
              <w:pStyle w:val="ListBullet2"/>
              <w:spacing w:before="40" w:after="40"/>
              <w:rPr>
                <w:rFonts w:asciiTheme="majorHAnsi" w:hAnsiTheme="majorHAnsi" w:cstheme="majorHAnsi"/>
                <w:sz w:val="19"/>
                <w:szCs w:val="19"/>
                <w:lang w:val="en-US"/>
              </w:rPr>
            </w:pPr>
            <w:r w:rsidRPr="003811E0">
              <w:rPr>
                <w:rFonts w:asciiTheme="majorHAnsi" w:hAnsiTheme="majorHAnsi" w:cstheme="majorHAnsi"/>
                <w:sz w:val="19"/>
                <w:szCs w:val="19"/>
                <w:lang w:val="en-US"/>
              </w:rPr>
              <w:t xml:space="preserve">Require parties to negotiate in good faith if amendments to contracts are required to implement the </w:t>
            </w:r>
            <w:r w:rsidR="00621704">
              <w:rPr>
                <w:rFonts w:asciiTheme="majorHAnsi" w:hAnsiTheme="majorHAnsi" w:cstheme="majorHAnsi"/>
                <w:sz w:val="19"/>
                <w:szCs w:val="19"/>
                <w:lang w:val="en-US"/>
              </w:rPr>
              <w:t>standard market timetable</w:t>
            </w:r>
            <w:r w:rsidRPr="003811E0">
              <w:rPr>
                <w:rFonts w:asciiTheme="majorHAnsi" w:hAnsiTheme="majorHAnsi" w:cstheme="majorHAnsi"/>
                <w:sz w:val="19"/>
                <w:szCs w:val="19"/>
                <w:lang w:val="en-US"/>
              </w:rPr>
              <w:t xml:space="preserve"> </w:t>
            </w:r>
            <w:r>
              <w:rPr>
                <w:rFonts w:asciiTheme="majorHAnsi" w:hAnsiTheme="majorHAnsi" w:cstheme="majorHAnsi"/>
                <w:sz w:val="19"/>
                <w:szCs w:val="19"/>
                <w:lang w:val="en-US"/>
              </w:rPr>
              <w:t>and</w:t>
            </w:r>
            <w:r w:rsidRPr="003811E0">
              <w:rPr>
                <w:rFonts w:asciiTheme="majorHAnsi" w:hAnsiTheme="majorHAnsi" w:cstheme="majorHAnsi"/>
                <w:sz w:val="19"/>
                <w:szCs w:val="19"/>
                <w:lang w:val="en-US"/>
              </w:rPr>
              <w:t xml:space="preserve"> include a dispute resolution mechanism that parties may rely on if negotiations fail</w:t>
            </w:r>
            <w:r>
              <w:rPr>
                <w:rFonts w:asciiTheme="majorHAnsi" w:hAnsiTheme="majorHAnsi" w:cstheme="majorHAnsi"/>
                <w:sz w:val="19"/>
                <w:szCs w:val="19"/>
              </w:rPr>
              <w:t xml:space="preserve">. </w:t>
            </w:r>
            <w:r>
              <w:rPr>
                <w:rFonts w:asciiTheme="majorHAnsi" w:hAnsiTheme="majorHAnsi" w:cstheme="majorHAnsi"/>
                <w:sz w:val="19"/>
                <w:szCs w:val="19"/>
                <w:lang w:val="en-US"/>
              </w:rPr>
              <w:t>Those required to implement the time</w:t>
            </w:r>
            <w:r w:rsidR="00621704">
              <w:rPr>
                <w:rFonts w:asciiTheme="majorHAnsi" w:hAnsiTheme="majorHAnsi" w:cstheme="majorHAnsi"/>
                <w:sz w:val="19"/>
                <w:szCs w:val="19"/>
                <w:lang w:val="en-US"/>
              </w:rPr>
              <w:t>table</w:t>
            </w:r>
            <w:r>
              <w:rPr>
                <w:rFonts w:asciiTheme="majorHAnsi" w:hAnsiTheme="majorHAnsi" w:cstheme="majorHAnsi"/>
                <w:sz w:val="19"/>
                <w:szCs w:val="19"/>
                <w:lang w:val="en-US"/>
              </w:rPr>
              <w:t xml:space="preserve"> will also have </w:t>
            </w:r>
            <w:r w:rsidRPr="003811E0">
              <w:rPr>
                <w:rFonts w:asciiTheme="majorHAnsi" w:hAnsiTheme="majorHAnsi" w:cstheme="majorHAnsi"/>
                <w:sz w:val="19"/>
                <w:szCs w:val="19"/>
                <w:lang w:val="en-US"/>
              </w:rPr>
              <w:t>a transitional immunity from civil monetary liability that may otherwise arise from the use of the time</w:t>
            </w:r>
            <w:r w:rsidR="00621704">
              <w:rPr>
                <w:rFonts w:asciiTheme="majorHAnsi" w:hAnsiTheme="majorHAnsi" w:cstheme="majorHAnsi"/>
                <w:sz w:val="19"/>
                <w:szCs w:val="19"/>
                <w:lang w:val="en-US"/>
              </w:rPr>
              <w:t>table</w:t>
            </w:r>
            <w:r w:rsidRPr="003811E0">
              <w:rPr>
                <w:rFonts w:asciiTheme="majorHAnsi" w:hAnsiTheme="majorHAnsi" w:cstheme="majorHAnsi"/>
                <w:sz w:val="19"/>
                <w:szCs w:val="19"/>
                <w:lang w:val="en-US"/>
              </w:rPr>
              <w:t>.</w:t>
            </w:r>
          </w:p>
          <w:p w14:paraId="387D4934" w14:textId="77777777" w:rsidR="001B5338" w:rsidRPr="003811E0" w:rsidRDefault="001B5338" w:rsidP="001B5338">
            <w:pPr>
              <w:pStyle w:val="TableBullet1"/>
              <w:spacing w:before="40" w:after="40"/>
              <w:rPr>
                <w:b/>
                <w:sz w:val="19"/>
                <w:szCs w:val="19"/>
              </w:rPr>
            </w:pPr>
            <w:r w:rsidRPr="003811E0">
              <w:rPr>
                <w:rFonts w:asciiTheme="majorHAnsi" w:hAnsiTheme="majorHAnsi" w:cstheme="majorHAnsi"/>
                <w:b/>
                <w:sz w:val="19"/>
                <w:szCs w:val="19"/>
              </w:rPr>
              <w:t>Timings for obligations</w:t>
            </w:r>
            <w:r w:rsidRPr="003811E0">
              <w:rPr>
                <w:rFonts w:asciiTheme="majorHAnsi" w:hAnsiTheme="majorHAnsi" w:cstheme="majorHAnsi"/>
                <w:sz w:val="19"/>
                <w:szCs w:val="19"/>
              </w:rPr>
              <w:t xml:space="preserve">: These provisions have been amended to provide service providers more time to prepare and offer a standard OTSA and new facilities to </w:t>
            </w:r>
            <w:r>
              <w:rPr>
                <w:rFonts w:asciiTheme="majorHAnsi" w:hAnsiTheme="majorHAnsi" w:cstheme="majorHAnsi"/>
                <w:sz w:val="19"/>
                <w:szCs w:val="19"/>
              </w:rPr>
              <w:t xml:space="preserve">be </w:t>
            </w:r>
            <w:r w:rsidRPr="003811E0">
              <w:rPr>
                <w:rFonts w:asciiTheme="majorHAnsi" w:hAnsiTheme="majorHAnsi" w:cstheme="majorHAnsi"/>
                <w:sz w:val="19"/>
                <w:szCs w:val="19"/>
              </w:rPr>
              <w:t>subject to the auction.</w:t>
            </w:r>
            <w:r w:rsidRPr="003811E0">
              <w:rPr>
                <w:b/>
                <w:sz w:val="19"/>
                <w:szCs w:val="19"/>
              </w:rPr>
              <w:t xml:space="preserve"> </w:t>
            </w:r>
          </w:p>
        </w:tc>
      </w:tr>
    </w:tbl>
    <w:p w14:paraId="5004D678" w14:textId="77777777" w:rsidR="001B5338" w:rsidRDefault="001B5338" w:rsidP="001B5338">
      <w:pPr>
        <w:pStyle w:val="BodyText"/>
        <w:spacing w:line="252" w:lineRule="auto"/>
        <w:sectPr w:rsidR="001B5338" w:rsidSect="00D34AF5">
          <w:headerReference w:type="default" r:id="rId35"/>
          <w:footerReference w:type="default" r:id="rId36"/>
          <w:pgSz w:w="11907" w:h="16839" w:code="9"/>
          <w:pgMar w:top="1082" w:right="1418" w:bottom="851" w:left="1701" w:header="567" w:footer="397" w:gutter="0"/>
          <w:cols w:space="708"/>
          <w:docGrid w:linePitch="360"/>
        </w:sectPr>
      </w:pPr>
    </w:p>
    <w:p w14:paraId="64A4A590" w14:textId="77777777" w:rsidR="001B5338" w:rsidRDefault="001B5338" w:rsidP="001B5338">
      <w:pPr>
        <w:pStyle w:val="Heading2"/>
      </w:pPr>
      <w:bookmarkStart w:id="24" w:name="_Toc515276993"/>
      <w:bookmarkStart w:id="25" w:name="_Toc530546450"/>
      <w:r>
        <w:lastRenderedPageBreak/>
        <w:t xml:space="preserve">Consistency of </w:t>
      </w:r>
      <w:r w:rsidR="003F32C9">
        <w:t xml:space="preserve">the reform package </w:t>
      </w:r>
      <w:r>
        <w:t>with the NGO</w:t>
      </w:r>
      <w:bookmarkEnd w:id="24"/>
      <w:bookmarkEnd w:id="25"/>
    </w:p>
    <w:p w14:paraId="1B707BB4" w14:textId="77777777" w:rsidR="001B5338" w:rsidRDefault="001B5338" w:rsidP="001B5338">
      <w:pPr>
        <w:pStyle w:val="BodyText"/>
        <w:spacing w:line="252" w:lineRule="auto"/>
      </w:pPr>
      <w:r>
        <w:t xml:space="preserve">In developing the </w:t>
      </w:r>
      <w:r w:rsidR="00D34AF5">
        <w:t xml:space="preserve">final design of the capacity trading reform package and the </w:t>
      </w:r>
      <w:r>
        <w:t>legal and regulatory framework, the GMRG applied the rule making test</w:t>
      </w:r>
      <w:r>
        <w:rPr>
          <w:rStyle w:val="FootnoteReference"/>
          <w:bCs/>
        </w:rPr>
        <w:footnoteReference w:id="12"/>
      </w:r>
      <w:r>
        <w:t xml:space="preserve"> that the AEMC is required to consider when exercising its rule making functions</w:t>
      </w:r>
      <w:r w:rsidR="00174849">
        <w:t xml:space="preserve">. This test </w:t>
      </w:r>
      <w:r>
        <w:t>requires consideration to be given to whether the change will or is likely to contribute to the achievement of the NGO (see Box 1.1)</w:t>
      </w:r>
      <w:r>
        <w:rPr>
          <w:bCs/>
        </w:rPr>
        <w:t xml:space="preserve">. </w:t>
      </w:r>
      <w:r>
        <w:t xml:space="preserve">The assessment has been carried out qualitatively having regard to whether </w:t>
      </w:r>
      <w:r w:rsidR="00D34AF5">
        <w:t xml:space="preserve">they are </w:t>
      </w:r>
      <w:r>
        <w:t xml:space="preserve">consistent with: </w:t>
      </w:r>
    </w:p>
    <w:p w14:paraId="45465B91" w14:textId="77777777" w:rsidR="001B5338" w:rsidRPr="00147EA6" w:rsidRDefault="001B5338" w:rsidP="001B5338">
      <w:pPr>
        <w:pStyle w:val="ListBullet"/>
        <w:spacing w:line="252" w:lineRule="auto"/>
        <w:ind w:left="357" w:hanging="357"/>
        <w:rPr>
          <w:bCs/>
          <w:sz w:val="20"/>
          <w:szCs w:val="20"/>
        </w:rPr>
      </w:pPr>
      <w:r>
        <w:t xml:space="preserve">the objectives of the capacity trading reform package, which were described by the AEMC </w:t>
      </w:r>
      <w:r w:rsidRPr="00F475B1">
        <w:t>as</w:t>
      </w:r>
      <w:r>
        <w:t xml:space="preserve"> being to improve the efficiency with which transportation capacity is allocated and </w:t>
      </w:r>
      <w:r w:rsidR="00174849">
        <w:t xml:space="preserve">used </w:t>
      </w:r>
      <w:r>
        <w:t>and to foster the development of a more liquid market for secondary capacity;</w:t>
      </w:r>
      <w:r>
        <w:rPr>
          <w:rStyle w:val="FootnoteReference"/>
        </w:rPr>
        <w:footnoteReference w:id="13"/>
      </w:r>
      <w:r>
        <w:t xml:space="preserve"> and</w:t>
      </w:r>
    </w:p>
    <w:p w14:paraId="3733A5D7" w14:textId="77777777" w:rsidR="001B5338" w:rsidRDefault="001B5338" w:rsidP="001B5338">
      <w:pPr>
        <w:pStyle w:val="ListBullet"/>
        <w:spacing w:line="252" w:lineRule="auto"/>
        <w:ind w:left="357" w:hanging="357"/>
        <w:rPr>
          <w:bCs/>
        </w:rPr>
      </w:pPr>
      <w:r>
        <w:t>t</w:t>
      </w:r>
      <w:r w:rsidRPr="00BF56B3">
        <w:t xml:space="preserve">he </w:t>
      </w:r>
      <w:r>
        <w:t xml:space="preserve">Energy </w:t>
      </w:r>
      <w:r w:rsidRPr="00BF56B3">
        <w:t xml:space="preserve">Council’s </w:t>
      </w:r>
      <w:r w:rsidRPr="00F475B1">
        <w:t>Vision</w:t>
      </w:r>
      <w:r>
        <w:t xml:space="preserve"> of the </w:t>
      </w:r>
      <w:r w:rsidRPr="00465134">
        <w:t>direction gas market developme</w:t>
      </w:r>
      <w:r>
        <w:t>nt should take to meet the NGO</w:t>
      </w:r>
      <w:r w:rsidRPr="004151CC">
        <w:rPr>
          <w:rStyle w:val="FootnoteReference"/>
          <w:bCs/>
        </w:rPr>
        <w:t xml:space="preserve"> </w:t>
      </w:r>
      <w:r>
        <w:rPr>
          <w:bCs/>
        </w:rPr>
        <w:t xml:space="preserve">and the </w:t>
      </w:r>
      <w:r>
        <w:t>outcomes the Energy Council agreed to pursue in the next phase of gas market reform (see Box 1.1)</w:t>
      </w:r>
      <w:r>
        <w:rPr>
          <w:bCs/>
        </w:rPr>
        <w:t>.</w:t>
      </w:r>
      <w:r>
        <w:rPr>
          <w:rStyle w:val="FootnoteReference"/>
          <w:bCs/>
        </w:rPr>
        <w:footnoteReference w:id="14"/>
      </w:r>
    </w:p>
    <w:p w14:paraId="536DEC9D" w14:textId="77777777" w:rsidR="001B5338" w:rsidRDefault="001B5338" w:rsidP="001B5338">
      <w:pPr>
        <w:pStyle w:val="BodyText"/>
        <w:rPr>
          <w:rFonts w:cs="Arial"/>
        </w:rPr>
      </w:pPr>
      <w:r>
        <w:rPr>
          <w:rFonts w:cs="Arial"/>
        </w:rPr>
        <w:t xml:space="preserve">Consistent with the overarching objectives of the </w:t>
      </w:r>
      <w:r w:rsidR="00D34AF5">
        <w:rPr>
          <w:rFonts w:cs="Arial"/>
        </w:rPr>
        <w:t xml:space="preserve">capacity trading </w:t>
      </w:r>
      <w:r>
        <w:rPr>
          <w:rFonts w:cs="Arial"/>
        </w:rPr>
        <w:t>reform</w:t>
      </w:r>
      <w:r w:rsidR="00D34AF5">
        <w:rPr>
          <w:rFonts w:cs="Arial"/>
        </w:rPr>
        <w:t>s</w:t>
      </w:r>
      <w:r>
        <w:rPr>
          <w:rFonts w:cs="Arial"/>
        </w:rPr>
        <w:t xml:space="preserve">, the </w:t>
      </w:r>
      <w:r w:rsidR="00D34AF5">
        <w:rPr>
          <w:rFonts w:cs="Arial"/>
        </w:rPr>
        <w:t xml:space="preserve">final design of the </w:t>
      </w:r>
      <w:r w:rsidR="00D34AF5">
        <w:t>reform package</w:t>
      </w:r>
      <w:r>
        <w:t xml:space="preserve"> </w:t>
      </w:r>
      <w:r>
        <w:rPr>
          <w:rFonts w:cs="Arial"/>
        </w:rPr>
        <w:t xml:space="preserve">is expected to </w:t>
      </w:r>
      <w:r>
        <w:t>improve the efficiency with which capacity is allocated and used and foster the development of a more liquid secondary market, in the following ways:</w:t>
      </w:r>
    </w:p>
    <w:p w14:paraId="3B1B3620" w14:textId="77777777" w:rsidR="001B5338" w:rsidRPr="00CC6268" w:rsidRDefault="001B5338" w:rsidP="001B5338">
      <w:pPr>
        <w:pStyle w:val="ListBullet"/>
        <w:ind w:left="357" w:hanging="357"/>
      </w:pPr>
      <w:r w:rsidRPr="00CC6268">
        <w:rPr>
          <w:b/>
        </w:rPr>
        <w:t>Capacity trading platform:</w:t>
      </w:r>
      <w:r w:rsidRPr="00CC6268">
        <w:t xml:space="preserve"> </w:t>
      </w:r>
      <w:r w:rsidRPr="00CC6268">
        <w:rPr>
          <w:rFonts w:cs="Arial"/>
        </w:rPr>
        <w:t xml:space="preserve">This element of the </w:t>
      </w:r>
      <w:r w:rsidR="00D34AF5">
        <w:rPr>
          <w:rFonts w:cs="Arial"/>
        </w:rPr>
        <w:t xml:space="preserve">reform package </w:t>
      </w:r>
      <w:r w:rsidRPr="00CC6268">
        <w:rPr>
          <w:rFonts w:cs="Arial"/>
        </w:rPr>
        <w:t>will facilitate a greater level of capacity trading by:</w:t>
      </w:r>
    </w:p>
    <w:p w14:paraId="1DF84377" w14:textId="77777777" w:rsidR="001B5338" w:rsidRPr="00CC6268" w:rsidRDefault="001B5338" w:rsidP="001B5338">
      <w:pPr>
        <w:pStyle w:val="ListBullet2"/>
      </w:pPr>
      <w:r w:rsidRPr="00CC6268">
        <w:t>making capacity products more fungible through the standardisation of exchange traded services and terms and conditions on which those services can be used;</w:t>
      </w:r>
    </w:p>
    <w:p w14:paraId="5840FDE7" w14:textId="77777777" w:rsidR="001B5338" w:rsidRPr="00CC6268" w:rsidRDefault="001B5338" w:rsidP="001B5338">
      <w:pPr>
        <w:pStyle w:val="ListBullet2"/>
      </w:pPr>
      <w:r w:rsidRPr="00CC6268">
        <w:t xml:space="preserve">incorporating the trading platform into the GSH, which is easy to use, enables quick and effective execution of trades, provides certainty of outcomes, effectively manages financial and delivery default risks and provides for the aggregation of prudential requirements across products; </w:t>
      </w:r>
    </w:p>
    <w:p w14:paraId="5059604F" w14:textId="77777777" w:rsidR="001B5338" w:rsidRPr="00CC6268" w:rsidRDefault="001B5338" w:rsidP="001B5338">
      <w:pPr>
        <w:pStyle w:val="ListBullet2"/>
      </w:pPr>
      <w:r w:rsidRPr="00CC6268">
        <w:t xml:space="preserve">allowing </w:t>
      </w:r>
      <w:r w:rsidRPr="00CC6268">
        <w:rPr>
          <w:rFonts w:eastAsiaTheme="majorEastAsia"/>
        </w:rPr>
        <w:t>shippers to readily co-ordinate trades across transportation facilities and to procure gas and other gas services</w:t>
      </w:r>
      <w:r w:rsidRPr="00CC6268">
        <w:t xml:space="preserve"> through a single platform;</w:t>
      </w:r>
    </w:p>
    <w:p w14:paraId="0FD084ED" w14:textId="77777777" w:rsidR="001B5338" w:rsidRPr="00CC6268" w:rsidRDefault="001B5338" w:rsidP="001B5338">
      <w:pPr>
        <w:pStyle w:val="ListBullet2"/>
      </w:pPr>
      <w:r w:rsidRPr="00CC6268">
        <w:t xml:space="preserve">using the zonal model with secondary firm rights at individual service points to facilitate competition for the provision and use of secondary capacity; </w:t>
      </w:r>
    </w:p>
    <w:p w14:paraId="4D8843DA" w14:textId="77777777" w:rsidR="001B5338" w:rsidRDefault="001B5338" w:rsidP="001B5338">
      <w:pPr>
        <w:pStyle w:val="ListBullet2"/>
      </w:pPr>
      <w:r w:rsidRPr="00CC6268">
        <w:t xml:space="preserve">reducing </w:t>
      </w:r>
      <w:r>
        <w:t xml:space="preserve">the </w:t>
      </w:r>
      <w:r w:rsidRPr="00CC6268">
        <w:t xml:space="preserve">search and transaction costs </w:t>
      </w:r>
      <w:r>
        <w:t xml:space="preserve">associated with procuring secondary capacity </w:t>
      </w:r>
      <w:r w:rsidRPr="00CC6268">
        <w:t>and aiding the price discovery process</w:t>
      </w:r>
      <w:r>
        <w:t>; and</w:t>
      </w:r>
      <w:r w:rsidRPr="00CC6268">
        <w:t xml:space="preserve"> </w:t>
      </w:r>
    </w:p>
    <w:p w14:paraId="7F9FCE2B" w14:textId="77777777" w:rsidR="001B5338" w:rsidRPr="00151B67" w:rsidRDefault="001B5338" w:rsidP="001B5338">
      <w:pPr>
        <w:pStyle w:val="ListBullet2"/>
      </w:pPr>
      <w:r w:rsidRPr="00151B67">
        <w:rPr>
          <w:rFonts w:eastAsiaTheme="majorEastAsia"/>
        </w:rPr>
        <w:t xml:space="preserve">instilling confidence in the secondary market through the use of robust delivery, settlement, credit, curtailment and other risk management processes and governance arrangements. </w:t>
      </w:r>
    </w:p>
    <w:p w14:paraId="30B54EDE" w14:textId="77777777" w:rsidR="001B5338" w:rsidRPr="00151B67" w:rsidRDefault="001B5338" w:rsidP="001B5338">
      <w:pPr>
        <w:pStyle w:val="ListBullet"/>
        <w:keepNext/>
        <w:ind w:left="357" w:hanging="357"/>
        <w:rPr>
          <w:rFonts w:eastAsiaTheme="minorEastAsia" w:cs="Arial"/>
        </w:rPr>
      </w:pPr>
      <w:r w:rsidRPr="00151B67">
        <w:rPr>
          <w:rFonts w:cs="Arial"/>
          <w:b/>
        </w:rPr>
        <w:lastRenderedPageBreak/>
        <w:t>Day-ahead auction:</w:t>
      </w:r>
      <w:r w:rsidRPr="00151B67">
        <w:rPr>
          <w:rFonts w:cs="Arial"/>
        </w:rPr>
        <w:t xml:space="preserve"> This element of the </w:t>
      </w:r>
      <w:r w:rsidR="00D34AF5">
        <w:rPr>
          <w:rFonts w:cs="Arial"/>
        </w:rPr>
        <w:t xml:space="preserve">reform package </w:t>
      </w:r>
      <w:r w:rsidRPr="00151B67">
        <w:rPr>
          <w:rFonts w:cs="Arial"/>
        </w:rPr>
        <w:t>will:</w:t>
      </w:r>
    </w:p>
    <w:p w14:paraId="369F6F3E" w14:textId="77777777" w:rsidR="00D34AF5" w:rsidRDefault="001B5338" w:rsidP="001B5338">
      <w:pPr>
        <w:pStyle w:val="ListBullet2"/>
        <w:rPr>
          <w:rFonts w:eastAsiaTheme="minorEastAsia" w:cs="Arial"/>
        </w:rPr>
      </w:pPr>
      <w:r w:rsidRPr="00151B67">
        <w:rPr>
          <w:rFonts w:cs="Arial"/>
        </w:rPr>
        <w:t xml:space="preserve">improve </w:t>
      </w:r>
      <w:r w:rsidRPr="00151B67">
        <w:rPr>
          <w:rFonts w:eastAsiaTheme="minorEastAsia" w:cs="Arial"/>
        </w:rPr>
        <w:t xml:space="preserve">the incentives firm capacity holders have to sell any spare capacity they may have prior to nomination cut-off time </w:t>
      </w:r>
      <w:r w:rsidR="00D34AF5">
        <w:rPr>
          <w:rFonts w:eastAsiaTheme="minorEastAsia" w:cs="Arial"/>
        </w:rPr>
        <w:t xml:space="preserve">by allowing </w:t>
      </w:r>
      <w:r w:rsidR="00174849">
        <w:rPr>
          <w:rFonts w:eastAsiaTheme="minorEastAsia" w:cs="Arial"/>
        </w:rPr>
        <w:t xml:space="preserve">transportation </w:t>
      </w:r>
      <w:r w:rsidR="00D34AF5">
        <w:rPr>
          <w:rFonts w:eastAsiaTheme="minorEastAsia" w:cs="Arial"/>
        </w:rPr>
        <w:t xml:space="preserve">service providers, rather than shippers, to obtain the proceeds of the auction; </w:t>
      </w:r>
    </w:p>
    <w:p w14:paraId="1D7B7A23" w14:textId="77777777" w:rsidR="001B5338" w:rsidRPr="00151B67" w:rsidRDefault="001B5338" w:rsidP="001B5338">
      <w:pPr>
        <w:pStyle w:val="ListBullet2"/>
        <w:rPr>
          <w:rFonts w:eastAsiaTheme="minorEastAsia" w:cs="Arial"/>
        </w:rPr>
      </w:pPr>
      <w:r w:rsidRPr="00151B67">
        <w:rPr>
          <w:rFonts w:eastAsiaTheme="minorEastAsia"/>
        </w:rPr>
        <w:t xml:space="preserve">limit the ability of </w:t>
      </w:r>
      <w:r w:rsidR="00174849">
        <w:rPr>
          <w:rFonts w:eastAsiaTheme="minorEastAsia"/>
        </w:rPr>
        <w:t xml:space="preserve">transportation </w:t>
      </w:r>
      <w:r w:rsidRPr="00151B67">
        <w:rPr>
          <w:rFonts w:eastAsiaTheme="minorEastAsia"/>
        </w:rPr>
        <w:t>service providers to set the price of day-ahead capacity above the levels that would be expected in a workably competitive market</w:t>
      </w:r>
      <w:r w:rsidR="00D34AF5">
        <w:rPr>
          <w:rFonts w:eastAsiaTheme="minorEastAsia"/>
        </w:rPr>
        <w:t xml:space="preserve"> by adopting a zero reserve price and allowing the market to determine the value of th</w:t>
      </w:r>
      <w:r w:rsidR="00174849">
        <w:rPr>
          <w:rFonts w:eastAsiaTheme="minorEastAsia"/>
        </w:rPr>
        <w:t>is</w:t>
      </w:r>
      <w:r w:rsidR="00D34AF5">
        <w:rPr>
          <w:rFonts w:eastAsiaTheme="minorEastAsia"/>
        </w:rPr>
        <w:t xml:space="preserve"> capacity</w:t>
      </w:r>
      <w:r>
        <w:rPr>
          <w:rFonts w:eastAsiaTheme="minorEastAsia"/>
        </w:rPr>
        <w:t>;</w:t>
      </w:r>
    </w:p>
    <w:p w14:paraId="250957AD" w14:textId="77777777" w:rsidR="001B5338" w:rsidRPr="00151B67" w:rsidRDefault="001B5338" w:rsidP="001B5338">
      <w:pPr>
        <w:pStyle w:val="ListBullet2"/>
        <w:rPr>
          <w:rFonts w:eastAsiaTheme="majorEastAsia"/>
        </w:rPr>
      </w:pPr>
      <w:r w:rsidRPr="00151B67">
        <w:rPr>
          <w:rFonts w:eastAsiaTheme="majorEastAsia"/>
        </w:rPr>
        <w:t xml:space="preserve">provide shippers with greater flexibility to co-ordinate their day-ahead capacity requirements through the inclusion of forward haul, backhaul and compression services in the auction and the use of a market wide partial combinatorial auction; </w:t>
      </w:r>
    </w:p>
    <w:p w14:paraId="72753BD8" w14:textId="77777777" w:rsidR="001B5338" w:rsidRPr="00CC0DD0" w:rsidRDefault="001B5338" w:rsidP="001B5338">
      <w:pPr>
        <w:pStyle w:val="ListBullet2"/>
      </w:pPr>
      <w:r w:rsidRPr="00151B67">
        <w:t xml:space="preserve">reduce the search and transaction costs associated with procuring day-ahead </w:t>
      </w:r>
      <w:r w:rsidRPr="00CC0DD0">
        <w:t>capacity and aid the price discovery process</w:t>
      </w:r>
      <w:r w:rsidR="00174849">
        <w:t xml:space="preserve"> for capacity</w:t>
      </w:r>
      <w:r w:rsidRPr="00CC0DD0">
        <w:t>; and</w:t>
      </w:r>
    </w:p>
    <w:p w14:paraId="1685CFEC" w14:textId="77777777" w:rsidR="001B5338" w:rsidRPr="00CC0DD0" w:rsidRDefault="001B5338" w:rsidP="001B5338">
      <w:pPr>
        <w:pStyle w:val="ListBullet2"/>
        <w:rPr>
          <w:rFonts w:eastAsiaTheme="majorEastAsia"/>
        </w:rPr>
      </w:pPr>
      <w:r w:rsidRPr="00CC0DD0">
        <w:rPr>
          <w:rFonts w:eastAsiaTheme="majorEastAsia"/>
        </w:rPr>
        <w:t>instil confidence in the day-ahead auction through the use of robust delivery, settlement, credit, curtailment and other risk management processes and governance arrangements.</w:t>
      </w:r>
    </w:p>
    <w:p w14:paraId="26864D5A" w14:textId="77777777" w:rsidR="001B5338" w:rsidRPr="00CC0DD0" w:rsidRDefault="001B5338" w:rsidP="001B5338">
      <w:pPr>
        <w:pStyle w:val="ListBullet"/>
        <w:ind w:left="357" w:hanging="357"/>
        <w:rPr>
          <w:rFonts w:eastAsiaTheme="minorEastAsia" w:cs="Arial"/>
        </w:rPr>
      </w:pPr>
      <w:r w:rsidRPr="00CC0DD0">
        <w:rPr>
          <w:rFonts w:cs="Arial"/>
          <w:b/>
        </w:rPr>
        <w:t xml:space="preserve">Measures to facilitate capacity trading and the </w:t>
      </w:r>
      <w:r w:rsidR="00174849">
        <w:rPr>
          <w:rFonts w:cs="Arial"/>
          <w:b/>
        </w:rPr>
        <w:t xml:space="preserve">day-ahead </w:t>
      </w:r>
      <w:r w:rsidRPr="00CC0DD0">
        <w:rPr>
          <w:rFonts w:cs="Arial"/>
          <w:b/>
        </w:rPr>
        <w:t>auction:</w:t>
      </w:r>
      <w:r w:rsidRPr="00CC0DD0">
        <w:rPr>
          <w:rFonts w:cs="Arial"/>
        </w:rPr>
        <w:t xml:space="preserve"> This element of the </w:t>
      </w:r>
      <w:r w:rsidR="00D34AF5">
        <w:rPr>
          <w:rFonts w:cs="Arial"/>
        </w:rPr>
        <w:t xml:space="preserve">reform package </w:t>
      </w:r>
      <w:r w:rsidRPr="00CC0DD0">
        <w:rPr>
          <w:rFonts w:cs="Arial"/>
        </w:rPr>
        <w:t>will:</w:t>
      </w:r>
    </w:p>
    <w:p w14:paraId="09524D84" w14:textId="77777777" w:rsidR="001B5338" w:rsidRDefault="001B5338" w:rsidP="001B5338">
      <w:pPr>
        <w:pStyle w:val="ListBullet2"/>
      </w:pPr>
      <w:r w:rsidRPr="00CC0DD0">
        <w:t xml:space="preserve">provide shippers with access to secondary </w:t>
      </w:r>
      <w:r w:rsidR="00174849">
        <w:t xml:space="preserve">and auctioned </w:t>
      </w:r>
      <w:r w:rsidRPr="00CC0DD0">
        <w:t xml:space="preserve">capacity on reasonable terms by requiring </w:t>
      </w:r>
      <w:r w:rsidR="00174849">
        <w:t xml:space="preserve">transportation </w:t>
      </w:r>
      <w:r w:rsidRPr="00CC0DD0">
        <w:t xml:space="preserve">service providers to </w:t>
      </w:r>
      <w:r w:rsidR="00D34AF5">
        <w:t xml:space="preserve">develop </w:t>
      </w:r>
      <w:r w:rsidRPr="00CC0DD0">
        <w:t>standard OTSAs</w:t>
      </w:r>
      <w:r>
        <w:t xml:space="preserve"> </w:t>
      </w:r>
      <w:r w:rsidR="00D34AF5">
        <w:t xml:space="preserve">that comply with the Code and the NGR and, subject to some limitations, offer to enter into these agreements </w:t>
      </w:r>
      <w:r>
        <w:t>with secondary shippers</w:t>
      </w:r>
      <w:r w:rsidR="00D34AF5">
        <w:t xml:space="preserve"> if requested</w:t>
      </w:r>
      <w:r w:rsidR="00174849">
        <w:t xml:space="preserve"> to do so</w:t>
      </w:r>
      <w:r>
        <w:t>;</w:t>
      </w:r>
    </w:p>
    <w:p w14:paraId="35746FEF" w14:textId="77777777" w:rsidR="001B5338" w:rsidRDefault="001B5338" w:rsidP="001B5338">
      <w:pPr>
        <w:pStyle w:val="ListBullet2"/>
      </w:pPr>
      <w:r>
        <w:t xml:space="preserve">remove other impediments to trade, including restraints on capacity trading and restrictions on receipt and delivery point flexibility; </w:t>
      </w:r>
    </w:p>
    <w:p w14:paraId="4EF6F964" w14:textId="77777777" w:rsidR="001B5338" w:rsidRDefault="001B5338" w:rsidP="001B5338">
      <w:pPr>
        <w:pStyle w:val="ListBullet2"/>
      </w:pPr>
      <w:r>
        <w:t>reduce the search and transaction costs associated with procuring secondary capacity and auctioned capacity; and</w:t>
      </w:r>
    </w:p>
    <w:p w14:paraId="73CA5BCC" w14:textId="77777777" w:rsidR="001B5338" w:rsidRDefault="001B5338" w:rsidP="001B5338">
      <w:pPr>
        <w:pStyle w:val="ListBullet2"/>
      </w:pPr>
      <w:r>
        <w:rPr>
          <w:rFonts w:eastAsiaTheme="majorEastAsia"/>
        </w:rPr>
        <w:t>instil a greater level of confidence in the market through the implementation of robust governance arrangements</w:t>
      </w:r>
      <w:r w:rsidR="00D34AF5">
        <w:rPr>
          <w:rFonts w:eastAsiaTheme="majorEastAsia"/>
        </w:rPr>
        <w:t xml:space="preserve"> and allowing industry to be involved in the ongoing development of the Code</w:t>
      </w:r>
      <w:r>
        <w:rPr>
          <w:rFonts w:eastAsiaTheme="majorEastAsia"/>
        </w:rPr>
        <w:t>.</w:t>
      </w:r>
    </w:p>
    <w:p w14:paraId="3530A595" w14:textId="77777777" w:rsidR="001B5338" w:rsidRPr="00CC2079" w:rsidRDefault="001B5338" w:rsidP="001B5338">
      <w:pPr>
        <w:pStyle w:val="ListBullet"/>
        <w:ind w:left="357" w:hanging="357"/>
      </w:pPr>
      <w:r w:rsidRPr="00CC2079">
        <w:rPr>
          <w:rFonts w:cs="Arial"/>
          <w:b/>
        </w:rPr>
        <w:t>Reporting framework for capacity trades and other transparency measures:</w:t>
      </w:r>
      <w:r w:rsidRPr="00CC2079">
        <w:rPr>
          <w:rFonts w:cs="Arial"/>
        </w:rPr>
        <w:t xml:space="preserve"> This element of the </w:t>
      </w:r>
      <w:r w:rsidR="00F41564">
        <w:rPr>
          <w:rFonts w:cs="Arial"/>
        </w:rPr>
        <w:t xml:space="preserve">reform package </w:t>
      </w:r>
      <w:r w:rsidRPr="00CC2079">
        <w:rPr>
          <w:rFonts w:cs="Arial"/>
        </w:rPr>
        <w:t xml:space="preserve">will </w:t>
      </w:r>
      <w:r w:rsidRPr="00CC2079">
        <w:t xml:space="preserve">aid the price discovery process, reduce search and transaction costs and allow shippers to make more informed decisions about their use of capacity through the publication of information on: </w:t>
      </w:r>
    </w:p>
    <w:p w14:paraId="264D245D" w14:textId="77777777" w:rsidR="001B5338" w:rsidRDefault="001B5338" w:rsidP="001B5338">
      <w:pPr>
        <w:pStyle w:val="ListBullet2"/>
      </w:pPr>
      <w:r w:rsidRPr="00CC2079">
        <w:t>the prices and other key terms struck in secondary</w:t>
      </w:r>
      <w:r>
        <w:t xml:space="preserve"> capacity trades shortly after they are entered into; </w:t>
      </w:r>
    </w:p>
    <w:p w14:paraId="7878D873" w14:textId="77777777" w:rsidR="001B5338" w:rsidRDefault="001B5338" w:rsidP="001B5338">
      <w:pPr>
        <w:pStyle w:val="ListBullet2"/>
      </w:pPr>
      <w:r>
        <w:t xml:space="preserve">the auction results and a range of other auction related information; </w:t>
      </w:r>
    </w:p>
    <w:p w14:paraId="4F14BDB8" w14:textId="77777777" w:rsidR="001B5338" w:rsidRDefault="001B5338" w:rsidP="001B5338">
      <w:pPr>
        <w:pStyle w:val="ListBullet2"/>
      </w:pPr>
      <w:r>
        <w:t>a range of operational metrics that will enable users of the capacity trading platform and day-ahead auction to understand the risks associated with products procured through these mechanisms</w:t>
      </w:r>
      <w:r w:rsidR="00D34AF5">
        <w:t>; and</w:t>
      </w:r>
    </w:p>
    <w:p w14:paraId="69BF251E" w14:textId="77777777" w:rsidR="00D34AF5" w:rsidRDefault="00D34AF5" w:rsidP="004C4801">
      <w:pPr>
        <w:pStyle w:val="ListBullet2"/>
      </w:pPr>
      <w:r>
        <w:t>allocation arrangements</w:t>
      </w:r>
      <w:r w:rsidR="000008B4">
        <w:t xml:space="preserve"> at service points on non-exempt transportation facilities and system injection </w:t>
      </w:r>
      <w:r w:rsidR="00F41564">
        <w:t xml:space="preserve">and system withdrawal points in the DTS (excluding points at which the allocations are determined under Retail Market Procedures). </w:t>
      </w:r>
    </w:p>
    <w:p w14:paraId="64FFD19A" w14:textId="77777777" w:rsidR="001B5338" w:rsidRPr="000E3959" w:rsidRDefault="00D34AF5" w:rsidP="001B5338">
      <w:pPr>
        <w:pStyle w:val="ListBullet"/>
        <w:ind w:left="357" w:hanging="357"/>
      </w:pPr>
      <w:r>
        <w:rPr>
          <w:rFonts w:eastAsiaTheme="minorEastAsia" w:cs="Arial"/>
          <w:b/>
        </w:rPr>
        <w:lastRenderedPageBreak/>
        <w:t>Standard market timetable</w:t>
      </w:r>
      <w:r w:rsidR="001B5338" w:rsidRPr="00572715">
        <w:rPr>
          <w:rFonts w:eastAsiaTheme="minorEastAsia" w:cs="Arial"/>
          <w:b/>
        </w:rPr>
        <w:t>:</w:t>
      </w:r>
      <w:r w:rsidR="001B5338" w:rsidRPr="000E3959">
        <w:rPr>
          <w:rFonts w:eastAsiaTheme="minorEastAsia" w:cs="Arial"/>
        </w:rPr>
        <w:t xml:space="preserve"> This element of the </w:t>
      </w:r>
      <w:r w:rsidR="00F41564">
        <w:rPr>
          <w:rFonts w:eastAsiaTheme="minorEastAsia" w:cs="Arial"/>
        </w:rPr>
        <w:t xml:space="preserve">reform package </w:t>
      </w:r>
      <w:r w:rsidR="001B5338" w:rsidRPr="000E3959">
        <w:rPr>
          <w:rFonts w:eastAsiaTheme="minorEastAsia" w:cs="Arial"/>
        </w:rPr>
        <w:t>will:</w:t>
      </w:r>
    </w:p>
    <w:p w14:paraId="4518FBC1" w14:textId="77777777" w:rsidR="001B5338" w:rsidRPr="000E3959" w:rsidRDefault="001B5338" w:rsidP="001B5338">
      <w:pPr>
        <w:pStyle w:val="ListBullet2"/>
      </w:pPr>
      <w:r w:rsidRPr="000E3959">
        <w:t xml:space="preserve">reduce the costs and complexities that market participants operating (or wishing to operate) across multiple jurisdictions currently face, including facility operators located at the interface of jurisdictions with different gas day start times; </w:t>
      </w:r>
    </w:p>
    <w:p w14:paraId="6A7EE9C9" w14:textId="77777777" w:rsidR="001B5338" w:rsidRPr="000E3959" w:rsidRDefault="001B5338" w:rsidP="001B5338">
      <w:pPr>
        <w:pStyle w:val="ListBullet2"/>
      </w:pPr>
      <w:r w:rsidRPr="000E3959">
        <w:t>increase the interoperability and interconnection between the facilitated markets and, in so doing, promote participation and liquidity in these markets and trade between locations; and</w:t>
      </w:r>
    </w:p>
    <w:p w14:paraId="21DBB996" w14:textId="77777777" w:rsidR="001B5338" w:rsidRPr="000E3959" w:rsidRDefault="001B5338" w:rsidP="001B5338">
      <w:pPr>
        <w:pStyle w:val="ListBullet2"/>
      </w:pPr>
      <w:r w:rsidRPr="000E3959">
        <w:t xml:space="preserve">provide for an orderly transition to the harmonised gas day times in affected jurisdictions. </w:t>
      </w:r>
    </w:p>
    <w:p w14:paraId="056B62BF" w14:textId="77777777" w:rsidR="001B5338" w:rsidRDefault="001B5338" w:rsidP="001B5338">
      <w:pPr>
        <w:pStyle w:val="BodyText"/>
        <w:rPr>
          <w:rFonts w:eastAsiaTheme="majorEastAsia"/>
        </w:rPr>
      </w:pPr>
      <w:r>
        <w:rPr>
          <w:rFonts w:eastAsiaTheme="majorEastAsia"/>
        </w:rPr>
        <w:t xml:space="preserve">From an economic efficiency perspective, the </w:t>
      </w:r>
      <w:r w:rsidR="004C4801">
        <w:rPr>
          <w:rFonts w:eastAsiaTheme="majorEastAsia"/>
        </w:rPr>
        <w:t xml:space="preserve">final design of the reform package </w:t>
      </w:r>
      <w:r>
        <w:rPr>
          <w:rFonts w:eastAsiaTheme="majorEastAsia"/>
        </w:rPr>
        <w:t xml:space="preserve">can also be </w:t>
      </w:r>
      <w:r>
        <w:rPr>
          <w:rFonts w:cs="Arial"/>
        </w:rPr>
        <w:t xml:space="preserve">expected </w:t>
      </w:r>
      <w:r>
        <w:rPr>
          <w:rFonts w:eastAsiaTheme="majorEastAsia"/>
        </w:rPr>
        <w:t xml:space="preserve">to give rise to: </w:t>
      </w:r>
    </w:p>
    <w:p w14:paraId="03B7F628" w14:textId="77777777" w:rsidR="001B5338" w:rsidRDefault="001B5338" w:rsidP="001B5338">
      <w:pPr>
        <w:pStyle w:val="ListBullet"/>
        <w:ind w:left="357" w:hanging="357"/>
        <w:rPr>
          <w:rFonts w:eastAsiaTheme="minorEastAsia"/>
        </w:rPr>
      </w:pPr>
      <w:r>
        <w:rPr>
          <w:rFonts w:eastAsiaTheme="minorEastAsia"/>
        </w:rPr>
        <w:t xml:space="preserve">significant allocative efficiencies by making secondary capacity and day-ahead forward haul, backhaul and compression capacity available at </w:t>
      </w:r>
      <w:r w:rsidR="00174849">
        <w:rPr>
          <w:rFonts w:eastAsiaTheme="minorEastAsia"/>
        </w:rPr>
        <w:t xml:space="preserve">market determined </w:t>
      </w:r>
      <w:r>
        <w:rPr>
          <w:rFonts w:eastAsiaTheme="minorEastAsia"/>
        </w:rPr>
        <w:t>prices and by enabling this capacity to be allocated to those that value it most</w:t>
      </w:r>
      <w:r w:rsidR="004C4801">
        <w:rPr>
          <w:rFonts w:eastAsiaTheme="minorEastAsia"/>
        </w:rPr>
        <w:t xml:space="preserve"> through market based mechanisms</w:t>
      </w:r>
      <w:r>
        <w:rPr>
          <w:rFonts w:eastAsiaTheme="minorEastAsia"/>
        </w:rPr>
        <w:t>; and</w:t>
      </w:r>
    </w:p>
    <w:p w14:paraId="436B1BEC" w14:textId="77777777" w:rsidR="001B5338" w:rsidRDefault="001B5338" w:rsidP="001B5338">
      <w:pPr>
        <w:pStyle w:val="ListBullet"/>
        <w:ind w:left="357" w:hanging="357"/>
        <w:rPr>
          <w:rFonts w:eastAsiaTheme="minorEastAsia"/>
        </w:rPr>
      </w:pPr>
      <w:r>
        <w:rPr>
          <w:rFonts w:eastAsiaTheme="minorEastAsia"/>
        </w:rPr>
        <w:t>dynamic efficiency gains</w:t>
      </w:r>
      <w:r>
        <w:rPr>
          <w:rFonts w:eastAsiaTheme="minorEastAsia"/>
          <w:i/>
        </w:rPr>
        <w:t xml:space="preserve"> </w:t>
      </w:r>
      <w:r>
        <w:rPr>
          <w:rFonts w:eastAsiaTheme="minorEastAsia"/>
        </w:rPr>
        <w:t>by discouraging inefficient over-contracting and over-building on those pipelines and compressors included in the auction.</w:t>
      </w:r>
    </w:p>
    <w:p w14:paraId="7F1AF9D5" w14:textId="51EA8B92" w:rsidR="001B5338" w:rsidRDefault="001B5338" w:rsidP="001B5338">
      <w:pPr>
        <w:pStyle w:val="BodyText"/>
      </w:pPr>
      <w:r>
        <w:t xml:space="preserve">The </w:t>
      </w:r>
      <w:r w:rsidR="00F43323">
        <w:t>reform package</w:t>
      </w:r>
      <w:r>
        <w:t xml:space="preserve"> can therefore be expected to improve the efficiency with which secondary capacity is allocated and used, which will, in turn, promote efficient investment in, and the efficient operation and use of, natural gas services, the ultimate beneficiaries of which will be consumers of natural gas. This is consistent with the overarching objective of the capacity trading reform package and the NGO. It is also consistent with the Energy </w:t>
      </w:r>
      <w:r w:rsidRPr="00104AC3">
        <w:t xml:space="preserve">Council’s </w:t>
      </w:r>
      <w:r w:rsidRPr="00104AC3">
        <w:rPr>
          <w:i/>
        </w:rPr>
        <w:t>Vision</w:t>
      </w:r>
      <w:r w:rsidRPr="00104AC3">
        <w:t xml:space="preserve"> </w:t>
      </w:r>
      <w:r>
        <w:t xml:space="preserve">of the direction gas market development should take (in particular, outcomes 2(a), 2(b), 3(b), 3(c) and 3(d) - </w:t>
      </w:r>
      <w:r>
        <w:rPr>
          <w:rFonts w:eastAsiaTheme="minorEastAsia"/>
        </w:rPr>
        <w:t>see</w:t>
      </w:r>
      <w:r w:rsidRPr="003957AA">
        <w:rPr>
          <w:rFonts w:eastAsiaTheme="minorEastAsia"/>
        </w:rPr>
        <w:t xml:space="preserve"> </w:t>
      </w:r>
      <w:r w:rsidRPr="003957AA">
        <w:rPr>
          <w:rFonts w:eastAsiaTheme="minorEastAsia"/>
        </w:rPr>
        <w:fldChar w:fldCharType="begin"/>
      </w:r>
      <w:r w:rsidRPr="003957AA">
        <w:rPr>
          <w:rFonts w:eastAsiaTheme="minorEastAsia"/>
        </w:rPr>
        <w:instrText xml:space="preserve"> REF _Ref482330736 \h  \* MERGEFORMAT </w:instrText>
      </w:r>
      <w:r w:rsidRPr="003957AA">
        <w:rPr>
          <w:rFonts w:eastAsiaTheme="minorEastAsia"/>
        </w:rPr>
      </w:r>
      <w:r w:rsidRPr="003957AA">
        <w:rPr>
          <w:rFonts w:eastAsiaTheme="minorEastAsia"/>
        </w:rPr>
        <w:fldChar w:fldCharType="separate"/>
      </w:r>
      <w:r w:rsidR="0026074F" w:rsidRPr="0026074F">
        <w:t xml:space="preserve">Box </w:t>
      </w:r>
      <w:r w:rsidR="0026074F" w:rsidRPr="0026074F">
        <w:rPr>
          <w:noProof/>
        </w:rPr>
        <w:t>1.1</w:t>
      </w:r>
      <w:r w:rsidRPr="003957AA">
        <w:rPr>
          <w:rFonts w:eastAsiaTheme="minorEastAsia"/>
        </w:rPr>
        <w:fldChar w:fldCharType="end"/>
      </w:r>
      <w:r>
        <w:rPr>
          <w:rFonts w:eastAsiaTheme="minorEastAsia"/>
        </w:rPr>
        <w:t>)</w:t>
      </w:r>
      <w:r>
        <w:t xml:space="preserve">. </w:t>
      </w:r>
    </w:p>
    <w:p w14:paraId="48EF5D0F" w14:textId="77777777" w:rsidR="001B5338" w:rsidRDefault="001B5338" w:rsidP="001B5338">
      <w:pPr>
        <w:pStyle w:val="BodyText"/>
      </w:pPr>
      <w:r>
        <w:t xml:space="preserve">At a more practical level, the </w:t>
      </w:r>
      <w:r w:rsidR="00F43323">
        <w:t xml:space="preserve">reform package </w:t>
      </w:r>
      <w:r>
        <w:t>is</w:t>
      </w:r>
      <w:r w:rsidR="004C4801">
        <w:t xml:space="preserve"> </w:t>
      </w:r>
      <w:r>
        <w:t xml:space="preserve">fit for purpose and reflects the operational and technical requirements necessary for the safe and reliable operation of the transportation facilities that will be subject to the reforms. The proposed framework also strikes an appropriate balance between the legitimate business interests of </w:t>
      </w:r>
      <w:r w:rsidR="00174849">
        <w:t xml:space="preserve">transportation </w:t>
      </w:r>
      <w:r>
        <w:t xml:space="preserve">service providers, and other parties that have rights to use transportation services, including primary and secondary capacity holders. </w:t>
      </w:r>
    </w:p>
    <w:p w14:paraId="21D1EBE2" w14:textId="77777777" w:rsidR="00E501ED" w:rsidRDefault="00E501ED" w:rsidP="00E501ED">
      <w:pPr>
        <w:pStyle w:val="Heading2"/>
      </w:pPr>
      <w:bookmarkStart w:id="26" w:name="_Toc530546451"/>
      <w:r w:rsidRPr="00127572">
        <w:t>Application</w:t>
      </w:r>
      <w:r>
        <w:t xml:space="preserve"> of the reforms</w:t>
      </w:r>
      <w:bookmarkEnd w:id="26"/>
    </w:p>
    <w:p w14:paraId="0D52F201" w14:textId="77777777" w:rsidR="0041089F" w:rsidRDefault="004C4801" w:rsidP="0041089F">
      <w:pPr>
        <w:pStyle w:val="BodyText"/>
      </w:pPr>
      <w:r>
        <w:t xml:space="preserve">The </w:t>
      </w:r>
      <w:r w:rsidR="00E501ED">
        <w:t xml:space="preserve">Energy Council </w:t>
      </w:r>
      <w:r>
        <w:t xml:space="preserve">has </w:t>
      </w:r>
      <w:r w:rsidR="00E501ED">
        <w:t xml:space="preserve">agreed that the </w:t>
      </w:r>
      <w:r w:rsidR="00E501ED" w:rsidRPr="003D2B02">
        <w:t xml:space="preserve">reform package </w:t>
      </w:r>
      <w:r>
        <w:t xml:space="preserve">will </w:t>
      </w:r>
      <w:r w:rsidR="00E501ED" w:rsidRPr="003D2B02">
        <w:t>initially apply in the Australian Capital Territory, New South Wales, Queensland, South Australia, Tasmania</w:t>
      </w:r>
      <w:r w:rsidR="00E501ED">
        <w:t xml:space="preserve"> and Victoria (outside the DTS)</w:t>
      </w:r>
      <w:r w:rsidR="00E501ED" w:rsidRPr="003D2B02">
        <w:t xml:space="preserve">. </w:t>
      </w:r>
      <w:r w:rsidR="0041089F">
        <w:t>In relation to other jurisdictions:</w:t>
      </w:r>
    </w:p>
    <w:p w14:paraId="421ACCFB" w14:textId="77777777" w:rsidR="00E501ED" w:rsidRDefault="004C4801" w:rsidP="0041089F">
      <w:pPr>
        <w:pStyle w:val="ListBullet"/>
      </w:pPr>
      <w:r>
        <w:t xml:space="preserve">the </w:t>
      </w:r>
      <w:r w:rsidRPr="00C06848">
        <w:t>Energy Council</w:t>
      </w:r>
      <w:r>
        <w:t xml:space="preserve"> has a</w:t>
      </w:r>
      <w:r w:rsidR="00E501ED">
        <w:t>greed</w:t>
      </w:r>
      <w:r w:rsidR="00E501ED" w:rsidRPr="00C06848">
        <w:t xml:space="preserve">, at the request of the </w:t>
      </w:r>
      <w:r w:rsidR="00CB0E55">
        <w:t xml:space="preserve">NT </w:t>
      </w:r>
      <w:r w:rsidR="00E501ED" w:rsidRPr="00C06848">
        <w:t>Government, to</w:t>
      </w:r>
      <w:r w:rsidR="00E501ED">
        <w:t>:</w:t>
      </w:r>
      <w:r w:rsidR="0041089F">
        <w:rPr>
          <w:rStyle w:val="FootnoteReference"/>
        </w:rPr>
        <w:footnoteReference w:id="15"/>
      </w:r>
      <w:r w:rsidR="00E501ED" w:rsidRPr="00C06848">
        <w:t xml:space="preserve"> </w:t>
      </w:r>
    </w:p>
    <w:p w14:paraId="19369101" w14:textId="77777777" w:rsidR="00E501ED" w:rsidRDefault="00E501ED" w:rsidP="0041089F">
      <w:pPr>
        <w:pStyle w:val="ListBullet2"/>
      </w:pPr>
      <w:r w:rsidRPr="00C06848">
        <w:t xml:space="preserve">implement </w:t>
      </w:r>
      <w:r w:rsidRPr="00FF1CEF">
        <w:t xml:space="preserve">a derogation </w:t>
      </w:r>
      <w:r w:rsidRPr="00C06848">
        <w:t xml:space="preserve">that will </w:t>
      </w:r>
      <w:r w:rsidRPr="00FF1CEF">
        <w:t xml:space="preserve">delay the application of the day-ahead auction </w:t>
      </w:r>
      <w:r w:rsidRPr="00C06848">
        <w:t>to transportation facilities located wholly or partly in the NT</w:t>
      </w:r>
      <w:r>
        <w:t>; and</w:t>
      </w:r>
    </w:p>
    <w:p w14:paraId="5D658258" w14:textId="77777777" w:rsidR="00E501ED" w:rsidRDefault="00E501ED" w:rsidP="0041089F">
      <w:pPr>
        <w:pStyle w:val="ListBullet2"/>
      </w:pPr>
      <w:r>
        <w:lastRenderedPageBreak/>
        <w:t xml:space="preserve">apply all other aspects of the capacity trading reform package in the NT once the Northern Gas Pipeline (NGP) is commissioned. </w:t>
      </w:r>
    </w:p>
    <w:p w14:paraId="1A463F8A" w14:textId="77777777" w:rsidR="00E501ED" w:rsidRPr="003D2B02" w:rsidRDefault="004C4801" w:rsidP="0041089F">
      <w:pPr>
        <w:pStyle w:val="ListBullet"/>
      </w:pPr>
      <w:r>
        <w:t xml:space="preserve">the Energy Council </w:t>
      </w:r>
      <w:r w:rsidR="00E501ED" w:rsidRPr="003D2B02">
        <w:t xml:space="preserve">intends to direct the AEMC to conduct a review in 2020 (at the earliest) into whether the reforms should apply in </w:t>
      </w:r>
      <w:r w:rsidR="0041089F">
        <w:t>Western Australia</w:t>
      </w:r>
      <w:r w:rsidR="00E501ED" w:rsidRPr="003D2B02">
        <w:t xml:space="preserve">.  </w:t>
      </w:r>
    </w:p>
    <w:p w14:paraId="1400553F" w14:textId="3701393A" w:rsidR="000F0DE2" w:rsidRDefault="00C74D87" w:rsidP="00B8691A">
      <w:pPr>
        <w:pStyle w:val="BodyText"/>
        <w:rPr>
          <w:rFonts w:eastAsiaTheme="minorEastAsia"/>
        </w:rPr>
      </w:pPr>
      <w:r w:rsidRPr="003E2127">
        <w:t xml:space="preserve">On </w:t>
      </w:r>
      <w:r w:rsidR="00F23523" w:rsidRPr="003E2127">
        <w:t xml:space="preserve">2 August 2018 </w:t>
      </w:r>
      <w:r w:rsidRPr="003E2127">
        <w:t xml:space="preserve">the </w:t>
      </w:r>
      <w:r w:rsidRPr="003E2127">
        <w:rPr>
          <w:rFonts w:cs="Arial"/>
          <w:i/>
        </w:rPr>
        <w:t xml:space="preserve">National Gas (South Australia) (Capacity Trading and Auctions) Amendment Bill 2018 (Amendment Bill) </w:t>
      </w:r>
      <w:r w:rsidRPr="003E2127">
        <w:rPr>
          <w:rFonts w:cs="Arial"/>
        </w:rPr>
        <w:t xml:space="preserve">was </w:t>
      </w:r>
      <w:r w:rsidRPr="003E2127">
        <w:t xml:space="preserve">tabled in the South Australian Parliament. </w:t>
      </w:r>
      <w:r w:rsidRPr="003E2127">
        <w:rPr>
          <w:rFonts w:cs="Arial"/>
        </w:rPr>
        <w:t xml:space="preserve">The </w:t>
      </w:r>
      <w:r w:rsidRPr="003E2127">
        <w:rPr>
          <w:rFonts w:cs="Arial"/>
          <w:i/>
        </w:rPr>
        <w:t>Amendment Bill</w:t>
      </w:r>
      <w:r w:rsidRPr="003E2127">
        <w:rPr>
          <w:rFonts w:cs="Arial"/>
        </w:rPr>
        <w:t xml:space="preserve"> passed the South Australian House of Assembly on </w:t>
      </w:r>
      <w:r w:rsidR="00F23523" w:rsidRPr="003E2127">
        <w:rPr>
          <w:rFonts w:cs="Arial"/>
        </w:rPr>
        <w:t xml:space="preserve">5 September </w:t>
      </w:r>
      <w:r w:rsidR="00F23523" w:rsidRPr="00944EC7">
        <w:rPr>
          <w:rFonts w:cs="Arial"/>
        </w:rPr>
        <w:t>2018</w:t>
      </w:r>
      <w:r w:rsidRPr="00944EC7">
        <w:rPr>
          <w:rFonts w:cs="Arial"/>
        </w:rPr>
        <w:t xml:space="preserve"> and the South Australian Legislative Council on </w:t>
      </w:r>
      <w:r w:rsidR="00F43323" w:rsidRPr="00944EC7">
        <w:rPr>
          <w:rFonts w:cs="Arial"/>
        </w:rPr>
        <w:t>25 October 2018</w:t>
      </w:r>
      <w:r w:rsidRPr="00944EC7">
        <w:rPr>
          <w:rFonts w:cs="Arial"/>
        </w:rPr>
        <w:t xml:space="preserve">. The Act was proclaimed on </w:t>
      </w:r>
      <w:r w:rsidR="00944EC7" w:rsidRPr="00944EC7">
        <w:rPr>
          <w:rFonts w:cs="Arial"/>
        </w:rPr>
        <w:t>22 November</w:t>
      </w:r>
      <w:r w:rsidRPr="00944EC7">
        <w:rPr>
          <w:rFonts w:cs="Arial"/>
        </w:rPr>
        <w:t xml:space="preserve"> </w:t>
      </w:r>
      <w:r w:rsidR="00944EC7" w:rsidRPr="00944EC7">
        <w:rPr>
          <w:rFonts w:cs="Arial"/>
        </w:rPr>
        <w:t xml:space="preserve">2018 </w:t>
      </w:r>
      <w:r w:rsidRPr="00944EC7">
        <w:rPr>
          <w:rFonts w:cs="Arial"/>
        </w:rPr>
        <w:t xml:space="preserve">and became operational </w:t>
      </w:r>
      <w:r w:rsidR="004C4801" w:rsidRPr="00944EC7">
        <w:rPr>
          <w:rFonts w:cs="Arial"/>
        </w:rPr>
        <w:t xml:space="preserve">in the jurisdictions outlined above </w:t>
      </w:r>
      <w:r w:rsidRPr="00944EC7">
        <w:rPr>
          <w:rFonts w:cs="Arial"/>
        </w:rPr>
        <w:t xml:space="preserve">on proclamation. </w:t>
      </w:r>
      <w:r w:rsidRPr="00944EC7">
        <w:t>Following the proclamation of the changes to the NGL</w:t>
      </w:r>
      <w:r w:rsidR="00174849" w:rsidRPr="00944EC7">
        <w:t>,</w:t>
      </w:r>
      <w:r w:rsidRPr="00944EC7">
        <w:t xml:space="preserve"> the required amendments to the Regulations and </w:t>
      </w:r>
      <w:r w:rsidR="00174849" w:rsidRPr="00944EC7">
        <w:t xml:space="preserve">the </w:t>
      </w:r>
      <w:r w:rsidRPr="00944EC7">
        <w:t xml:space="preserve">NGR </w:t>
      </w:r>
      <w:r w:rsidR="00174849" w:rsidRPr="00944EC7">
        <w:t xml:space="preserve">were made, along with </w:t>
      </w:r>
      <w:r w:rsidRPr="00944EC7">
        <w:t xml:space="preserve">the initial </w:t>
      </w:r>
      <w:r w:rsidRPr="00944EC7">
        <w:rPr>
          <w:rFonts w:eastAsiaTheme="minorEastAsia"/>
        </w:rPr>
        <w:t>Code</w:t>
      </w:r>
      <w:r w:rsidR="00174849" w:rsidRPr="00944EC7">
        <w:rPr>
          <w:rFonts w:eastAsiaTheme="minorEastAsia"/>
        </w:rPr>
        <w:t xml:space="preserve">. These instruments </w:t>
      </w:r>
      <w:r w:rsidRPr="00944EC7">
        <w:rPr>
          <w:rFonts w:eastAsiaTheme="minorEastAsia"/>
        </w:rPr>
        <w:t xml:space="preserve">came into effect on </w:t>
      </w:r>
      <w:r w:rsidR="00944EC7" w:rsidRPr="00944EC7">
        <w:rPr>
          <w:rFonts w:eastAsiaTheme="minorEastAsia"/>
        </w:rPr>
        <w:t>22 November 2018</w:t>
      </w:r>
      <w:r w:rsidRPr="00944EC7">
        <w:rPr>
          <w:rFonts w:eastAsiaTheme="minorEastAsia"/>
        </w:rPr>
        <w:t>.</w:t>
      </w:r>
      <w:r w:rsidRPr="00944EC7">
        <w:rPr>
          <w:rStyle w:val="FootnoteReference"/>
          <w:rFonts w:cs="Arial"/>
          <w:color w:val="000000"/>
        </w:rPr>
        <w:t xml:space="preserve"> </w:t>
      </w:r>
    </w:p>
    <w:p w14:paraId="6BD309A2" w14:textId="77777777" w:rsidR="000F0DE2" w:rsidRDefault="000F0DE2" w:rsidP="000F0DE2">
      <w:pPr>
        <w:pStyle w:val="Heading2"/>
        <w:spacing w:after="120"/>
      </w:pPr>
      <w:bookmarkStart w:id="27" w:name="_Toc530546452"/>
      <w:r>
        <w:t>Next steps</w:t>
      </w:r>
      <w:bookmarkEnd w:id="27"/>
    </w:p>
    <w:p w14:paraId="1A256B17" w14:textId="77777777" w:rsidR="00AD6AF3" w:rsidRDefault="00AD6AF3" w:rsidP="00AD6AF3">
      <w:pPr>
        <w:pStyle w:val="BodyText"/>
        <w:spacing w:after="240"/>
        <w:rPr>
          <w:iCs/>
        </w:rPr>
      </w:pPr>
      <w:r>
        <w:rPr>
          <w:iCs/>
        </w:rPr>
        <w:t xml:space="preserve">The table below sets out the key dates for the implementation of </w:t>
      </w:r>
      <w:r w:rsidR="00174849">
        <w:rPr>
          <w:iCs/>
        </w:rPr>
        <w:t xml:space="preserve">other elements of the </w:t>
      </w:r>
      <w:r>
        <w:rPr>
          <w:iCs/>
        </w:rPr>
        <w:t>legal and regulatory framewor</w:t>
      </w:r>
      <w:r w:rsidR="004C4801">
        <w:rPr>
          <w:iCs/>
        </w:rPr>
        <w:t>k</w:t>
      </w:r>
      <w:r>
        <w:rPr>
          <w:iCs/>
        </w:rPr>
        <w:t xml:space="preserve">. </w:t>
      </w:r>
    </w:p>
    <w:p w14:paraId="2889FFBD" w14:textId="25C74B6C" w:rsidR="00AD6AF3" w:rsidRDefault="00AD6AF3" w:rsidP="007527BA">
      <w:pPr>
        <w:pStyle w:val="Caption"/>
        <w:keepLines w:val="0"/>
        <w:spacing w:before="0" w:after="0"/>
        <w:rPr>
          <w:rFonts w:cs="Arial"/>
        </w:rPr>
      </w:pPr>
      <w:r w:rsidRPr="001A443F">
        <w:rPr>
          <w:rFonts w:cs="Arial"/>
        </w:rPr>
        <w:t xml:space="preserve">Table </w:t>
      </w:r>
      <w:r w:rsidR="00956991">
        <w:rPr>
          <w:rFonts w:cs="Arial"/>
        </w:rPr>
        <w:fldChar w:fldCharType="begin"/>
      </w:r>
      <w:r w:rsidR="00956991">
        <w:rPr>
          <w:rFonts w:cs="Arial"/>
        </w:rPr>
        <w:instrText xml:space="preserve"> STYLEREF 1 \s </w:instrText>
      </w:r>
      <w:r w:rsidR="00956991">
        <w:rPr>
          <w:rFonts w:cs="Arial"/>
        </w:rPr>
        <w:fldChar w:fldCharType="separate"/>
      </w:r>
      <w:r w:rsidR="0026074F">
        <w:rPr>
          <w:rFonts w:cs="Arial"/>
          <w:noProof/>
        </w:rPr>
        <w:t>1</w:t>
      </w:r>
      <w:r w:rsidR="00956991">
        <w:rPr>
          <w:rFonts w:cs="Arial"/>
        </w:rPr>
        <w:fldChar w:fldCharType="end"/>
      </w:r>
      <w:r w:rsidR="00956991">
        <w:rPr>
          <w:rFonts w:cs="Arial"/>
        </w:rPr>
        <w:t>.</w:t>
      </w:r>
      <w:r w:rsidR="00956991">
        <w:rPr>
          <w:rFonts w:cs="Arial"/>
        </w:rPr>
        <w:fldChar w:fldCharType="begin"/>
      </w:r>
      <w:r w:rsidR="00956991">
        <w:rPr>
          <w:rFonts w:cs="Arial"/>
        </w:rPr>
        <w:instrText xml:space="preserve"> SEQ Table \* ARABIC \s 1 </w:instrText>
      </w:r>
      <w:r w:rsidR="00956991">
        <w:rPr>
          <w:rFonts w:cs="Arial"/>
        </w:rPr>
        <w:fldChar w:fldCharType="separate"/>
      </w:r>
      <w:r w:rsidR="0026074F">
        <w:rPr>
          <w:rFonts w:cs="Arial"/>
          <w:noProof/>
        </w:rPr>
        <w:t>4</w:t>
      </w:r>
      <w:r w:rsidR="00956991">
        <w:rPr>
          <w:rFonts w:cs="Arial"/>
        </w:rPr>
        <w:fldChar w:fldCharType="end"/>
      </w:r>
      <w:r w:rsidRPr="001A443F">
        <w:rPr>
          <w:rFonts w:cs="Arial"/>
        </w:rPr>
        <w:t xml:space="preserve">: </w:t>
      </w:r>
      <w:r w:rsidR="00D171D7">
        <w:rPr>
          <w:rFonts w:cs="Arial"/>
        </w:rPr>
        <w:t>Key</w:t>
      </w:r>
      <w:r w:rsidR="004C4801">
        <w:rPr>
          <w:rFonts w:cs="Arial"/>
        </w:rPr>
        <w:t xml:space="preserve"> implementation</w:t>
      </w:r>
      <w:r w:rsidRPr="001A443F">
        <w:rPr>
          <w:rFonts w:cs="Arial"/>
        </w:rPr>
        <w:t xml:space="preserve"> dates </w:t>
      </w:r>
    </w:p>
    <w:tbl>
      <w:tblPr>
        <w:tblStyle w:val="TableGrid"/>
        <w:tblW w:w="8789" w:type="dxa"/>
        <w:tblLook w:val="04A0" w:firstRow="1" w:lastRow="0" w:firstColumn="1" w:lastColumn="0" w:noHBand="0" w:noVBand="1"/>
        <w:tblCaption w:val="Table 1.1: Indicative dates for development and implementation of legal and regulatory framework"/>
        <w:tblDescription w:val="Table of indicative dates for development and implementation of legal and regulatory framework"/>
      </w:tblPr>
      <w:tblGrid>
        <w:gridCol w:w="1701"/>
        <w:gridCol w:w="1418"/>
        <w:gridCol w:w="5670"/>
      </w:tblGrid>
      <w:tr w:rsidR="00D171D7" w14:paraId="7B5ABE7F" w14:textId="77777777" w:rsidTr="005A571C">
        <w:trPr>
          <w:cnfStyle w:val="100000000000" w:firstRow="1" w:lastRow="0" w:firstColumn="0" w:lastColumn="0" w:oddVBand="0" w:evenVBand="0" w:oddHBand="0" w:evenHBand="0" w:firstRowFirstColumn="0" w:firstRowLastColumn="0" w:lastRowFirstColumn="0" w:lastRowLastColumn="0"/>
          <w:tblHeader/>
        </w:trPr>
        <w:tc>
          <w:tcPr>
            <w:tcW w:w="1701" w:type="dxa"/>
            <w:shd w:val="clear" w:color="auto" w:fill="0099CC"/>
          </w:tcPr>
          <w:p w14:paraId="5124B9D8" w14:textId="77777777" w:rsidR="00D171D7" w:rsidRDefault="00D171D7" w:rsidP="005A571C">
            <w:pPr>
              <w:pStyle w:val="BodyText"/>
              <w:keepNext/>
              <w:spacing w:before="20" w:after="20" w:line="240" w:lineRule="auto"/>
              <w:rPr>
                <w:iCs/>
              </w:rPr>
            </w:pPr>
            <w:r>
              <w:rPr>
                <w:iCs/>
              </w:rPr>
              <w:t>Date</w:t>
            </w:r>
          </w:p>
        </w:tc>
        <w:tc>
          <w:tcPr>
            <w:tcW w:w="1418" w:type="dxa"/>
            <w:shd w:val="clear" w:color="auto" w:fill="0099CC"/>
          </w:tcPr>
          <w:p w14:paraId="08FA788D" w14:textId="77777777" w:rsidR="00D171D7" w:rsidRDefault="00D171D7" w:rsidP="005A571C">
            <w:pPr>
              <w:pStyle w:val="BodyText"/>
              <w:keepNext/>
              <w:spacing w:before="20" w:after="20" w:line="240" w:lineRule="auto"/>
              <w:rPr>
                <w:iCs/>
              </w:rPr>
            </w:pPr>
            <w:r>
              <w:rPr>
                <w:iCs/>
              </w:rPr>
              <w:t>Responsibility</w:t>
            </w:r>
          </w:p>
        </w:tc>
        <w:tc>
          <w:tcPr>
            <w:tcW w:w="5670" w:type="dxa"/>
            <w:shd w:val="clear" w:color="auto" w:fill="0099CC"/>
          </w:tcPr>
          <w:p w14:paraId="0BEF6DFA" w14:textId="77777777" w:rsidR="00D171D7" w:rsidRDefault="00D171D7" w:rsidP="005A571C">
            <w:pPr>
              <w:pStyle w:val="BodyText"/>
              <w:keepNext/>
              <w:spacing w:before="20" w:after="20" w:line="240" w:lineRule="auto"/>
              <w:ind w:right="-822"/>
              <w:rPr>
                <w:iCs/>
              </w:rPr>
            </w:pPr>
            <w:r>
              <w:rPr>
                <w:iCs/>
              </w:rPr>
              <w:t>Process</w:t>
            </w:r>
          </w:p>
        </w:tc>
      </w:tr>
      <w:tr w:rsidR="00D171D7" w14:paraId="3DD84FE9" w14:textId="77777777" w:rsidTr="005A571C">
        <w:tc>
          <w:tcPr>
            <w:tcW w:w="1701" w:type="dxa"/>
          </w:tcPr>
          <w:p w14:paraId="634B148E" w14:textId="77777777" w:rsidR="00D171D7" w:rsidRDefault="00D171D7" w:rsidP="005A571C">
            <w:pPr>
              <w:pStyle w:val="BodyText"/>
              <w:keepNext/>
              <w:spacing w:before="20" w:after="20" w:line="240" w:lineRule="auto"/>
              <w:rPr>
                <w:iCs/>
              </w:rPr>
            </w:pPr>
            <w:r>
              <w:rPr>
                <w:iCs/>
              </w:rPr>
              <w:t>On or before 1 December 2018</w:t>
            </w:r>
          </w:p>
        </w:tc>
        <w:tc>
          <w:tcPr>
            <w:tcW w:w="1418" w:type="dxa"/>
          </w:tcPr>
          <w:p w14:paraId="526086B1" w14:textId="77777777" w:rsidR="00D171D7" w:rsidRDefault="00D171D7" w:rsidP="005A571C">
            <w:pPr>
              <w:pStyle w:val="BodyText"/>
              <w:keepNext/>
              <w:spacing w:before="20" w:after="20" w:line="240" w:lineRule="auto"/>
              <w:rPr>
                <w:iCs/>
              </w:rPr>
            </w:pPr>
            <w:r>
              <w:rPr>
                <w:iCs/>
              </w:rPr>
              <w:t>AEMO</w:t>
            </w:r>
          </w:p>
        </w:tc>
        <w:tc>
          <w:tcPr>
            <w:tcW w:w="5670" w:type="dxa"/>
          </w:tcPr>
          <w:p w14:paraId="5C1C1ED9" w14:textId="77777777" w:rsidR="00D171D7" w:rsidRPr="006D613F" w:rsidRDefault="00D171D7" w:rsidP="005A571C">
            <w:pPr>
              <w:pStyle w:val="BodyText"/>
              <w:keepNext/>
              <w:spacing w:before="20" w:after="20" w:line="240" w:lineRule="auto"/>
              <w:ind w:right="136"/>
              <w:rPr>
                <w:iCs/>
              </w:rPr>
            </w:pPr>
            <w:r>
              <w:rPr>
                <w:iCs/>
              </w:rPr>
              <w:t xml:space="preserve">AEMO to make the </w:t>
            </w:r>
            <w:r w:rsidR="00221E73">
              <w:t>CT&amp;A Procedures</w:t>
            </w:r>
            <w:r w:rsidR="00221E73">
              <w:rPr>
                <w:iCs/>
              </w:rPr>
              <w:t xml:space="preserve"> </w:t>
            </w:r>
            <w:r>
              <w:rPr>
                <w:iCs/>
              </w:rPr>
              <w:t xml:space="preserve">and </w:t>
            </w:r>
            <w:r w:rsidR="005E6B9C">
              <w:rPr>
                <w:iCs/>
              </w:rPr>
              <w:t>auction agreement</w:t>
            </w:r>
            <w:r>
              <w:rPr>
                <w:iCs/>
              </w:rPr>
              <w:t xml:space="preserve"> and amend the </w:t>
            </w:r>
            <w:r w:rsidR="00174849">
              <w:rPr>
                <w:iCs/>
              </w:rPr>
              <w:t>e</w:t>
            </w:r>
            <w:r w:rsidR="005415B7">
              <w:rPr>
                <w:iCs/>
              </w:rPr>
              <w:t xml:space="preserve">xchange </w:t>
            </w:r>
            <w:r w:rsidR="00174849">
              <w:rPr>
                <w:iCs/>
              </w:rPr>
              <w:t>a</w:t>
            </w:r>
            <w:r w:rsidR="005415B7">
              <w:rPr>
                <w:iCs/>
              </w:rPr>
              <w:t>greement</w:t>
            </w:r>
            <w:r w:rsidRPr="006D613F">
              <w:rPr>
                <w:iCs/>
              </w:rPr>
              <w:t xml:space="preserve"> and other </w:t>
            </w:r>
            <w:r>
              <w:rPr>
                <w:iCs/>
              </w:rPr>
              <w:t xml:space="preserve">AEMO-made </w:t>
            </w:r>
            <w:r w:rsidRPr="006D613F">
              <w:rPr>
                <w:iCs/>
              </w:rPr>
              <w:t>Procedures</w:t>
            </w:r>
            <w:r>
              <w:rPr>
                <w:iCs/>
              </w:rPr>
              <w:t xml:space="preserve">. AEMO to make determination on the zones to be used for the capacity trading platform and auction and publish the transportation service point register. </w:t>
            </w:r>
            <w:r w:rsidRPr="006D613F">
              <w:rPr>
                <w:iCs/>
              </w:rPr>
              <w:t xml:space="preserve"> </w:t>
            </w:r>
          </w:p>
        </w:tc>
      </w:tr>
      <w:tr w:rsidR="00D171D7" w14:paraId="0F43C479" w14:textId="77777777" w:rsidTr="005A571C">
        <w:trPr>
          <w:cnfStyle w:val="000000010000" w:firstRow="0" w:lastRow="0" w:firstColumn="0" w:lastColumn="0" w:oddVBand="0" w:evenVBand="0" w:oddHBand="0" w:evenHBand="1" w:firstRowFirstColumn="0" w:firstRowLastColumn="0" w:lastRowFirstColumn="0" w:lastRowLastColumn="0"/>
        </w:trPr>
        <w:tc>
          <w:tcPr>
            <w:tcW w:w="1701" w:type="dxa"/>
          </w:tcPr>
          <w:p w14:paraId="2E7E78C2" w14:textId="77777777" w:rsidR="00D171D7" w:rsidRDefault="00D171D7" w:rsidP="005A571C">
            <w:pPr>
              <w:pStyle w:val="BodyText"/>
              <w:keepNext/>
              <w:spacing w:before="20" w:after="20" w:line="240" w:lineRule="auto"/>
              <w:rPr>
                <w:iCs/>
              </w:rPr>
            </w:pPr>
            <w:r>
              <w:rPr>
                <w:iCs/>
              </w:rPr>
              <w:t>On or before 1 December 2018</w:t>
            </w:r>
          </w:p>
        </w:tc>
        <w:tc>
          <w:tcPr>
            <w:tcW w:w="1418" w:type="dxa"/>
          </w:tcPr>
          <w:p w14:paraId="44EB7F85" w14:textId="77777777" w:rsidR="00D171D7" w:rsidRDefault="00D171D7" w:rsidP="005A571C">
            <w:pPr>
              <w:pStyle w:val="BodyText"/>
              <w:keepNext/>
              <w:spacing w:before="20" w:after="20" w:line="240" w:lineRule="auto"/>
              <w:rPr>
                <w:iCs/>
              </w:rPr>
            </w:pPr>
            <w:r>
              <w:rPr>
                <w:iCs/>
              </w:rPr>
              <w:t>AER</w:t>
            </w:r>
          </w:p>
        </w:tc>
        <w:tc>
          <w:tcPr>
            <w:tcW w:w="5670" w:type="dxa"/>
          </w:tcPr>
          <w:p w14:paraId="1987F161" w14:textId="77777777" w:rsidR="00D171D7" w:rsidRDefault="00D171D7" w:rsidP="005A571C">
            <w:pPr>
              <w:pStyle w:val="BodyText"/>
              <w:keepNext/>
              <w:spacing w:before="20" w:after="20" w:line="240" w:lineRule="auto"/>
              <w:ind w:right="136"/>
              <w:rPr>
                <w:iCs/>
              </w:rPr>
            </w:pPr>
            <w:r w:rsidRPr="00B24F58">
              <w:t xml:space="preserve">AER </w:t>
            </w:r>
            <w:r>
              <w:t xml:space="preserve">to </w:t>
            </w:r>
            <w:r w:rsidRPr="00B24F58">
              <w:t xml:space="preserve">publish </w:t>
            </w:r>
            <w:r w:rsidR="00174849">
              <w:t xml:space="preserve">the record keeping </w:t>
            </w:r>
            <w:r w:rsidRPr="00B24F58">
              <w:t xml:space="preserve">guidelines </w:t>
            </w:r>
            <w:r w:rsidR="00174849">
              <w:t xml:space="preserve">that will apply to </w:t>
            </w:r>
            <w:r>
              <w:t xml:space="preserve">auction facility operators </w:t>
            </w:r>
            <w:r w:rsidR="00174849">
              <w:t xml:space="preserve">and </w:t>
            </w:r>
            <w:r>
              <w:t>users of auction facilities.</w:t>
            </w:r>
          </w:p>
        </w:tc>
      </w:tr>
      <w:tr w:rsidR="00D171D7" w14:paraId="4739BA45" w14:textId="77777777" w:rsidTr="005A571C">
        <w:tc>
          <w:tcPr>
            <w:tcW w:w="1701" w:type="dxa"/>
          </w:tcPr>
          <w:p w14:paraId="35D50C35" w14:textId="77777777" w:rsidR="00D171D7" w:rsidRDefault="00D171D7" w:rsidP="005A571C">
            <w:pPr>
              <w:pStyle w:val="BodyText"/>
              <w:keepNext/>
              <w:spacing w:before="20" w:after="20" w:line="240" w:lineRule="auto"/>
              <w:rPr>
                <w:iCs/>
              </w:rPr>
            </w:pPr>
            <w:r>
              <w:rPr>
                <w:iCs/>
              </w:rPr>
              <w:t>1 March 2019</w:t>
            </w:r>
          </w:p>
        </w:tc>
        <w:tc>
          <w:tcPr>
            <w:tcW w:w="1418" w:type="dxa"/>
          </w:tcPr>
          <w:p w14:paraId="49421436" w14:textId="77777777" w:rsidR="00D171D7" w:rsidRDefault="00D171D7" w:rsidP="005A571C">
            <w:pPr>
              <w:pStyle w:val="BodyText"/>
              <w:keepNext/>
              <w:spacing w:before="20" w:after="20" w:line="240" w:lineRule="auto"/>
              <w:rPr>
                <w:iCs/>
              </w:rPr>
            </w:pPr>
            <w:r>
              <w:rPr>
                <w:iCs/>
              </w:rPr>
              <w:t xml:space="preserve">AEMO and service providers </w:t>
            </w:r>
          </w:p>
        </w:tc>
        <w:tc>
          <w:tcPr>
            <w:tcW w:w="5670" w:type="dxa"/>
          </w:tcPr>
          <w:p w14:paraId="070E35FC" w14:textId="77777777" w:rsidR="00D171D7" w:rsidRPr="006D613F" w:rsidRDefault="00D171D7" w:rsidP="005A571C">
            <w:pPr>
              <w:pStyle w:val="BodyText"/>
              <w:keepNext/>
              <w:spacing w:before="20" w:after="20" w:line="240" w:lineRule="auto"/>
              <w:ind w:right="136"/>
              <w:rPr>
                <w:iCs/>
              </w:rPr>
            </w:pPr>
            <w:r>
              <w:rPr>
                <w:iCs/>
              </w:rPr>
              <w:t>Capacity trading platform and day-ahead auction commence.</w:t>
            </w:r>
          </w:p>
        </w:tc>
      </w:tr>
      <w:tr w:rsidR="00D171D7" w14:paraId="5A1732AA" w14:textId="77777777" w:rsidTr="005A571C">
        <w:trPr>
          <w:cnfStyle w:val="000000010000" w:firstRow="0" w:lastRow="0" w:firstColumn="0" w:lastColumn="0" w:oddVBand="0" w:evenVBand="0" w:oddHBand="0" w:evenHBand="1" w:firstRowFirstColumn="0" w:firstRowLastColumn="0" w:lastRowFirstColumn="0" w:lastRowLastColumn="0"/>
        </w:trPr>
        <w:tc>
          <w:tcPr>
            <w:tcW w:w="1701" w:type="dxa"/>
          </w:tcPr>
          <w:p w14:paraId="0CABCBFA" w14:textId="77777777" w:rsidR="00D171D7" w:rsidRDefault="00D171D7" w:rsidP="005A571C">
            <w:pPr>
              <w:pStyle w:val="BodyText"/>
              <w:spacing w:before="20" w:after="20" w:line="240" w:lineRule="auto"/>
              <w:rPr>
                <w:iCs/>
              </w:rPr>
            </w:pPr>
            <w:r>
              <w:rPr>
                <w:iCs/>
              </w:rPr>
              <w:t>On or before 1</w:t>
            </w:r>
            <w:r w:rsidR="008059FA">
              <w:rPr>
                <w:iCs/>
              </w:rPr>
              <w:t> </w:t>
            </w:r>
            <w:r>
              <w:rPr>
                <w:iCs/>
              </w:rPr>
              <w:t>April 2019</w:t>
            </w:r>
          </w:p>
        </w:tc>
        <w:tc>
          <w:tcPr>
            <w:tcW w:w="1418" w:type="dxa"/>
          </w:tcPr>
          <w:p w14:paraId="35BCE04E" w14:textId="77777777" w:rsidR="00D171D7" w:rsidRDefault="00D171D7" w:rsidP="005A571C">
            <w:pPr>
              <w:pStyle w:val="BodyText"/>
              <w:spacing w:before="20" w:after="20" w:line="240" w:lineRule="auto"/>
              <w:rPr>
                <w:iCs/>
              </w:rPr>
            </w:pPr>
            <w:r>
              <w:rPr>
                <w:iCs/>
              </w:rPr>
              <w:t>AEMO</w:t>
            </w:r>
          </w:p>
        </w:tc>
        <w:tc>
          <w:tcPr>
            <w:tcW w:w="5670" w:type="dxa"/>
          </w:tcPr>
          <w:p w14:paraId="29F5E9CD" w14:textId="77777777" w:rsidR="00D171D7" w:rsidRPr="00333568" w:rsidRDefault="00D171D7" w:rsidP="005A571C">
            <w:pPr>
              <w:pStyle w:val="BodyText"/>
              <w:spacing w:before="20" w:after="20" w:line="240" w:lineRule="auto"/>
              <w:ind w:right="136"/>
            </w:pPr>
            <w:r w:rsidRPr="006D613F">
              <w:rPr>
                <w:iCs/>
              </w:rPr>
              <w:t>AEMO to publish information on the arrangements for transition to the standard gas day in each gas market and update relevant Procedures</w:t>
            </w:r>
            <w:r>
              <w:rPr>
                <w:iCs/>
              </w:rPr>
              <w:t>.</w:t>
            </w:r>
          </w:p>
        </w:tc>
      </w:tr>
      <w:tr w:rsidR="00D171D7" w14:paraId="7B957E21" w14:textId="77777777" w:rsidTr="005A571C">
        <w:tc>
          <w:tcPr>
            <w:tcW w:w="1701" w:type="dxa"/>
          </w:tcPr>
          <w:p w14:paraId="46FF91C1" w14:textId="77777777" w:rsidR="00D171D7" w:rsidRDefault="00D171D7" w:rsidP="005A571C">
            <w:pPr>
              <w:pStyle w:val="BodyText"/>
              <w:spacing w:before="20" w:after="20" w:line="240" w:lineRule="auto"/>
              <w:rPr>
                <w:iCs/>
              </w:rPr>
            </w:pPr>
            <w:r>
              <w:rPr>
                <w:iCs/>
              </w:rPr>
              <w:t>1 October 2019</w:t>
            </w:r>
          </w:p>
        </w:tc>
        <w:tc>
          <w:tcPr>
            <w:tcW w:w="1418" w:type="dxa"/>
          </w:tcPr>
          <w:p w14:paraId="55876577" w14:textId="77777777" w:rsidR="00D171D7" w:rsidRDefault="00D171D7" w:rsidP="005A571C">
            <w:pPr>
              <w:pStyle w:val="BodyText"/>
              <w:spacing w:before="20" w:after="20" w:line="240" w:lineRule="auto"/>
              <w:rPr>
                <w:iCs/>
              </w:rPr>
            </w:pPr>
            <w:r>
              <w:rPr>
                <w:iCs/>
              </w:rPr>
              <w:t>AEMO and facility operators</w:t>
            </w:r>
          </w:p>
        </w:tc>
        <w:tc>
          <w:tcPr>
            <w:tcW w:w="5670" w:type="dxa"/>
          </w:tcPr>
          <w:p w14:paraId="464C6397" w14:textId="77777777" w:rsidR="00D171D7" w:rsidRPr="006D613F" w:rsidRDefault="00D171D7" w:rsidP="005A571C">
            <w:pPr>
              <w:pStyle w:val="BodyText"/>
              <w:spacing w:before="20" w:after="20" w:line="240" w:lineRule="auto"/>
              <w:ind w:right="136"/>
              <w:rPr>
                <w:iCs/>
              </w:rPr>
            </w:pPr>
            <w:r>
              <w:rPr>
                <w:iCs/>
              </w:rPr>
              <w:t>Standard market timetable commences.</w:t>
            </w:r>
          </w:p>
        </w:tc>
      </w:tr>
      <w:tr w:rsidR="00D171D7" w14:paraId="31A06646" w14:textId="77777777" w:rsidTr="005A571C">
        <w:trPr>
          <w:cnfStyle w:val="000000010000" w:firstRow="0" w:lastRow="0" w:firstColumn="0" w:lastColumn="0" w:oddVBand="0" w:evenVBand="0" w:oddHBand="0" w:evenHBand="1" w:firstRowFirstColumn="0" w:firstRowLastColumn="0" w:lastRowFirstColumn="0" w:lastRowLastColumn="0"/>
        </w:trPr>
        <w:tc>
          <w:tcPr>
            <w:tcW w:w="1701" w:type="dxa"/>
          </w:tcPr>
          <w:p w14:paraId="3114B5DE" w14:textId="77777777" w:rsidR="00D171D7" w:rsidRDefault="00D171D7" w:rsidP="005A571C">
            <w:pPr>
              <w:pStyle w:val="BodyText"/>
              <w:spacing w:before="20" w:after="20" w:line="240" w:lineRule="auto"/>
              <w:rPr>
                <w:iCs/>
              </w:rPr>
            </w:pPr>
            <w:r>
              <w:rPr>
                <w:iCs/>
              </w:rPr>
              <w:t>1 March 2020</w:t>
            </w:r>
          </w:p>
        </w:tc>
        <w:tc>
          <w:tcPr>
            <w:tcW w:w="1418" w:type="dxa"/>
          </w:tcPr>
          <w:p w14:paraId="0291E57C" w14:textId="77777777" w:rsidR="00D171D7" w:rsidRDefault="00D171D7" w:rsidP="005A571C">
            <w:pPr>
              <w:pStyle w:val="BodyText"/>
              <w:spacing w:before="20" w:after="20" w:line="240" w:lineRule="auto"/>
              <w:rPr>
                <w:iCs/>
              </w:rPr>
            </w:pPr>
            <w:r>
              <w:rPr>
                <w:iCs/>
              </w:rPr>
              <w:t>AER</w:t>
            </w:r>
          </w:p>
        </w:tc>
        <w:tc>
          <w:tcPr>
            <w:tcW w:w="5670" w:type="dxa"/>
          </w:tcPr>
          <w:p w14:paraId="321D85BD" w14:textId="77777777" w:rsidR="00D171D7" w:rsidRDefault="00D171D7" w:rsidP="005A571C">
            <w:pPr>
              <w:pStyle w:val="BodyText"/>
              <w:spacing w:before="20" w:after="20" w:line="240" w:lineRule="auto"/>
              <w:ind w:right="136"/>
              <w:rPr>
                <w:iCs/>
              </w:rPr>
            </w:pPr>
            <w:r>
              <w:rPr>
                <w:iCs/>
              </w:rPr>
              <w:t xml:space="preserve">AER to complete its review of </w:t>
            </w:r>
            <w:r w:rsidR="00174849">
              <w:rPr>
                <w:iCs/>
              </w:rPr>
              <w:t xml:space="preserve">transportation </w:t>
            </w:r>
            <w:r>
              <w:rPr>
                <w:iCs/>
              </w:rPr>
              <w:t>service providers’ standard OTSAs and standardisation costs and charges.</w:t>
            </w:r>
          </w:p>
        </w:tc>
      </w:tr>
    </w:tbl>
    <w:p w14:paraId="71806843" w14:textId="77777777" w:rsidR="005E2A3E" w:rsidRDefault="005E2A3E" w:rsidP="005E2A3E">
      <w:pPr>
        <w:pStyle w:val="Heading2"/>
        <w:spacing w:after="120"/>
      </w:pPr>
      <w:bookmarkStart w:id="28" w:name="_Toc501615350"/>
      <w:bookmarkStart w:id="29" w:name="_Toc530546453"/>
      <w:r>
        <w:t xml:space="preserve">Structure of </w:t>
      </w:r>
      <w:bookmarkEnd w:id="28"/>
      <w:r>
        <w:t>the explanatory note</w:t>
      </w:r>
      <w:bookmarkEnd w:id="29"/>
    </w:p>
    <w:p w14:paraId="662CD490" w14:textId="77777777" w:rsidR="00F8253F" w:rsidRDefault="00F8253F" w:rsidP="00F8253F">
      <w:pPr>
        <w:pStyle w:val="BodyText"/>
      </w:pPr>
      <w:r>
        <w:t>The remainder of this explanatory note is structured as follows:</w:t>
      </w:r>
    </w:p>
    <w:p w14:paraId="60E38CD3" w14:textId="77777777" w:rsidR="00113B7E" w:rsidRDefault="00C74D87" w:rsidP="00F8253F">
      <w:pPr>
        <w:pStyle w:val="ListBullet"/>
      </w:pPr>
      <w:r>
        <w:t>Chapter</w:t>
      </w:r>
      <w:r w:rsidR="000F5ED3">
        <w:t xml:space="preserve"> 2 </w:t>
      </w:r>
      <w:r w:rsidR="00D171D7">
        <w:t>contains</w:t>
      </w:r>
      <w:r>
        <w:t xml:space="preserve"> further detail on the capacity trading reform package and how trade is expected to occur once the reform package is implemented</w:t>
      </w:r>
      <w:r w:rsidR="000F5ED3">
        <w:t xml:space="preserve">; </w:t>
      </w:r>
    </w:p>
    <w:p w14:paraId="149E65CE" w14:textId="77777777" w:rsidR="00F8253F" w:rsidRDefault="00C74D87" w:rsidP="00F8253F">
      <w:pPr>
        <w:pStyle w:val="ListBullet"/>
      </w:pPr>
      <w:r>
        <w:t xml:space="preserve">Chapter </w:t>
      </w:r>
      <w:r w:rsidR="005163F8">
        <w:t>3</w:t>
      </w:r>
      <w:r>
        <w:t xml:space="preserve"> sets </w:t>
      </w:r>
      <w:r w:rsidR="000F5ED3">
        <w:t xml:space="preserve">out </w:t>
      </w:r>
      <w:r w:rsidR="00F8253F">
        <w:t xml:space="preserve">the key elements of the </w:t>
      </w:r>
      <w:r w:rsidR="0041001B">
        <w:t xml:space="preserve">final </w:t>
      </w:r>
      <w:r>
        <w:t xml:space="preserve">legal and regulatory </w:t>
      </w:r>
      <w:r w:rsidR="000F5ED3">
        <w:t>framework</w:t>
      </w:r>
      <w:r w:rsidR="00307760">
        <w:t>, the governance arrangements and the new functions and powers that the AEMC, AEMO and the AER will have under the reform package</w:t>
      </w:r>
      <w:r w:rsidR="00D171D7">
        <w:t xml:space="preserve">; </w:t>
      </w:r>
    </w:p>
    <w:p w14:paraId="1BB43993" w14:textId="77777777" w:rsidR="00307760" w:rsidRDefault="00307760" w:rsidP="00F8253F">
      <w:pPr>
        <w:pStyle w:val="ListBullet"/>
      </w:pPr>
      <w:r>
        <w:t>Chapter 4 provides an overview of the exemption and registration frameworks that will apply to transportation facilities;</w:t>
      </w:r>
    </w:p>
    <w:p w14:paraId="6C11768B" w14:textId="77777777" w:rsidR="00307760" w:rsidRDefault="00D171D7" w:rsidP="00F8253F">
      <w:pPr>
        <w:pStyle w:val="ListBullet"/>
      </w:pPr>
      <w:r>
        <w:lastRenderedPageBreak/>
        <w:t>Chapter</w:t>
      </w:r>
      <w:r w:rsidR="00307760">
        <w:t>s</w:t>
      </w:r>
      <w:r>
        <w:t xml:space="preserve"> </w:t>
      </w:r>
      <w:r w:rsidR="00307760">
        <w:t>5-9 provide further detail on the design of each element of the reform package and an overview of the legal instruments that have been amended or implemented to give effect to the approved design;</w:t>
      </w:r>
    </w:p>
    <w:p w14:paraId="74FDB0E6" w14:textId="77777777" w:rsidR="00D171D7" w:rsidRDefault="00307760" w:rsidP="00F8253F">
      <w:pPr>
        <w:pStyle w:val="ListBullet"/>
      </w:pPr>
      <w:r>
        <w:t xml:space="preserve">Chapter 10 </w:t>
      </w:r>
      <w:r w:rsidR="00D171D7">
        <w:t xml:space="preserve">outlines the timings associated with the various obligations that </w:t>
      </w:r>
      <w:r w:rsidR="00174849">
        <w:t xml:space="preserve">transportation </w:t>
      </w:r>
      <w:r w:rsidR="00D171D7">
        <w:t>service providers and other market participants will have under the new legal and regulatory framework</w:t>
      </w:r>
      <w:r w:rsidR="005163F8">
        <w:t>;</w:t>
      </w:r>
      <w:r w:rsidR="00D171D7">
        <w:t xml:space="preserve"> </w:t>
      </w:r>
      <w:r w:rsidR="00186F52">
        <w:t>and</w:t>
      </w:r>
    </w:p>
    <w:p w14:paraId="437851E1" w14:textId="77777777" w:rsidR="003A4919" w:rsidRDefault="003A4919" w:rsidP="003A4919">
      <w:pPr>
        <w:pStyle w:val="ListBullet"/>
      </w:pPr>
      <w:r>
        <w:t xml:space="preserve">Appendix </w:t>
      </w:r>
      <w:r w:rsidR="00186F52">
        <w:t>A</w:t>
      </w:r>
      <w:r>
        <w:t xml:space="preserve"> provides an overview of the feedback provided by stakeholders </w:t>
      </w:r>
      <w:r w:rsidR="00174849">
        <w:t xml:space="preserve">in response to the March 2018 consultation paper </w:t>
      </w:r>
      <w:r>
        <w:t>on the draft legal and regulatory framework and the GMRG’s responses to this feedback.</w:t>
      </w:r>
    </w:p>
    <w:p w14:paraId="79E9F4FC" w14:textId="77777777" w:rsidR="00174849" w:rsidRDefault="00174849" w:rsidP="00C0654C">
      <w:pPr>
        <w:pStyle w:val="BodyText"/>
        <w:spacing w:after="40"/>
      </w:pPr>
      <w:r>
        <w:t>This explanatory note should be read in conjunction with the GMRG’s final recommendations on the design of the capacity trading reform package, which are set out in the following documents</w:t>
      </w:r>
      <w:r w:rsidR="00DE5953">
        <w:t xml:space="preserve"> published by the GMRG</w:t>
      </w:r>
      <w:r>
        <w:t>:</w:t>
      </w:r>
    </w:p>
    <w:p w14:paraId="1F6855FE" w14:textId="77777777" w:rsidR="00174849" w:rsidRPr="00ED0708" w:rsidRDefault="00174849" w:rsidP="00174849">
      <w:pPr>
        <w:pStyle w:val="ListBullet"/>
      </w:pPr>
      <w:r w:rsidRPr="00ED0708">
        <w:t>Final Recommendations on the Operations and Administration of the Transportation Capacity Trading Platform and Day-Ahead Action, June 2017</w:t>
      </w:r>
      <w:r>
        <w:t>;</w:t>
      </w:r>
      <w:r w:rsidRPr="00ED0708">
        <w:t xml:space="preserve"> </w:t>
      </w:r>
    </w:p>
    <w:p w14:paraId="00B7C13A" w14:textId="77777777" w:rsidR="00174849" w:rsidRPr="00ED0708" w:rsidRDefault="00174849" w:rsidP="00174849">
      <w:pPr>
        <w:pStyle w:val="ListBullet"/>
      </w:pPr>
      <w:r w:rsidRPr="00ED0708">
        <w:t>Final Recommendations on the Capacity Trading Reform Package (Standardisation, capacity trading platform and reporting framework for secondary trades), November 2017</w:t>
      </w:r>
      <w:r>
        <w:t>; and</w:t>
      </w:r>
    </w:p>
    <w:p w14:paraId="247C7A48" w14:textId="77777777" w:rsidR="00174849" w:rsidRDefault="00174849" w:rsidP="00174849">
      <w:pPr>
        <w:pStyle w:val="ListBullet"/>
      </w:pPr>
      <w:r w:rsidRPr="00ED0708">
        <w:t xml:space="preserve">Final Recommendations on the Design of the Day-Ahead Auction of Contracted but Un-Nominated Capacity, December 2017.  </w:t>
      </w:r>
    </w:p>
    <w:p w14:paraId="566BD613" w14:textId="77777777" w:rsidR="00C0654C" w:rsidRPr="002F7585" w:rsidRDefault="00174849" w:rsidP="00C0654C">
      <w:pPr>
        <w:pStyle w:val="BodyText"/>
        <w:spacing w:after="40"/>
        <w:rPr>
          <w:rFonts w:eastAsiaTheme="minorHAnsi"/>
        </w:rPr>
      </w:pPr>
      <w:r>
        <w:t xml:space="preserve">The explanatory note should also be read in conjunction with the </w:t>
      </w:r>
      <w:r w:rsidR="00C0654C" w:rsidRPr="002F7585">
        <w:rPr>
          <w:rFonts w:eastAsiaTheme="minorHAnsi"/>
        </w:rPr>
        <w:t xml:space="preserve">list of the key terms used in the legal and regulatory framework </w:t>
      </w:r>
      <w:r>
        <w:rPr>
          <w:rFonts w:eastAsiaTheme="minorHAnsi"/>
        </w:rPr>
        <w:t xml:space="preserve">(see </w:t>
      </w:r>
      <w:r w:rsidR="00C0654C" w:rsidRPr="00B81D4D">
        <w:rPr>
          <w:rFonts w:eastAsiaTheme="minorHAnsi"/>
        </w:rPr>
        <w:t>page</w:t>
      </w:r>
      <w:r>
        <w:rPr>
          <w:rFonts w:eastAsiaTheme="minorHAnsi"/>
        </w:rPr>
        <w:t>s</w:t>
      </w:r>
      <w:r w:rsidR="00C0654C" w:rsidRPr="00B81D4D">
        <w:rPr>
          <w:rFonts w:eastAsiaTheme="minorHAnsi"/>
        </w:rPr>
        <w:t xml:space="preserve"> i</w:t>
      </w:r>
      <w:r w:rsidR="00B81D4D" w:rsidRPr="00B81D4D">
        <w:rPr>
          <w:rFonts w:eastAsiaTheme="minorHAnsi"/>
        </w:rPr>
        <w:t>ii</w:t>
      </w:r>
      <w:r>
        <w:rPr>
          <w:rFonts w:eastAsiaTheme="minorHAnsi"/>
        </w:rPr>
        <w:t>-</w:t>
      </w:r>
      <w:r w:rsidR="003F32C9">
        <w:rPr>
          <w:rFonts w:eastAsiaTheme="minorHAnsi"/>
        </w:rPr>
        <w:t xml:space="preserve">viii). </w:t>
      </w:r>
      <w:r w:rsidR="00C0654C" w:rsidRPr="002F7585">
        <w:rPr>
          <w:rFonts w:eastAsiaTheme="minorHAnsi"/>
        </w:rPr>
        <w:t xml:space="preserve">For the purposes of this </w:t>
      </w:r>
      <w:r w:rsidR="00C0654C">
        <w:rPr>
          <w:rFonts w:eastAsiaTheme="minorHAnsi"/>
        </w:rPr>
        <w:t>explanatory note</w:t>
      </w:r>
      <w:r w:rsidR="00C0654C" w:rsidRPr="002F7585">
        <w:rPr>
          <w:rFonts w:eastAsiaTheme="minorHAnsi"/>
        </w:rPr>
        <w:t xml:space="preserve">, the following </w:t>
      </w:r>
      <w:r w:rsidR="003F32C9">
        <w:rPr>
          <w:rFonts w:eastAsiaTheme="minorHAnsi"/>
        </w:rPr>
        <w:t xml:space="preserve">terms are </w:t>
      </w:r>
      <w:r w:rsidR="00C0654C" w:rsidRPr="002F7585">
        <w:rPr>
          <w:rFonts w:eastAsiaTheme="minorHAnsi"/>
        </w:rPr>
        <w:t>used</w:t>
      </w:r>
      <w:r w:rsidR="003F32C9">
        <w:rPr>
          <w:rFonts w:eastAsiaTheme="minorHAnsi"/>
        </w:rPr>
        <w:t xml:space="preserve"> interchangeably</w:t>
      </w:r>
      <w:r w:rsidR="00C0654C" w:rsidRPr="002F7585">
        <w:rPr>
          <w:rFonts w:eastAsiaTheme="minorHAnsi"/>
        </w:rPr>
        <w:t>:</w:t>
      </w:r>
    </w:p>
    <w:p w14:paraId="02008BE8" w14:textId="77777777" w:rsidR="00C0654C" w:rsidRPr="002F7585" w:rsidRDefault="00C0654C" w:rsidP="00C0654C">
      <w:pPr>
        <w:pStyle w:val="ListBullet"/>
        <w:spacing w:after="40"/>
        <w:rPr>
          <w:rFonts w:eastAsiaTheme="minorHAnsi"/>
        </w:rPr>
      </w:pPr>
      <w:r w:rsidRPr="002F7585">
        <w:rPr>
          <w:rFonts w:eastAsiaTheme="minorHAnsi"/>
        </w:rPr>
        <w:t>the term ‘service provider’ is used interchangeably with ‘transportation service provider’;</w:t>
      </w:r>
      <w:r w:rsidR="003F32C9">
        <w:rPr>
          <w:rFonts w:eastAsiaTheme="minorHAnsi"/>
        </w:rPr>
        <w:t xml:space="preserve"> and</w:t>
      </w:r>
    </w:p>
    <w:p w14:paraId="6A03FBC6" w14:textId="77777777" w:rsidR="00C0654C" w:rsidRPr="002F7585" w:rsidRDefault="00C0654C" w:rsidP="00C0654C">
      <w:pPr>
        <w:pStyle w:val="ListBullet"/>
        <w:spacing w:after="40"/>
        <w:rPr>
          <w:rFonts w:eastAsiaTheme="minorHAnsi"/>
        </w:rPr>
      </w:pPr>
      <w:r w:rsidRPr="002F7585">
        <w:t xml:space="preserve">the term ‘shipper’ is used to refer to an existing or prospective primary shipper and/or secondary shipper (as appropriate) and is used interchangeably with </w:t>
      </w:r>
      <w:r w:rsidR="003F32C9">
        <w:t xml:space="preserve">the term ‘user’ or </w:t>
      </w:r>
      <w:r w:rsidRPr="002F7585">
        <w:t>‘transportation facility user’; and</w:t>
      </w:r>
    </w:p>
    <w:p w14:paraId="35DED97D" w14:textId="77777777" w:rsidR="0094290B" w:rsidRDefault="0094290B" w:rsidP="00F029A4">
      <w:pPr>
        <w:pStyle w:val="ListBullet"/>
        <w:numPr>
          <w:ilvl w:val="0"/>
          <w:numId w:val="18"/>
        </w:numPr>
        <w:spacing w:before="40" w:after="40"/>
        <w:ind w:left="851" w:hanging="425"/>
        <w:jc w:val="both"/>
      </w:pPr>
      <w:r>
        <w:br w:type="page"/>
      </w:r>
    </w:p>
    <w:p w14:paraId="414A52DF" w14:textId="77777777" w:rsidR="00F8253F" w:rsidRDefault="000204F6" w:rsidP="00835BC4">
      <w:pPr>
        <w:pStyle w:val="Heading1"/>
      </w:pPr>
      <w:bookmarkStart w:id="30" w:name="_Toc530546454"/>
      <w:r>
        <w:lastRenderedPageBreak/>
        <w:t>Overview of the c</w:t>
      </w:r>
      <w:r w:rsidR="00C04CFF">
        <w:t>apacity trading reform</w:t>
      </w:r>
      <w:r>
        <w:t xml:space="preserve"> package</w:t>
      </w:r>
      <w:bookmarkEnd w:id="30"/>
      <w:r w:rsidR="00C04CFF">
        <w:t xml:space="preserve"> </w:t>
      </w:r>
    </w:p>
    <w:p w14:paraId="5B5A1345" w14:textId="77777777" w:rsidR="00D171D7" w:rsidRPr="00344A4A" w:rsidRDefault="00D171D7" w:rsidP="00D171D7">
      <w:pPr>
        <w:pStyle w:val="BodyText"/>
      </w:pPr>
      <w:bookmarkStart w:id="31" w:name="_Toc495351625"/>
      <w:bookmarkStart w:id="32" w:name="_Toc509239424"/>
      <w:r w:rsidRPr="00344A4A">
        <w:t xml:space="preserve">The capacity trading reform package was </w:t>
      </w:r>
      <w:r>
        <w:t xml:space="preserve">recommended </w:t>
      </w:r>
      <w:r w:rsidRPr="00344A4A">
        <w:t xml:space="preserve">by the AEMC </w:t>
      </w:r>
      <w:r>
        <w:t xml:space="preserve">in the </w:t>
      </w:r>
      <w:r w:rsidRPr="005E3347">
        <w:rPr>
          <w:i/>
        </w:rPr>
        <w:t>East Coast Review</w:t>
      </w:r>
      <w:r w:rsidRPr="00344A4A">
        <w:t xml:space="preserve"> </w:t>
      </w:r>
      <w:r w:rsidR="004C4801">
        <w:t>in 2015-16</w:t>
      </w:r>
      <w:r w:rsidRPr="00344A4A">
        <w:t xml:space="preserve">. </w:t>
      </w:r>
      <w:r>
        <w:t>T</w:t>
      </w:r>
      <w:r w:rsidRPr="00344A4A">
        <w:t xml:space="preserve">he objective of </w:t>
      </w:r>
      <w:r>
        <w:t>this reform package</w:t>
      </w:r>
      <w:r w:rsidRPr="00344A4A">
        <w:t xml:space="preserve"> is to improve the efficiency with which transportation capacity is allocated and </w:t>
      </w:r>
      <w:r>
        <w:t>used</w:t>
      </w:r>
      <w:r w:rsidRPr="00344A4A">
        <w:t xml:space="preserve"> on transmission pipelines </w:t>
      </w:r>
      <w:r w:rsidR="004C4801">
        <w:t xml:space="preserve">and compression service facilities operating under the contract carriage model </w:t>
      </w:r>
      <w:r w:rsidRPr="00344A4A">
        <w:t>and to foster the development of a more liquid market for secondary capacity.</w:t>
      </w:r>
      <w:r w:rsidRPr="00344A4A">
        <w:rPr>
          <w:rStyle w:val="FootnoteReference"/>
          <w:rFonts w:eastAsiaTheme="majorEastAsia" w:cs="Arial"/>
        </w:rPr>
        <w:footnoteReference w:id="16"/>
      </w:r>
      <w:r>
        <w:t xml:space="preserve"> </w:t>
      </w:r>
      <w:r w:rsidRPr="00344A4A">
        <w:t xml:space="preserve">The remainder of this </w:t>
      </w:r>
      <w:r w:rsidR="004C4801">
        <w:t>c</w:t>
      </w:r>
      <w:r w:rsidR="005163F8">
        <w:t xml:space="preserve">hapter </w:t>
      </w:r>
      <w:r w:rsidRPr="00344A4A">
        <w:t xml:space="preserve">provides further detail on: </w:t>
      </w:r>
    </w:p>
    <w:p w14:paraId="29A22B3D" w14:textId="77777777" w:rsidR="00D171D7" w:rsidRDefault="00D171D7" w:rsidP="00D171D7">
      <w:pPr>
        <w:pStyle w:val="ListBullet"/>
        <w:ind w:left="357" w:hanging="357"/>
      </w:pPr>
      <w:r w:rsidRPr="00344A4A">
        <w:t xml:space="preserve">the key elements of the </w:t>
      </w:r>
      <w:r>
        <w:t xml:space="preserve">capacity trading </w:t>
      </w:r>
      <w:r w:rsidRPr="00344A4A">
        <w:t>reform package;</w:t>
      </w:r>
      <w:r>
        <w:t xml:space="preserve"> and</w:t>
      </w:r>
    </w:p>
    <w:p w14:paraId="4D618F96" w14:textId="77777777" w:rsidR="00D171D7" w:rsidRDefault="00D171D7" w:rsidP="00D171D7">
      <w:pPr>
        <w:pStyle w:val="ListBullet"/>
      </w:pPr>
      <w:r>
        <w:t>how shippers will be able to procure capacity once the capacity trading reform package is implemented.</w:t>
      </w:r>
    </w:p>
    <w:p w14:paraId="32CE51D3" w14:textId="77777777" w:rsidR="00C74D87" w:rsidRDefault="00C74D87" w:rsidP="00D171D7">
      <w:pPr>
        <w:pStyle w:val="Heading2"/>
      </w:pPr>
      <w:bookmarkStart w:id="33" w:name="_Toc530546455"/>
      <w:r>
        <w:t>Key elements of the reform package</w:t>
      </w:r>
      <w:bookmarkEnd w:id="31"/>
      <w:bookmarkEnd w:id="32"/>
      <w:bookmarkEnd w:id="33"/>
    </w:p>
    <w:p w14:paraId="3025C772" w14:textId="602F7317" w:rsidR="00032BF3" w:rsidRDefault="00032BF3" w:rsidP="00032BF3">
      <w:pPr>
        <w:pStyle w:val="BodyText"/>
      </w:pPr>
      <w:r>
        <w:rPr>
          <w:rFonts w:cs="Arial"/>
        </w:rPr>
        <w:fldChar w:fldCharType="begin"/>
      </w:r>
      <w:r>
        <w:rPr>
          <w:rFonts w:cs="Arial"/>
        </w:rPr>
        <w:instrText xml:space="preserve"> REF _Ref513972921 \h </w:instrText>
      </w:r>
      <w:r>
        <w:rPr>
          <w:rFonts w:cs="Arial"/>
        </w:rPr>
      </w:r>
      <w:r>
        <w:rPr>
          <w:rFonts w:cs="Arial"/>
        </w:rPr>
        <w:fldChar w:fldCharType="separate"/>
      </w:r>
      <w:r w:rsidR="0026074F">
        <w:t xml:space="preserve">Figure </w:t>
      </w:r>
      <w:r w:rsidR="0026074F">
        <w:rPr>
          <w:noProof/>
        </w:rPr>
        <w:t>2</w:t>
      </w:r>
      <w:r w:rsidR="0026074F">
        <w:t>.</w:t>
      </w:r>
      <w:r w:rsidR="0026074F">
        <w:rPr>
          <w:noProof/>
        </w:rPr>
        <w:t>1</w:t>
      </w:r>
      <w:r>
        <w:rPr>
          <w:rFonts w:cs="Arial"/>
        </w:rPr>
        <w:fldChar w:fldCharType="end"/>
      </w:r>
      <w:r>
        <w:rPr>
          <w:rFonts w:cs="Arial"/>
        </w:rPr>
        <w:t xml:space="preserve"> provides an overview of the key elements of the capacity trading reform packag</w:t>
      </w:r>
      <w:r w:rsidR="004C4801">
        <w:rPr>
          <w:rFonts w:cs="Arial"/>
        </w:rPr>
        <w:t>e</w:t>
      </w:r>
      <w:r>
        <w:rPr>
          <w:rFonts w:cs="Arial"/>
        </w:rPr>
        <w:t xml:space="preserve">. As this figure highlights, the </w:t>
      </w:r>
      <w:r w:rsidRPr="00DB66D2">
        <w:t>capacity trading reform package provides for:</w:t>
      </w:r>
    </w:p>
    <w:p w14:paraId="3461384E" w14:textId="77777777" w:rsidR="00506363" w:rsidRDefault="00506363" w:rsidP="00506363">
      <w:pPr>
        <w:pStyle w:val="ListBullet"/>
        <w:ind w:left="357" w:hanging="357"/>
      </w:pPr>
      <w:r w:rsidRPr="00F13E19">
        <w:rPr>
          <w:b/>
          <w:color w:val="0099CC"/>
        </w:rPr>
        <w:t xml:space="preserve">A capacity trading platform </w:t>
      </w:r>
      <w:r w:rsidRPr="00293665">
        <w:t xml:space="preserve">that </w:t>
      </w:r>
      <w:r>
        <w:t xml:space="preserve">will form part of the GSH and enable shippers to trade secondary capacity prior to the close of trade on gas day D-1 (i.e. the day before gas is due to be transported), using either the exchange or a listing service. </w:t>
      </w:r>
    </w:p>
    <w:p w14:paraId="10B9E4A7" w14:textId="77777777" w:rsidR="00506363" w:rsidRDefault="00506363" w:rsidP="00506363">
      <w:pPr>
        <w:pStyle w:val="ListBullet"/>
        <w:ind w:left="357" w:hanging="357"/>
      </w:pPr>
      <w:r w:rsidRPr="00F13E19">
        <w:rPr>
          <w:b/>
          <w:color w:val="0099CC"/>
        </w:rPr>
        <w:t>A day-ahead auction</w:t>
      </w:r>
      <w:r w:rsidRPr="00066FB6">
        <w:t xml:space="preserve"> of </w:t>
      </w:r>
      <w:r w:rsidR="005A571C">
        <w:t xml:space="preserve">CBU </w:t>
      </w:r>
      <w:r w:rsidRPr="00066FB6">
        <w:t>capacity</w:t>
      </w:r>
      <w:r>
        <w:t xml:space="preserve"> that will be conducted by AEMO </w:t>
      </w:r>
      <w:r w:rsidRPr="00293665">
        <w:t xml:space="preserve">shortly after nomination cut-off </w:t>
      </w:r>
      <w:r>
        <w:t xml:space="preserve">time on gas day D-1 </w:t>
      </w:r>
      <w:r w:rsidRPr="00293665">
        <w:t>and subject to a reserve price of zero</w:t>
      </w:r>
      <w:r>
        <w:t>.</w:t>
      </w:r>
    </w:p>
    <w:p w14:paraId="468585C0" w14:textId="77777777" w:rsidR="00506363" w:rsidRPr="001C06D5" w:rsidRDefault="00506363" w:rsidP="00506363">
      <w:pPr>
        <w:pStyle w:val="ListBullet"/>
      </w:pPr>
      <w:r w:rsidRPr="00B548E2">
        <w:rPr>
          <w:b/>
          <w:color w:val="0099CC"/>
        </w:rPr>
        <w:t xml:space="preserve">A number of measures to facilitate capacity trading and the auction, </w:t>
      </w:r>
      <w:r w:rsidRPr="00ED31D0">
        <w:t>including</w:t>
      </w:r>
      <w:r>
        <w:t xml:space="preserve"> a requirement for </w:t>
      </w:r>
      <w:r w:rsidR="00D0013C">
        <w:t xml:space="preserve">transportation </w:t>
      </w:r>
      <w:r>
        <w:t>service providers to prepare and offer to enter int</w:t>
      </w:r>
      <w:r w:rsidRPr="00433F32">
        <w:t xml:space="preserve">o a standard </w:t>
      </w:r>
      <w:r>
        <w:t xml:space="preserve">OTSA </w:t>
      </w:r>
      <w:r w:rsidRPr="00433F32">
        <w:t>with prospective secondary shippers</w:t>
      </w:r>
      <w:r>
        <w:t xml:space="preserve"> and </w:t>
      </w:r>
      <w:r w:rsidR="00D0013C">
        <w:t xml:space="preserve">to comply with transaction support arrangements </w:t>
      </w:r>
      <w:r w:rsidR="00DE5953">
        <w:t xml:space="preserve">and </w:t>
      </w:r>
      <w:r w:rsidRPr="001C06D5">
        <w:t xml:space="preserve">a range of other measures to facilitate capacity trades and the auction. </w:t>
      </w:r>
    </w:p>
    <w:p w14:paraId="0B69019A" w14:textId="77777777" w:rsidR="006308FB" w:rsidRPr="00EB6C1F" w:rsidRDefault="006308FB" w:rsidP="006308FB">
      <w:pPr>
        <w:pStyle w:val="ListBullet"/>
        <w:spacing w:line="252" w:lineRule="auto"/>
        <w:ind w:left="357" w:hanging="357"/>
        <w:rPr>
          <w:rFonts w:cs="Arial"/>
        </w:rPr>
      </w:pPr>
      <w:r w:rsidRPr="00EB6C1F">
        <w:rPr>
          <w:b/>
          <w:color w:val="0099CC"/>
        </w:rPr>
        <w:t xml:space="preserve">A reporting framework </w:t>
      </w:r>
      <w:r>
        <w:t xml:space="preserve">for secondary capacity trades that will </w:t>
      </w:r>
      <w:r w:rsidRPr="00EB6C1F">
        <w:rPr>
          <w:rFonts w:cs="Arial"/>
        </w:rPr>
        <w:t xml:space="preserve">provide for the publication of the price and other related information on secondary trades on the </w:t>
      </w:r>
      <w:r>
        <w:rPr>
          <w:rFonts w:cs="Arial"/>
        </w:rPr>
        <w:t>Bulletin Board</w:t>
      </w:r>
      <w:r w:rsidRPr="00EB6C1F">
        <w:rPr>
          <w:rFonts w:cs="Arial"/>
        </w:rPr>
        <w:t xml:space="preserve">. Information on </w:t>
      </w:r>
      <w:r>
        <w:rPr>
          <w:rFonts w:cs="Arial"/>
        </w:rPr>
        <w:t xml:space="preserve">a range of other matters relating to </w:t>
      </w:r>
      <w:r w:rsidRPr="00EB6C1F">
        <w:rPr>
          <w:rFonts w:cs="Arial"/>
        </w:rPr>
        <w:t xml:space="preserve">the </w:t>
      </w:r>
      <w:r>
        <w:rPr>
          <w:rFonts w:cs="Arial"/>
        </w:rPr>
        <w:t xml:space="preserve">trade of capacity and the </w:t>
      </w:r>
      <w:r w:rsidRPr="00EB6C1F">
        <w:rPr>
          <w:rFonts w:cs="Arial"/>
        </w:rPr>
        <w:t xml:space="preserve">auction will also </w:t>
      </w:r>
      <w:r w:rsidR="00DE5953">
        <w:rPr>
          <w:rFonts w:cs="Arial"/>
        </w:rPr>
        <w:t>be</w:t>
      </w:r>
      <w:r>
        <w:rPr>
          <w:rFonts w:cs="Arial"/>
        </w:rPr>
        <w:t xml:space="preserve"> </w:t>
      </w:r>
      <w:r w:rsidRPr="00EB6C1F">
        <w:rPr>
          <w:rFonts w:cs="Arial"/>
        </w:rPr>
        <w:t xml:space="preserve">published on the </w:t>
      </w:r>
      <w:r>
        <w:rPr>
          <w:rFonts w:cs="Arial"/>
        </w:rPr>
        <w:t>Bulletin Board</w:t>
      </w:r>
      <w:r w:rsidRPr="00EB6C1F">
        <w:rPr>
          <w:rFonts w:cs="Arial"/>
        </w:rPr>
        <w:t xml:space="preserve">. </w:t>
      </w:r>
    </w:p>
    <w:p w14:paraId="566F252B" w14:textId="77777777" w:rsidR="00506363" w:rsidRDefault="00506363" w:rsidP="00506363">
      <w:pPr>
        <w:pStyle w:val="ListBullet"/>
        <w:ind w:left="357" w:hanging="357"/>
      </w:pPr>
      <w:r w:rsidRPr="00DA5FE6">
        <w:rPr>
          <w:b/>
          <w:color w:val="0099CC"/>
        </w:rPr>
        <w:t>A standard market timetable</w:t>
      </w:r>
      <w:r>
        <w:t xml:space="preserve">, which will provide for: </w:t>
      </w:r>
    </w:p>
    <w:p w14:paraId="00F1D39E" w14:textId="77777777" w:rsidR="00506363" w:rsidRDefault="00506363" w:rsidP="00506363">
      <w:pPr>
        <w:pStyle w:val="ListBullet2"/>
      </w:pPr>
      <w:r>
        <w:t xml:space="preserve">a harmonised </w:t>
      </w:r>
      <w:r w:rsidRPr="006A529A">
        <w:t>gas day start time</w:t>
      </w:r>
      <w:r>
        <w:t xml:space="preserve"> of 6 am (AEST) for production, transportation and gas storage facilities and the facilitated markets; </w:t>
      </w:r>
    </w:p>
    <w:p w14:paraId="58500494" w14:textId="77777777" w:rsidR="00506363" w:rsidRDefault="00506363" w:rsidP="00506363">
      <w:pPr>
        <w:pStyle w:val="ListBullet2"/>
      </w:pPr>
      <w:r>
        <w:t xml:space="preserve">a common </w:t>
      </w:r>
      <w:r w:rsidRPr="006A529A">
        <w:t>nomination cut-off time</w:t>
      </w:r>
      <w:r>
        <w:t xml:space="preserve"> of 3 pm (AEST) for transportation facilities that are subject to the capacity trading reforms; and</w:t>
      </w:r>
    </w:p>
    <w:p w14:paraId="10CC73BE" w14:textId="77777777" w:rsidR="00506363" w:rsidRPr="00FA400C" w:rsidRDefault="00506363" w:rsidP="00506363">
      <w:pPr>
        <w:pStyle w:val="ListBullet2"/>
      </w:pPr>
      <w:r>
        <w:t xml:space="preserve">an auction service nomination cut-off time of 6:45 pm (AEST) </w:t>
      </w:r>
      <w:r w:rsidRPr="00FA400C">
        <w:t xml:space="preserve">for </w:t>
      </w:r>
      <w:r>
        <w:t xml:space="preserve">transportation </w:t>
      </w:r>
      <w:r w:rsidRPr="00FA400C">
        <w:t xml:space="preserve">facilities that </w:t>
      </w:r>
      <w:r>
        <w:t xml:space="preserve">are </w:t>
      </w:r>
      <w:r w:rsidRPr="00FA400C">
        <w:t xml:space="preserve">subject to the </w:t>
      </w:r>
      <w:r>
        <w:t>day-ahead auction.</w:t>
      </w:r>
    </w:p>
    <w:p w14:paraId="0E80F407" w14:textId="77777777" w:rsidR="00CD4D41" w:rsidRDefault="00CD4D41" w:rsidP="00032BF3">
      <w:pPr>
        <w:pStyle w:val="BodyText"/>
        <w:rPr>
          <w:rFonts w:cs="Arial"/>
        </w:rPr>
      </w:pPr>
    </w:p>
    <w:p w14:paraId="041E6645" w14:textId="77777777" w:rsidR="00CD4D41" w:rsidRDefault="00CD4D41" w:rsidP="00032BF3">
      <w:pPr>
        <w:pStyle w:val="BodyText"/>
        <w:rPr>
          <w:rFonts w:cs="Arial"/>
        </w:rPr>
      </w:pPr>
    </w:p>
    <w:p w14:paraId="1D46219C" w14:textId="77777777" w:rsidR="00CD4D41" w:rsidRDefault="00CD4D41" w:rsidP="00032BF3">
      <w:pPr>
        <w:pStyle w:val="BodyText"/>
        <w:rPr>
          <w:rFonts w:cs="Arial"/>
        </w:rPr>
        <w:sectPr w:rsidR="00CD4D41" w:rsidSect="00C0654C">
          <w:headerReference w:type="default" r:id="rId37"/>
          <w:footerReference w:type="default" r:id="rId38"/>
          <w:pgSz w:w="11907" w:h="16839" w:code="9"/>
          <w:pgMar w:top="1361" w:right="1418" w:bottom="992" w:left="1701" w:header="567" w:footer="397" w:gutter="0"/>
          <w:cols w:space="708"/>
          <w:docGrid w:linePitch="360"/>
        </w:sectPr>
      </w:pPr>
    </w:p>
    <w:p w14:paraId="26842E85" w14:textId="74E3FAB9" w:rsidR="00032BF3" w:rsidRDefault="00032BF3" w:rsidP="00032BF3">
      <w:pPr>
        <w:pStyle w:val="Caption"/>
        <w:spacing w:before="0" w:after="0"/>
        <w:rPr>
          <w:rFonts w:cs="Arial"/>
        </w:rPr>
      </w:pPr>
      <w:bookmarkStart w:id="34" w:name="_Ref513972921"/>
      <w:r>
        <w:lastRenderedPageBreak/>
        <w:t xml:space="preserve">Figure </w:t>
      </w:r>
      <w:r w:rsidR="002633F5">
        <w:rPr>
          <w:noProof/>
        </w:rPr>
        <w:fldChar w:fldCharType="begin"/>
      </w:r>
      <w:r w:rsidR="002633F5">
        <w:rPr>
          <w:noProof/>
        </w:rPr>
        <w:instrText xml:space="preserve"> STYLEREF 1 \s </w:instrText>
      </w:r>
      <w:r w:rsidR="002633F5">
        <w:rPr>
          <w:noProof/>
        </w:rPr>
        <w:fldChar w:fldCharType="separate"/>
      </w:r>
      <w:r w:rsidR="0026074F">
        <w:rPr>
          <w:noProof/>
        </w:rPr>
        <w:t>2</w:t>
      </w:r>
      <w:r w:rsidR="002633F5">
        <w:rPr>
          <w:noProof/>
        </w:rPr>
        <w:fldChar w:fldCharType="end"/>
      </w:r>
      <w:r w:rsidR="00EA7902">
        <w:t>.</w:t>
      </w:r>
      <w:r w:rsidR="002633F5">
        <w:rPr>
          <w:noProof/>
        </w:rPr>
        <w:fldChar w:fldCharType="begin"/>
      </w:r>
      <w:r w:rsidR="002633F5">
        <w:rPr>
          <w:noProof/>
        </w:rPr>
        <w:instrText xml:space="preserve"> SEQ Figure \* ARABIC \s 1 </w:instrText>
      </w:r>
      <w:r w:rsidR="002633F5">
        <w:rPr>
          <w:noProof/>
        </w:rPr>
        <w:fldChar w:fldCharType="separate"/>
      </w:r>
      <w:r w:rsidR="0026074F">
        <w:rPr>
          <w:noProof/>
        </w:rPr>
        <w:t>1</w:t>
      </w:r>
      <w:r w:rsidR="002633F5">
        <w:rPr>
          <w:noProof/>
        </w:rPr>
        <w:fldChar w:fldCharType="end"/>
      </w:r>
      <w:bookmarkEnd w:id="34"/>
      <w:r>
        <w:t>: Key elements of the reform package</w:t>
      </w:r>
    </w:p>
    <w:p w14:paraId="37F97DC8" w14:textId="77777777" w:rsidR="00032BF3" w:rsidRDefault="00506363" w:rsidP="00032BF3">
      <w:pPr>
        <w:pStyle w:val="BodyText"/>
        <w:spacing w:before="0" w:after="0"/>
        <w:rPr>
          <w:rFonts w:cs="Arial"/>
        </w:rPr>
      </w:pPr>
      <w:r>
        <w:rPr>
          <w:noProof/>
        </w:rPr>
        <w:drawing>
          <wp:inline distT="0" distB="0" distL="0" distR="0" wp14:anchorId="7561F244" wp14:editId="4997FF08">
            <wp:extent cx="8486775" cy="5059504"/>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498112" cy="5066263"/>
                    </a:xfrm>
                    <a:prstGeom prst="rect">
                      <a:avLst/>
                    </a:prstGeom>
                    <a:noFill/>
                  </pic:spPr>
                </pic:pic>
              </a:graphicData>
            </a:graphic>
          </wp:inline>
        </w:drawing>
      </w:r>
    </w:p>
    <w:p w14:paraId="795B36D9" w14:textId="77777777" w:rsidR="00032BF3" w:rsidRDefault="00032BF3" w:rsidP="00032BF3">
      <w:pPr>
        <w:pStyle w:val="BodyText"/>
        <w:spacing w:before="0" w:after="0"/>
        <w:rPr>
          <w:rFonts w:cs="Arial"/>
        </w:rPr>
      </w:pPr>
    </w:p>
    <w:p w14:paraId="3B5410D4" w14:textId="77777777" w:rsidR="00506363" w:rsidRDefault="00506363" w:rsidP="00506363">
      <w:pPr>
        <w:pStyle w:val="BodyText"/>
        <w:spacing w:before="0" w:after="0"/>
        <w:rPr>
          <w:rFonts w:cs="Arial"/>
        </w:rPr>
        <w:sectPr w:rsidR="00506363" w:rsidSect="00032BF3">
          <w:pgSz w:w="16839" w:h="11907" w:orient="landscape" w:code="9"/>
          <w:pgMar w:top="1361" w:right="1418" w:bottom="992" w:left="1701" w:header="567" w:footer="397" w:gutter="0"/>
          <w:cols w:space="708"/>
          <w:docGrid w:linePitch="360"/>
        </w:sectPr>
      </w:pPr>
    </w:p>
    <w:p w14:paraId="2316615F" w14:textId="77777777" w:rsidR="007B6E33" w:rsidRDefault="00CD4D41" w:rsidP="00CD4D41">
      <w:pPr>
        <w:pStyle w:val="BodyText"/>
      </w:pPr>
      <w:bookmarkStart w:id="35" w:name="_Ref519260926"/>
      <w:bookmarkStart w:id="36" w:name="_Ref508938757"/>
      <w:bookmarkStart w:id="37" w:name="_Toc509239425"/>
      <w:bookmarkStart w:id="38" w:name="_Toc482855851"/>
      <w:r w:rsidRPr="000175C2">
        <w:lastRenderedPageBreak/>
        <w:t xml:space="preserve">The map </w:t>
      </w:r>
      <w:r>
        <w:t xml:space="preserve">below </w:t>
      </w:r>
      <w:r w:rsidRPr="000175C2">
        <w:t xml:space="preserve">provides an </w:t>
      </w:r>
      <w:r w:rsidRPr="007B6E33">
        <w:rPr>
          <w:i/>
        </w:rPr>
        <w:t>indication</w:t>
      </w:r>
      <w:r w:rsidRPr="000175C2">
        <w:t xml:space="preserve"> of the </w:t>
      </w:r>
      <w:r>
        <w:t xml:space="preserve">initial coverage of the capacity trading reforms and </w:t>
      </w:r>
      <w:r w:rsidRPr="000175C2">
        <w:t>identifies those facilities located wholly or partly in the NT that, by virtue of the operation of the derogation, will not</w:t>
      </w:r>
      <w:r w:rsidRPr="006A1974">
        <w:t xml:space="preserve"> be subject to the auction</w:t>
      </w:r>
      <w:r>
        <w:t xml:space="preserve"> until the derogation</w:t>
      </w:r>
      <w:r w:rsidRPr="006A1974">
        <w:t xml:space="preserve"> </w:t>
      </w:r>
      <w:r>
        <w:t>expires (see facilities circled in yellow)</w:t>
      </w:r>
      <w:r w:rsidRPr="006A1974">
        <w:t>.</w:t>
      </w:r>
      <w:r w:rsidRPr="000175C2">
        <w:t xml:space="preserve"> </w:t>
      </w:r>
      <w:r w:rsidR="00DE5953">
        <w:t xml:space="preserve">The </w:t>
      </w:r>
      <w:r w:rsidRPr="000175C2">
        <w:t>map</w:t>
      </w:r>
      <w:r w:rsidR="007B6E33">
        <w:t>, which</w:t>
      </w:r>
      <w:r w:rsidRPr="000175C2">
        <w:t xml:space="preserve"> </w:t>
      </w:r>
      <w:r w:rsidR="007B6E33">
        <w:t xml:space="preserve">has been developed having regard to information provided by transportation service providers, </w:t>
      </w:r>
      <w:r w:rsidRPr="000175C2">
        <w:t xml:space="preserve">excludes those transportation facilities that </w:t>
      </w:r>
      <w:r w:rsidR="007B6E33">
        <w:t>are expected to:</w:t>
      </w:r>
      <w:r w:rsidRPr="000175C2">
        <w:t xml:space="preserve"> </w:t>
      </w:r>
    </w:p>
    <w:p w14:paraId="2CA23083" w14:textId="77777777" w:rsidR="007B6E33" w:rsidRPr="0082325C" w:rsidRDefault="007B6E33" w:rsidP="007B6E33">
      <w:pPr>
        <w:pStyle w:val="ListBullet"/>
      </w:pPr>
      <w:r>
        <w:t xml:space="preserve">be </w:t>
      </w:r>
      <w:r w:rsidR="00CD4D41" w:rsidRPr="000175C2">
        <w:t>automatically exempt from the reforms</w:t>
      </w:r>
      <w:r>
        <w:t xml:space="preserve"> (i.e. distribution pipelines, a </w:t>
      </w:r>
      <w:r w:rsidRPr="0082325C">
        <w:t>facility that forms part of the DTS and compression</w:t>
      </w:r>
      <w:r>
        <w:t xml:space="preserve"> service</w:t>
      </w:r>
      <w:r w:rsidRPr="0082325C">
        <w:t xml:space="preserve"> facilities that are not designated in the Regulations or are not stand-alone </w:t>
      </w:r>
      <w:r>
        <w:t xml:space="preserve">compression </w:t>
      </w:r>
      <w:r w:rsidRPr="0082325C">
        <w:t>facilities</w:t>
      </w:r>
      <w:r>
        <w:t>)</w:t>
      </w:r>
      <w:r w:rsidRPr="0082325C">
        <w:t xml:space="preserve">; </w:t>
      </w:r>
      <w:r>
        <w:t>or</w:t>
      </w:r>
    </w:p>
    <w:p w14:paraId="652BD180" w14:textId="77777777" w:rsidR="007B6E33" w:rsidRDefault="007B6E33" w:rsidP="007B6E33">
      <w:pPr>
        <w:pStyle w:val="ListBullet"/>
      </w:pPr>
      <w:r>
        <w:t xml:space="preserve">obtain an </w:t>
      </w:r>
      <w:r w:rsidR="00CD4D41" w:rsidRPr="000175C2">
        <w:t xml:space="preserve">exemption from </w:t>
      </w:r>
      <w:r>
        <w:t xml:space="preserve">some or all of </w:t>
      </w:r>
      <w:r w:rsidR="00CD4D41" w:rsidRPr="000175C2">
        <w:t>the reforms</w:t>
      </w:r>
      <w:r>
        <w:t xml:space="preserve"> (excluding the standard market timetable and the secondary reporting framework)</w:t>
      </w:r>
      <w:r w:rsidR="00CD4D41">
        <w:t>.</w:t>
      </w:r>
      <w:r w:rsidR="00CD4D41" w:rsidRPr="000175C2">
        <w:t xml:space="preserve"> </w:t>
      </w:r>
    </w:p>
    <w:p w14:paraId="5D111961" w14:textId="77777777" w:rsidR="00CD4D41" w:rsidRDefault="007B6E33" w:rsidP="00CD4D41">
      <w:pPr>
        <w:pStyle w:val="BodyText"/>
      </w:pPr>
      <w:r>
        <w:t xml:space="preserve">The term ‘indication’ has been italicised above, because a final decision on the application of the exemption criteria will be a matter for the AER. </w:t>
      </w:r>
    </w:p>
    <w:p w14:paraId="74077E12" w14:textId="4986F48F" w:rsidR="00CD4D41" w:rsidRDefault="00CD4D41" w:rsidP="000E0023">
      <w:pPr>
        <w:pStyle w:val="Caption"/>
        <w:spacing w:after="0"/>
      </w:pPr>
      <w:r>
        <w:t xml:space="preserve">Figure </w:t>
      </w:r>
      <w:r w:rsidR="002633F5">
        <w:rPr>
          <w:noProof/>
        </w:rPr>
        <w:fldChar w:fldCharType="begin"/>
      </w:r>
      <w:r w:rsidR="002633F5">
        <w:rPr>
          <w:noProof/>
        </w:rPr>
        <w:instrText xml:space="preserve"> STYLEREF 1 \s </w:instrText>
      </w:r>
      <w:r w:rsidR="002633F5">
        <w:rPr>
          <w:noProof/>
        </w:rPr>
        <w:fldChar w:fldCharType="separate"/>
      </w:r>
      <w:r w:rsidR="0026074F">
        <w:rPr>
          <w:noProof/>
        </w:rPr>
        <w:t>2</w:t>
      </w:r>
      <w:r w:rsidR="002633F5">
        <w:rPr>
          <w:noProof/>
        </w:rPr>
        <w:fldChar w:fldCharType="end"/>
      </w:r>
      <w:r w:rsidR="00EA7902">
        <w:t>.</w:t>
      </w:r>
      <w:r w:rsidR="002633F5">
        <w:rPr>
          <w:noProof/>
        </w:rPr>
        <w:fldChar w:fldCharType="begin"/>
      </w:r>
      <w:r w:rsidR="002633F5">
        <w:rPr>
          <w:noProof/>
        </w:rPr>
        <w:instrText xml:space="preserve"> SEQ Figure \* ARABIC \s 1 </w:instrText>
      </w:r>
      <w:r w:rsidR="002633F5">
        <w:rPr>
          <w:noProof/>
        </w:rPr>
        <w:fldChar w:fldCharType="separate"/>
      </w:r>
      <w:r w:rsidR="0026074F">
        <w:rPr>
          <w:noProof/>
        </w:rPr>
        <w:t>2</w:t>
      </w:r>
      <w:r w:rsidR="002633F5">
        <w:rPr>
          <w:noProof/>
        </w:rPr>
        <w:fldChar w:fldCharType="end"/>
      </w:r>
      <w:bookmarkEnd w:id="35"/>
      <w:r>
        <w:t xml:space="preserve">: </w:t>
      </w:r>
      <w:bookmarkEnd w:id="36"/>
      <w:r>
        <w:t xml:space="preserve">Indicative coverage of the capacity trading reforms </w:t>
      </w:r>
    </w:p>
    <w:p w14:paraId="5E7C5E97" w14:textId="77777777" w:rsidR="00CD4D41" w:rsidRDefault="00CD4D41" w:rsidP="00CD4D41">
      <w:pPr>
        <w:pStyle w:val="BodyText"/>
        <w:spacing w:before="0" w:after="0"/>
        <w:jc w:val="center"/>
        <w:rPr>
          <w:lang w:eastAsia="fr-CA"/>
        </w:rPr>
      </w:pPr>
      <w:r>
        <w:rPr>
          <w:noProof/>
        </w:rPr>
        <w:drawing>
          <wp:inline distT="0" distB="0" distL="0" distR="0" wp14:anchorId="671FB823" wp14:editId="46E7F593">
            <wp:extent cx="5781675" cy="53721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94839" cy="5384331"/>
                    </a:xfrm>
                    <a:prstGeom prst="rect">
                      <a:avLst/>
                    </a:prstGeom>
                    <a:noFill/>
                  </pic:spPr>
                </pic:pic>
              </a:graphicData>
            </a:graphic>
          </wp:inline>
        </w:drawing>
      </w:r>
    </w:p>
    <w:p w14:paraId="6445AFFA" w14:textId="77777777" w:rsidR="00CD4D41" w:rsidRPr="00CD4D41" w:rsidRDefault="00CD4D41" w:rsidP="00CD4D41">
      <w:pPr>
        <w:pStyle w:val="BodyText"/>
        <w:spacing w:before="0"/>
        <w:jc w:val="both"/>
        <w:rPr>
          <w:sz w:val="16"/>
          <w:szCs w:val="16"/>
        </w:rPr>
      </w:pPr>
      <w:r w:rsidRPr="00CD4D41">
        <w:rPr>
          <w:sz w:val="16"/>
          <w:szCs w:val="16"/>
          <w:lang w:eastAsia="fr-CA"/>
        </w:rPr>
        <w:t>Map source: AEMC with facilities identified by the GMRG.</w:t>
      </w:r>
    </w:p>
    <w:p w14:paraId="607D03F4" w14:textId="77777777" w:rsidR="00C74D87" w:rsidRDefault="00C74D87" w:rsidP="006308FB">
      <w:pPr>
        <w:pStyle w:val="Heading2"/>
        <w:spacing w:before="240"/>
      </w:pPr>
      <w:bookmarkStart w:id="39" w:name="_Toc530546456"/>
      <w:r>
        <w:lastRenderedPageBreak/>
        <w:t>How capacity can be procured under the new framework</w:t>
      </w:r>
      <w:bookmarkEnd w:id="37"/>
      <w:bookmarkEnd w:id="39"/>
    </w:p>
    <w:p w14:paraId="370D8454" w14:textId="77777777" w:rsidR="00C74D87" w:rsidRDefault="00C74D87" w:rsidP="006308FB">
      <w:pPr>
        <w:pStyle w:val="BodyText"/>
        <w:keepNext/>
        <w:spacing w:before="0"/>
      </w:pPr>
      <w:r>
        <w:t>Once the reform package is implemented, shippers that want to procure secondary capacity</w:t>
      </w:r>
      <w:r w:rsidR="00CD4D41">
        <w:t xml:space="preserve"> will be able to do so using either</w:t>
      </w:r>
      <w:r>
        <w:t>:</w:t>
      </w:r>
      <w:r>
        <w:rPr>
          <w:rStyle w:val="FootnoteReference"/>
        </w:rPr>
        <w:footnoteReference w:id="17"/>
      </w:r>
      <w:r>
        <w:t xml:space="preserve"> </w:t>
      </w:r>
    </w:p>
    <w:p w14:paraId="1C9A5872" w14:textId="77777777" w:rsidR="00CD4D41" w:rsidRDefault="00CD4D41" w:rsidP="006308FB">
      <w:pPr>
        <w:pStyle w:val="ListBullet"/>
        <w:keepNext/>
        <w:spacing w:before="60" w:after="60"/>
        <w:ind w:left="357" w:hanging="357"/>
      </w:pPr>
      <w:r>
        <w:t>the capacity trading platform – the platform can be used to:</w:t>
      </w:r>
    </w:p>
    <w:p w14:paraId="683FBD4B" w14:textId="77777777" w:rsidR="00CD4D41" w:rsidRDefault="00DE5953" w:rsidP="00CD4D41">
      <w:pPr>
        <w:pStyle w:val="ListBullet2"/>
        <w:spacing w:before="60" w:after="60"/>
      </w:pPr>
      <w:r>
        <w:t xml:space="preserve">buy </w:t>
      </w:r>
      <w:r w:rsidR="00CD4D41">
        <w:t>standardised day-ahead and longer dated firm forward haul, park and compression services (i.e. screen trading or pre-matched trades); or</w:t>
      </w:r>
    </w:p>
    <w:p w14:paraId="704DC2B4" w14:textId="77777777" w:rsidR="00C74D87" w:rsidRDefault="00DE5953" w:rsidP="00CD4D41">
      <w:pPr>
        <w:pStyle w:val="ListBullet2"/>
        <w:spacing w:before="60" w:after="60"/>
      </w:pPr>
      <w:r>
        <w:t xml:space="preserve">identify potential counterparties for </w:t>
      </w:r>
      <w:r w:rsidR="00CD4D41">
        <w:t xml:space="preserve">more bespoke </w:t>
      </w:r>
      <w:r>
        <w:t xml:space="preserve">contracts or </w:t>
      </w:r>
      <w:r w:rsidR="00CD4D41">
        <w:t>services through the listing service.</w:t>
      </w:r>
    </w:p>
    <w:p w14:paraId="72337923" w14:textId="77777777" w:rsidR="00C74D87" w:rsidRDefault="00CD4D41" w:rsidP="00CD4D41">
      <w:pPr>
        <w:pStyle w:val="ListBullet"/>
        <w:spacing w:before="60" w:after="60"/>
        <w:ind w:left="357" w:hanging="357"/>
      </w:pPr>
      <w:r>
        <w:t xml:space="preserve">the </w:t>
      </w:r>
      <w:r w:rsidR="00C74D87">
        <w:t xml:space="preserve">day-ahead </w:t>
      </w:r>
      <w:r>
        <w:t xml:space="preserve">auction – the auction can be used to procure standardised day-ahead forward haul, backhaul and compression services </w:t>
      </w:r>
      <w:r w:rsidR="00C74D87">
        <w:t xml:space="preserve">after nomination cut-off time. </w:t>
      </w:r>
    </w:p>
    <w:p w14:paraId="3BBB1665" w14:textId="77777777" w:rsidR="006308FB" w:rsidRDefault="006308FB" w:rsidP="00CD4D41">
      <w:pPr>
        <w:pStyle w:val="BodyText"/>
      </w:pPr>
      <w:r>
        <w:t>T</w:t>
      </w:r>
      <w:r w:rsidRPr="00D5454D">
        <w:rPr>
          <w:rFonts w:asciiTheme="majorHAnsi" w:hAnsiTheme="majorHAnsi" w:cstheme="majorHAnsi"/>
        </w:rPr>
        <w:t>rades conducted through the exchange will utilise the existing GSH settlement, prudential and reporting framework</w:t>
      </w:r>
      <w:r w:rsidR="001C0DCA">
        <w:rPr>
          <w:rFonts w:asciiTheme="majorHAnsi" w:hAnsiTheme="majorHAnsi" w:cstheme="majorHAnsi"/>
        </w:rPr>
        <w:t xml:space="preserve">. </w:t>
      </w:r>
      <w:r w:rsidR="00DE5953">
        <w:rPr>
          <w:rFonts w:asciiTheme="majorHAnsi" w:hAnsiTheme="majorHAnsi" w:cstheme="majorHAnsi"/>
        </w:rPr>
        <w:t xml:space="preserve">Participants in both the GSH and the auction </w:t>
      </w:r>
      <w:r w:rsidRPr="00D5454D">
        <w:rPr>
          <w:rFonts w:asciiTheme="majorHAnsi" w:hAnsiTheme="majorHAnsi" w:cstheme="majorHAnsi"/>
        </w:rPr>
        <w:t>will receive one settlement statement for all traded products and be able to aggregate prudential requirements across gas, secondary capacity and auction products.</w:t>
      </w:r>
    </w:p>
    <w:p w14:paraId="13570313" w14:textId="77777777" w:rsidR="00CD4D41" w:rsidRDefault="00CD4D41" w:rsidP="00CD4D41">
      <w:pPr>
        <w:pStyle w:val="BodyText"/>
      </w:pPr>
      <w:r>
        <w:t>W</w:t>
      </w:r>
      <w:r w:rsidRPr="00196434">
        <w:t>hile shippers will only be able to procure standardised products through the exchange and the day-ahead auction, they will be able to</w:t>
      </w:r>
      <w:r>
        <w:t xml:space="preserve"> supplement these services with other ancillary services procured directly from a </w:t>
      </w:r>
      <w:r w:rsidR="006308FB">
        <w:t xml:space="preserve">transportation </w:t>
      </w:r>
      <w:r>
        <w:t xml:space="preserve">service provider or through a trade with another shipper. </w:t>
      </w:r>
      <w:r w:rsidRPr="00196434">
        <w:t xml:space="preserve">A shipper could, for example, negotiate with </w:t>
      </w:r>
      <w:r>
        <w:t xml:space="preserve">the </w:t>
      </w:r>
      <w:r w:rsidR="006308FB">
        <w:t xml:space="preserve">transportation </w:t>
      </w:r>
      <w:r w:rsidRPr="00196434">
        <w:t xml:space="preserve">service provider to </w:t>
      </w:r>
      <w:r>
        <w:t xml:space="preserve">procure </w:t>
      </w:r>
      <w:r w:rsidRPr="00196434">
        <w:t xml:space="preserve">additional hourly </w:t>
      </w:r>
      <w:r>
        <w:t>flexibility</w:t>
      </w:r>
      <w:r w:rsidR="006308FB">
        <w:t>,</w:t>
      </w:r>
      <w:r>
        <w:t xml:space="preserve"> or an enhanced imbalance service. Similarly, a shipper could try and procure additional hourly or imbalance entitlements through a trade with another shipper on the pipeline.</w:t>
      </w:r>
    </w:p>
    <w:p w14:paraId="0C1DB657" w14:textId="6051F2D0" w:rsidR="00AA76FF" w:rsidRDefault="00C74D87" w:rsidP="00AA76FF">
      <w:pPr>
        <w:pStyle w:val="BodyText"/>
      </w:pPr>
      <w:r>
        <w:fldChar w:fldCharType="begin"/>
      </w:r>
      <w:r>
        <w:instrText xml:space="preserve"> REF _Ref491410701 \h </w:instrText>
      </w:r>
      <w:r>
        <w:fldChar w:fldCharType="separate"/>
      </w:r>
      <w:r w:rsidR="0026074F">
        <w:t xml:space="preserve">Figure </w:t>
      </w:r>
      <w:r w:rsidR="0026074F">
        <w:rPr>
          <w:noProof/>
        </w:rPr>
        <w:t>2</w:t>
      </w:r>
      <w:r w:rsidR="0026074F">
        <w:t>.</w:t>
      </w:r>
      <w:r w:rsidR="0026074F">
        <w:rPr>
          <w:noProof/>
        </w:rPr>
        <w:t>3</w:t>
      </w:r>
      <w:r>
        <w:fldChar w:fldCharType="end"/>
      </w:r>
      <w:r>
        <w:t xml:space="preserve"> shows how secondary capacity will be released through these mechanisms</w:t>
      </w:r>
      <w:r w:rsidR="00CD4D41">
        <w:t xml:space="preserve"> and </w:t>
      </w:r>
      <w:r w:rsidR="00AA76FF">
        <w:t xml:space="preserve">the contractual arrangements shippers will need to have in place with: </w:t>
      </w:r>
    </w:p>
    <w:p w14:paraId="6AE8D130" w14:textId="77777777" w:rsidR="00AA76FF" w:rsidRDefault="00AA76FF" w:rsidP="00CD4D41">
      <w:pPr>
        <w:pStyle w:val="ListBullet"/>
        <w:spacing w:before="60" w:after="60"/>
        <w:ind w:left="357" w:hanging="357"/>
      </w:pPr>
      <w:r>
        <w:t>AEMO to trade capacity on the trading platform (</w:t>
      </w:r>
      <w:r w:rsidR="00EA7902">
        <w:rPr>
          <w:b/>
        </w:rPr>
        <w:t>e</w:t>
      </w:r>
      <w:r w:rsidR="005415B7">
        <w:rPr>
          <w:b/>
        </w:rPr>
        <w:t xml:space="preserve">xchange </w:t>
      </w:r>
      <w:r w:rsidR="00EA7902">
        <w:rPr>
          <w:b/>
        </w:rPr>
        <w:t>a</w:t>
      </w:r>
      <w:r w:rsidR="005415B7">
        <w:rPr>
          <w:b/>
        </w:rPr>
        <w:t>greement</w:t>
      </w:r>
      <w:r>
        <w:t>) and to use the day-ahead auction (</w:t>
      </w:r>
      <w:r w:rsidR="005E6B9C">
        <w:rPr>
          <w:b/>
        </w:rPr>
        <w:t>auction agreement</w:t>
      </w:r>
      <w:r>
        <w:t>); and</w:t>
      </w:r>
    </w:p>
    <w:p w14:paraId="00AE1760" w14:textId="62B8EB4C" w:rsidR="00AA76FF" w:rsidRPr="00CD4D41" w:rsidRDefault="00DA16AB" w:rsidP="00CD4D41">
      <w:pPr>
        <w:pStyle w:val="ListBullet"/>
        <w:spacing w:before="60" w:after="60"/>
        <w:ind w:left="357" w:hanging="357"/>
      </w:pPr>
      <w:r>
        <w:t xml:space="preserve">transportation </w:t>
      </w:r>
      <w:r w:rsidR="00AA76FF" w:rsidRPr="00CD4D41">
        <w:t xml:space="preserve">service providers to enable any capacity procured through these mechanisms to be used by way of an operational transfer (see </w:t>
      </w:r>
      <w:r w:rsidR="00AA76FF" w:rsidRPr="00CD4D41">
        <w:fldChar w:fldCharType="begin"/>
      </w:r>
      <w:r w:rsidR="00AA76FF" w:rsidRPr="00CD4D41">
        <w:instrText xml:space="preserve"> REF _Ref489586096 \h  \* MERGEFORMAT </w:instrText>
      </w:r>
      <w:r w:rsidR="00AA76FF" w:rsidRPr="00CD4D41">
        <w:fldChar w:fldCharType="separate"/>
      </w:r>
      <w:r w:rsidR="0026074F" w:rsidRPr="0026074F">
        <w:t xml:space="preserve">Box </w:t>
      </w:r>
      <w:r w:rsidR="0026074F" w:rsidRPr="0026074F">
        <w:rPr>
          <w:noProof/>
        </w:rPr>
        <w:t>2.1</w:t>
      </w:r>
      <w:r w:rsidR="00AA76FF" w:rsidRPr="00CD4D41">
        <w:fldChar w:fldCharType="end"/>
      </w:r>
      <w:r w:rsidR="00AA76FF" w:rsidRPr="00CD4D41">
        <w:t>) (</w:t>
      </w:r>
      <w:r w:rsidR="005A571C" w:rsidRPr="00CD4D41">
        <w:rPr>
          <w:b/>
        </w:rPr>
        <w:t>O</w:t>
      </w:r>
      <w:r w:rsidR="00AA76FF" w:rsidRPr="00CD4D41">
        <w:rPr>
          <w:b/>
        </w:rPr>
        <w:t>TSA</w:t>
      </w:r>
      <w:r w:rsidR="00CD4D41" w:rsidRPr="00CD4D41">
        <w:rPr>
          <w:lang w:eastAsia="fr-CA"/>
        </w:rPr>
        <w:t>)</w:t>
      </w:r>
      <w:r w:rsidR="00AA76FF" w:rsidRPr="00CD4D41">
        <w:t>.</w:t>
      </w:r>
    </w:p>
    <w:p w14:paraId="31C377F2" w14:textId="77777777" w:rsidR="00AA76FF" w:rsidRDefault="00AA76FF" w:rsidP="00C74D87">
      <w:pPr>
        <w:pStyle w:val="BodyText"/>
        <w:spacing w:before="120"/>
        <w:sectPr w:rsidR="00AA76FF" w:rsidSect="005E2A3E">
          <w:headerReference w:type="default" r:id="rId41"/>
          <w:footerReference w:type="default" r:id="rId42"/>
          <w:pgSz w:w="11907" w:h="16840" w:code="9"/>
          <w:pgMar w:top="714" w:right="1418" w:bottom="992" w:left="1701" w:header="425" w:footer="397" w:gutter="0"/>
          <w:cols w:space="708"/>
          <w:docGrid w:linePitch="360"/>
        </w:sectPr>
      </w:pPr>
    </w:p>
    <w:p w14:paraId="32DD4FFD" w14:textId="1F33CC9F" w:rsidR="00C74D87" w:rsidRDefault="00C74D87" w:rsidP="00C74D87">
      <w:pPr>
        <w:pStyle w:val="Caption"/>
        <w:spacing w:before="0" w:after="0"/>
        <w:ind w:left="142"/>
        <w:rPr>
          <w:noProof/>
        </w:rPr>
      </w:pPr>
      <w:bookmarkStart w:id="40" w:name="_Ref491410701"/>
      <w:r>
        <w:lastRenderedPageBreak/>
        <w:t xml:space="preserve">Figure </w:t>
      </w:r>
      <w:r w:rsidR="002633F5">
        <w:rPr>
          <w:noProof/>
        </w:rPr>
        <w:fldChar w:fldCharType="begin"/>
      </w:r>
      <w:r w:rsidR="002633F5">
        <w:rPr>
          <w:noProof/>
        </w:rPr>
        <w:instrText xml:space="preserve"> STYLEREF 1 \s </w:instrText>
      </w:r>
      <w:r w:rsidR="002633F5">
        <w:rPr>
          <w:noProof/>
        </w:rPr>
        <w:fldChar w:fldCharType="separate"/>
      </w:r>
      <w:r w:rsidR="0026074F">
        <w:rPr>
          <w:noProof/>
        </w:rPr>
        <w:t>2</w:t>
      </w:r>
      <w:r w:rsidR="002633F5">
        <w:rPr>
          <w:noProof/>
        </w:rPr>
        <w:fldChar w:fldCharType="end"/>
      </w:r>
      <w:r w:rsidR="00EA7902">
        <w:t>.</w:t>
      </w:r>
      <w:r w:rsidR="002633F5">
        <w:rPr>
          <w:noProof/>
        </w:rPr>
        <w:fldChar w:fldCharType="begin"/>
      </w:r>
      <w:r w:rsidR="002633F5">
        <w:rPr>
          <w:noProof/>
        </w:rPr>
        <w:instrText xml:space="preserve"> SEQ Figure \* ARABIC \s 1 </w:instrText>
      </w:r>
      <w:r w:rsidR="002633F5">
        <w:rPr>
          <w:noProof/>
        </w:rPr>
        <w:fldChar w:fldCharType="separate"/>
      </w:r>
      <w:r w:rsidR="0026074F">
        <w:rPr>
          <w:noProof/>
        </w:rPr>
        <w:t>3</w:t>
      </w:r>
      <w:r w:rsidR="002633F5">
        <w:rPr>
          <w:noProof/>
        </w:rPr>
        <w:fldChar w:fldCharType="end"/>
      </w:r>
      <w:bookmarkEnd w:id="40"/>
      <w:r>
        <w:t>: How capacity will be released through the capacity trading platform and auction and contractual arrangements</w:t>
      </w:r>
    </w:p>
    <w:p w14:paraId="6F52706A" w14:textId="77777777" w:rsidR="00565402" w:rsidRDefault="00565402" w:rsidP="00C74D87">
      <w:pPr>
        <w:pStyle w:val="BodyText"/>
        <w:spacing w:before="0" w:after="0"/>
      </w:pPr>
      <w:r>
        <w:rPr>
          <w:noProof/>
        </w:rPr>
        <w:drawing>
          <wp:inline distT="0" distB="0" distL="0" distR="0" wp14:anchorId="4BC4E098" wp14:editId="5AE8F90A">
            <wp:extent cx="8280000" cy="536760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280000" cy="5367600"/>
                    </a:xfrm>
                    <a:prstGeom prst="rect">
                      <a:avLst/>
                    </a:prstGeom>
                    <a:noFill/>
                  </pic:spPr>
                </pic:pic>
              </a:graphicData>
            </a:graphic>
          </wp:inline>
        </w:drawing>
      </w:r>
    </w:p>
    <w:p w14:paraId="48AF905A" w14:textId="77777777" w:rsidR="00565402" w:rsidRDefault="00565402" w:rsidP="00C74D87">
      <w:pPr>
        <w:pStyle w:val="BodyText"/>
        <w:spacing w:before="0" w:after="0"/>
        <w:sectPr w:rsidR="00565402" w:rsidSect="005E2A3E">
          <w:pgSz w:w="16839" w:h="11907" w:orient="landscape" w:code="9"/>
          <w:pgMar w:top="1361" w:right="1417" w:bottom="992" w:left="2268" w:header="567" w:footer="397" w:gutter="0"/>
          <w:cols w:space="708"/>
          <w:docGrid w:linePitch="360"/>
        </w:sectPr>
      </w:pPr>
    </w:p>
    <w:p w14:paraId="124195E7" w14:textId="756FA69B" w:rsidR="006308FB" w:rsidRDefault="006308FB" w:rsidP="006308FB">
      <w:pPr>
        <w:pStyle w:val="ListBullet"/>
        <w:numPr>
          <w:ilvl w:val="0"/>
          <w:numId w:val="0"/>
        </w:numPr>
        <w:spacing w:after="0"/>
        <w:ind w:left="357" w:hanging="357"/>
      </w:pPr>
      <w:bookmarkStart w:id="41" w:name="_Ref489586096"/>
      <w:r w:rsidRPr="00EA690D">
        <w:rPr>
          <w:b/>
        </w:rPr>
        <w:lastRenderedPageBreak/>
        <w:t xml:space="preserve">Box </w:t>
      </w:r>
      <w:r>
        <w:rPr>
          <w:b/>
        </w:rPr>
        <w:fldChar w:fldCharType="begin"/>
      </w:r>
      <w:r>
        <w:rPr>
          <w:b/>
        </w:rPr>
        <w:instrText xml:space="preserve"> STYLEREF 1 \s </w:instrText>
      </w:r>
      <w:r>
        <w:rPr>
          <w:b/>
        </w:rPr>
        <w:fldChar w:fldCharType="separate"/>
      </w:r>
      <w:r w:rsidR="0026074F">
        <w:rPr>
          <w:b/>
          <w:noProof/>
        </w:rPr>
        <w:t>2</w:t>
      </w:r>
      <w:r>
        <w:rPr>
          <w:b/>
        </w:rPr>
        <w:fldChar w:fldCharType="end"/>
      </w:r>
      <w:r>
        <w:rPr>
          <w:b/>
        </w:rPr>
        <w:t>.</w:t>
      </w:r>
      <w:r>
        <w:rPr>
          <w:b/>
        </w:rPr>
        <w:fldChar w:fldCharType="begin"/>
      </w:r>
      <w:r>
        <w:rPr>
          <w:b/>
        </w:rPr>
        <w:instrText xml:space="preserve"> SEQ Box \* ARABIC \s 1 </w:instrText>
      </w:r>
      <w:r>
        <w:rPr>
          <w:b/>
        </w:rPr>
        <w:fldChar w:fldCharType="separate"/>
      </w:r>
      <w:r w:rsidR="0026074F">
        <w:rPr>
          <w:b/>
          <w:noProof/>
        </w:rPr>
        <w:t>1</w:t>
      </w:r>
      <w:r>
        <w:rPr>
          <w:b/>
        </w:rPr>
        <w:fldChar w:fldCharType="end"/>
      </w:r>
      <w:bookmarkEnd w:id="41"/>
      <w:r w:rsidRPr="00EA690D">
        <w:rPr>
          <w:b/>
        </w:rPr>
        <w:t>: Operational transfers</w:t>
      </w:r>
    </w:p>
    <w:tbl>
      <w:tblPr>
        <w:tblStyle w:val="PullOutBoxTable"/>
        <w:tblW w:w="5343" w:type="pct"/>
        <w:tblInd w:w="-142" w:type="dxa"/>
        <w:shd w:val="clear" w:color="auto" w:fill="D9D9D9" w:themeFill="background1" w:themeFillShade="D9"/>
        <w:tblCellMar>
          <w:top w:w="85" w:type="dxa"/>
          <w:bottom w:w="85" w:type="dxa"/>
        </w:tblCellMar>
        <w:tblLook w:val="0600" w:firstRow="0" w:lastRow="0" w:firstColumn="0" w:lastColumn="0" w:noHBand="1" w:noVBand="1"/>
        <w:tblCaption w:val="Box 2.1"/>
        <w:tblDescription w:val="Capacity transfer mechanisms"/>
      </w:tblPr>
      <w:tblGrid>
        <w:gridCol w:w="9391"/>
      </w:tblGrid>
      <w:tr w:rsidR="006308FB" w:rsidRPr="00AE6D62" w14:paraId="4E4DF756" w14:textId="77777777" w:rsidTr="006B34E4">
        <w:tc>
          <w:tcPr>
            <w:tcW w:w="5000" w:type="pct"/>
            <w:shd w:val="clear" w:color="auto" w:fill="D9D9D9" w:themeFill="background1" w:themeFillShade="D9"/>
          </w:tcPr>
          <w:p w14:paraId="79208426" w14:textId="77777777" w:rsidR="006308FB" w:rsidRPr="00530872" w:rsidRDefault="006308FB" w:rsidP="006B34E4">
            <w:pPr>
              <w:pStyle w:val="TableBodyText"/>
              <w:spacing w:after="0"/>
              <w:rPr>
                <w:sz w:val="20"/>
                <w:szCs w:val="20"/>
              </w:rPr>
            </w:pPr>
            <w:r w:rsidRPr="00530872">
              <w:rPr>
                <w:sz w:val="20"/>
                <w:szCs w:val="20"/>
              </w:rPr>
              <w:t xml:space="preserve">Under an operational transfer, the </w:t>
            </w:r>
            <w:r w:rsidR="00DE5953">
              <w:rPr>
                <w:sz w:val="20"/>
                <w:szCs w:val="20"/>
              </w:rPr>
              <w:t>terms applicable to the</w:t>
            </w:r>
            <w:r w:rsidRPr="00530872">
              <w:rPr>
                <w:sz w:val="20"/>
                <w:szCs w:val="20"/>
              </w:rPr>
              <w:t xml:space="preserve"> sale of capacity </w:t>
            </w:r>
            <w:r w:rsidR="00DE5953">
              <w:rPr>
                <w:sz w:val="20"/>
                <w:szCs w:val="20"/>
              </w:rPr>
              <w:t xml:space="preserve">between shippers </w:t>
            </w:r>
            <w:r w:rsidRPr="00530872">
              <w:rPr>
                <w:sz w:val="20"/>
                <w:szCs w:val="20"/>
              </w:rPr>
              <w:t xml:space="preserve">are set out in the secondary </w:t>
            </w:r>
            <w:r w:rsidR="000E0023">
              <w:rPr>
                <w:sz w:val="20"/>
                <w:szCs w:val="20"/>
              </w:rPr>
              <w:t>c</w:t>
            </w:r>
            <w:r>
              <w:rPr>
                <w:sz w:val="20"/>
                <w:szCs w:val="20"/>
              </w:rPr>
              <w:t xml:space="preserve">apacity </w:t>
            </w:r>
            <w:r w:rsidR="000E0023">
              <w:rPr>
                <w:sz w:val="20"/>
                <w:szCs w:val="20"/>
              </w:rPr>
              <w:t>t</w:t>
            </w:r>
            <w:r>
              <w:rPr>
                <w:sz w:val="20"/>
                <w:szCs w:val="20"/>
              </w:rPr>
              <w:t xml:space="preserve">rading </w:t>
            </w:r>
            <w:r w:rsidR="000E0023">
              <w:rPr>
                <w:sz w:val="20"/>
                <w:szCs w:val="20"/>
              </w:rPr>
              <w:t>a</w:t>
            </w:r>
            <w:r>
              <w:rPr>
                <w:sz w:val="20"/>
                <w:szCs w:val="20"/>
              </w:rPr>
              <w:t>greement</w:t>
            </w:r>
            <w:r w:rsidR="00DE5953">
              <w:rPr>
                <w:sz w:val="20"/>
                <w:szCs w:val="20"/>
              </w:rPr>
              <w:t xml:space="preserve"> or</w:t>
            </w:r>
            <w:r w:rsidRPr="00530872">
              <w:rPr>
                <w:sz w:val="20"/>
                <w:szCs w:val="20"/>
              </w:rPr>
              <w:t xml:space="preserve"> </w:t>
            </w:r>
            <w:r w:rsidR="00B4479F">
              <w:rPr>
                <w:sz w:val="20"/>
                <w:szCs w:val="20"/>
              </w:rPr>
              <w:t>E</w:t>
            </w:r>
            <w:r>
              <w:rPr>
                <w:sz w:val="20"/>
                <w:szCs w:val="20"/>
              </w:rPr>
              <w:t xml:space="preserve">xchange </w:t>
            </w:r>
            <w:r w:rsidR="00B4479F">
              <w:rPr>
                <w:sz w:val="20"/>
                <w:szCs w:val="20"/>
              </w:rPr>
              <w:t>A</w:t>
            </w:r>
            <w:r>
              <w:rPr>
                <w:sz w:val="20"/>
                <w:szCs w:val="20"/>
              </w:rPr>
              <w:t>greement</w:t>
            </w:r>
            <w:r w:rsidRPr="00530872">
              <w:rPr>
                <w:sz w:val="20"/>
                <w:szCs w:val="20"/>
              </w:rPr>
              <w:t xml:space="preserve"> </w:t>
            </w:r>
            <w:r w:rsidR="00DE5953" w:rsidRPr="00530872">
              <w:rPr>
                <w:sz w:val="20"/>
                <w:szCs w:val="20"/>
              </w:rPr>
              <w:t>entered into by the shippers</w:t>
            </w:r>
            <w:r w:rsidR="00DE5953">
              <w:rPr>
                <w:sz w:val="20"/>
                <w:szCs w:val="20"/>
              </w:rPr>
              <w:t xml:space="preserve"> and for purchases through the auction, in the</w:t>
            </w:r>
            <w:r w:rsidRPr="00530872">
              <w:rPr>
                <w:sz w:val="20"/>
                <w:szCs w:val="20"/>
              </w:rPr>
              <w:t xml:space="preserve"> </w:t>
            </w:r>
            <w:r>
              <w:rPr>
                <w:sz w:val="20"/>
                <w:szCs w:val="20"/>
              </w:rPr>
              <w:t>auction agreement</w:t>
            </w:r>
            <w:r w:rsidR="00DE5953">
              <w:rPr>
                <w:sz w:val="20"/>
                <w:szCs w:val="20"/>
              </w:rPr>
              <w:t xml:space="preserve"> and CT&amp;A Procedures.</w:t>
            </w:r>
            <w:r w:rsidRPr="00530872">
              <w:rPr>
                <w:sz w:val="20"/>
                <w:szCs w:val="20"/>
              </w:rPr>
              <w:t xml:space="preserve"> </w:t>
            </w:r>
            <w:r w:rsidR="00DE5953">
              <w:rPr>
                <w:sz w:val="20"/>
                <w:szCs w:val="20"/>
              </w:rPr>
              <w:t>T</w:t>
            </w:r>
            <w:r w:rsidRPr="00530872">
              <w:rPr>
                <w:sz w:val="20"/>
                <w:szCs w:val="20"/>
              </w:rPr>
              <w:t xml:space="preserve">he terms </w:t>
            </w:r>
            <w:r w:rsidR="00DE5953">
              <w:rPr>
                <w:sz w:val="20"/>
                <w:szCs w:val="20"/>
              </w:rPr>
              <w:t xml:space="preserve">governing user of the capacity </w:t>
            </w:r>
            <w:r w:rsidRPr="00530872">
              <w:rPr>
                <w:sz w:val="20"/>
                <w:szCs w:val="20"/>
              </w:rPr>
              <w:t xml:space="preserve">are set out in the </w:t>
            </w:r>
            <w:r>
              <w:rPr>
                <w:sz w:val="20"/>
                <w:szCs w:val="20"/>
              </w:rPr>
              <w:t>OTSA</w:t>
            </w:r>
            <w:r w:rsidRPr="00530872">
              <w:rPr>
                <w:sz w:val="20"/>
                <w:szCs w:val="20"/>
              </w:rPr>
              <w:t xml:space="preserve"> entered into between the </w:t>
            </w:r>
            <w:r w:rsidR="00DA16AB">
              <w:rPr>
                <w:sz w:val="20"/>
                <w:szCs w:val="20"/>
              </w:rPr>
              <w:t xml:space="preserve">transportation </w:t>
            </w:r>
            <w:r w:rsidRPr="00530872">
              <w:rPr>
                <w:sz w:val="20"/>
                <w:szCs w:val="20"/>
              </w:rPr>
              <w:t xml:space="preserve">service provider and secondary shipper.  The key difference between </w:t>
            </w:r>
            <w:r w:rsidR="00DE5953">
              <w:rPr>
                <w:sz w:val="20"/>
                <w:szCs w:val="20"/>
              </w:rPr>
              <w:t>an operational</w:t>
            </w:r>
            <w:r w:rsidR="00DE5953" w:rsidRPr="00530872">
              <w:rPr>
                <w:sz w:val="20"/>
                <w:szCs w:val="20"/>
              </w:rPr>
              <w:t xml:space="preserve"> </w:t>
            </w:r>
            <w:r w:rsidRPr="00530872">
              <w:rPr>
                <w:sz w:val="20"/>
                <w:szCs w:val="20"/>
              </w:rPr>
              <w:t xml:space="preserve">transfer and a bare transfer is that the </w:t>
            </w:r>
            <w:r w:rsidRPr="00530872">
              <w:rPr>
                <w:rFonts w:eastAsia="Calibri"/>
                <w:sz w:val="20"/>
                <w:szCs w:val="20"/>
              </w:rPr>
              <w:t xml:space="preserve">secondary shipper is responsible for making nominations directly to the </w:t>
            </w:r>
            <w:r w:rsidR="00DA16AB">
              <w:rPr>
                <w:sz w:val="20"/>
                <w:szCs w:val="20"/>
              </w:rPr>
              <w:t xml:space="preserve">transportation </w:t>
            </w:r>
            <w:r w:rsidRPr="00530872">
              <w:rPr>
                <w:rFonts w:eastAsia="Calibri"/>
                <w:sz w:val="20"/>
                <w:szCs w:val="20"/>
              </w:rPr>
              <w:t xml:space="preserve">service provider and complying with the operational and legal obligations in the </w:t>
            </w:r>
            <w:r>
              <w:rPr>
                <w:rFonts w:eastAsia="Calibri"/>
                <w:sz w:val="20"/>
                <w:szCs w:val="20"/>
              </w:rPr>
              <w:t>O</w:t>
            </w:r>
            <w:r w:rsidRPr="00530872">
              <w:rPr>
                <w:sz w:val="20"/>
                <w:szCs w:val="20"/>
              </w:rPr>
              <w:t>TSA</w:t>
            </w:r>
            <w:r w:rsidRPr="00530872">
              <w:rPr>
                <w:rFonts w:eastAsia="Calibri"/>
                <w:sz w:val="20"/>
                <w:szCs w:val="20"/>
              </w:rPr>
              <w:t xml:space="preserve">. The diagram below </w:t>
            </w:r>
            <w:r>
              <w:rPr>
                <w:rFonts w:eastAsia="Calibri"/>
                <w:sz w:val="20"/>
                <w:szCs w:val="20"/>
              </w:rPr>
              <w:t xml:space="preserve">sets out </w:t>
            </w:r>
            <w:r w:rsidRPr="00530872">
              <w:rPr>
                <w:rFonts w:eastAsia="Calibri"/>
                <w:sz w:val="20"/>
                <w:szCs w:val="20"/>
              </w:rPr>
              <w:t xml:space="preserve">how </w:t>
            </w:r>
            <w:r>
              <w:rPr>
                <w:rFonts w:eastAsia="Calibri"/>
                <w:sz w:val="20"/>
                <w:szCs w:val="20"/>
              </w:rPr>
              <w:t>an</w:t>
            </w:r>
            <w:r w:rsidRPr="00530872">
              <w:rPr>
                <w:rFonts w:eastAsia="Calibri"/>
                <w:sz w:val="20"/>
                <w:szCs w:val="20"/>
              </w:rPr>
              <w:t xml:space="preserve"> operational transfer works. Note that in </w:t>
            </w:r>
            <w:r>
              <w:rPr>
                <w:rFonts w:eastAsia="Calibri"/>
                <w:sz w:val="20"/>
                <w:szCs w:val="20"/>
              </w:rPr>
              <w:t xml:space="preserve">this </w:t>
            </w:r>
            <w:r w:rsidRPr="00530872">
              <w:rPr>
                <w:rFonts w:eastAsia="Calibri"/>
                <w:sz w:val="20"/>
                <w:szCs w:val="20"/>
              </w:rPr>
              <w:t xml:space="preserve">diagram, the term operational GTA is used rather than </w:t>
            </w:r>
            <w:r>
              <w:rPr>
                <w:rFonts w:eastAsia="Calibri"/>
                <w:sz w:val="20"/>
                <w:szCs w:val="20"/>
              </w:rPr>
              <w:t>OTSA</w:t>
            </w:r>
            <w:r w:rsidRPr="00530872">
              <w:rPr>
                <w:rFonts w:eastAsia="Calibri"/>
                <w:sz w:val="20"/>
                <w:szCs w:val="20"/>
              </w:rPr>
              <w:t>.</w:t>
            </w:r>
          </w:p>
          <w:p w14:paraId="6F7A9FB6" w14:textId="77777777" w:rsidR="006308FB" w:rsidRPr="00EA690D" w:rsidRDefault="006308FB" w:rsidP="006B34E4">
            <w:pPr>
              <w:pStyle w:val="TableBodyText"/>
              <w:spacing w:after="0"/>
              <w:rPr>
                <w:b/>
                <w:sz w:val="22"/>
              </w:rPr>
            </w:pPr>
            <w:r>
              <w:rPr>
                <w:rFonts w:eastAsiaTheme="majorEastAsia"/>
                <w:b/>
                <w:noProof/>
                <w:sz w:val="20"/>
                <w:szCs w:val="20"/>
              </w:rPr>
              <w:drawing>
                <wp:inline distT="0" distB="0" distL="0" distR="0" wp14:anchorId="36A6DBF6" wp14:editId="3A51325A">
                  <wp:extent cx="5638085" cy="2638425"/>
                  <wp:effectExtent l="0" t="0" r="1270" b="0"/>
                  <wp:docPr id="15" name="Picture 15" title="Capacity transfer mechanism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44">
                            <a:extLst>
                              <a:ext uri="{28A0092B-C50C-407E-A947-70E740481C1C}">
                                <a14:useLocalDpi xmlns:a14="http://schemas.microsoft.com/office/drawing/2010/main" val="0"/>
                              </a:ext>
                            </a:extLst>
                          </a:blip>
                          <a:stretch>
                            <a:fillRect/>
                          </a:stretch>
                        </pic:blipFill>
                        <pic:spPr>
                          <a:xfrm>
                            <a:off x="0" y="0"/>
                            <a:ext cx="5644543" cy="2641447"/>
                          </a:xfrm>
                          <a:prstGeom prst="rect">
                            <a:avLst/>
                          </a:prstGeom>
                        </pic:spPr>
                      </pic:pic>
                    </a:graphicData>
                  </a:graphic>
                </wp:inline>
              </w:drawing>
            </w:r>
          </w:p>
        </w:tc>
      </w:tr>
    </w:tbl>
    <w:p w14:paraId="20167F94" w14:textId="77777777" w:rsidR="006308FB" w:rsidRPr="00AA76FF" w:rsidRDefault="006308FB" w:rsidP="006308FB">
      <w:pPr>
        <w:pStyle w:val="BodyText"/>
        <w:spacing w:before="0" w:after="0" w:line="240" w:lineRule="auto"/>
        <w:rPr>
          <w:sz w:val="16"/>
          <w:szCs w:val="16"/>
        </w:rPr>
      </w:pPr>
      <w:r w:rsidRPr="00AA76FF">
        <w:rPr>
          <w:sz w:val="16"/>
          <w:szCs w:val="16"/>
        </w:rPr>
        <w:t xml:space="preserve">Source: AEMC, Stage 2 Final Report: </w:t>
      </w:r>
      <w:r w:rsidRPr="00AA76FF">
        <w:rPr>
          <w:i/>
          <w:sz w:val="16"/>
          <w:szCs w:val="16"/>
        </w:rPr>
        <w:t>East Coast Review</w:t>
      </w:r>
      <w:r w:rsidRPr="00AA76FF">
        <w:rPr>
          <w:sz w:val="16"/>
          <w:szCs w:val="16"/>
        </w:rPr>
        <w:t>, 23 May 2016, pp. 99-100 and Pipeline Access Discussion Paper, 3 March 2016, pp. 18-19.</w:t>
      </w:r>
    </w:p>
    <w:p w14:paraId="1A29025F" w14:textId="746871BB" w:rsidR="00C74D87" w:rsidRDefault="006308FB" w:rsidP="00C74D87">
      <w:pPr>
        <w:pStyle w:val="BodyText"/>
        <w:spacing w:after="240"/>
        <w:rPr>
          <w:rFonts w:asciiTheme="majorHAnsi" w:hAnsiTheme="majorHAnsi" w:cstheme="majorHAnsi"/>
        </w:rPr>
      </w:pPr>
      <w:r>
        <w:fldChar w:fldCharType="begin"/>
      </w:r>
      <w:r>
        <w:instrText xml:space="preserve"> REF _Ref526827996 \h </w:instrText>
      </w:r>
      <w:r>
        <w:fldChar w:fldCharType="separate"/>
      </w:r>
      <w:r w:rsidR="0026074F">
        <w:t xml:space="preserve">Table </w:t>
      </w:r>
      <w:r w:rsidR="0026074F">
        <w:rPr>
          <w:noProof/>
        </w:rPr>
        <w:t>2</w:t>
      </w:r>
      <w:r w:rsidR="0026074F">
        <w:t>.</w:t>
      </w:r>
      <w:r w:rsidR="0026074F">
        <w:rPr>
          <w:noProof/>
        </w:rPr>
        <w:t>1</w:t>
      </w:r>
      <w:r>
        <w:fldChar w:fldCharType="end"/>
      </w:r>
      <w:r>
        <w:t xml:space="preserve"> provides a summary of the </w:t>
      </w:r>
      <w:r w:rsidR="00C74D87" w:rsidRPr="00D5454D">
        <w:t xml:space="preserve">contractual arrangements </w:t>
      </w:r>
      <w:r>
        <w:t xml:space="preserve">that </w:t>
      </w:r>
      <w:r w:rsidR="00C74D87" w:rsidRPr="00D5454D">
        <w:t xml:space="preserve">shippers will need to have in place to use the day-ahead auction </w:t>
      </w:r>
      <w:r w:rsidR="00B21782">
        <w:t>or</w:t>
      </w:r>
      <w:r w:rsidR="00B21782" w:rsidRPr="00D5454D">
        <w:t xml:space="preserve"> </w:t>
      </w:r>
      <w:r w:rsidR="00C74D87" w:rsidRPr="00D5454D">
        <w:t>capacity trading platform</w:t>
      </w:r>
      <w:r>
        <w:t>. Further detail on these arrangements</w:t>
      </w:r>
      <w:r w:rsidR="00EA7902">
        <w:t xml:space="preserve"> is provided in </w:t>
      </w:r>
      <w:r w:rsidR="00EA7902">
        <w:fldChar w:fldCharType="begin"/>
      </w:r>
      <w:r w:rsidR="00EA7902">
        <w:instrText xml:space="preserve"> REF _Ref512354808 \h </w:instrText>
      </w:r>
      <w:r w:rsidR="00EA7902">
        <w:fldChar w:fldCharType="separate"/>
      </w:r>
      <w:r w:rsidR="0026074F">
        <w:t xml:space="preserve">Table </w:t>
      </w:r>
      <w:r w:rsidR="0026074F">
        <w:rPr>
          <w:noProof/>
        </w:rPr>
        <w:t>2</w:t>
      </w:r>
      <w:r w:rsidR="0026074F">
        <w:t>.</w:t>
      </w:r>
      <w:r w:rsidR="0026074F">
        <w:rPr>
          <w:noProof/>
        </w:rPr>
        <w:t>2</w:t>
      </w:r>
      <w:r w:rsidR="00EA7902">
        <w:fldChar w:fldCharType="end"/>
      </w:r>
      <w:r w:rsidR="00C74D87" w:rsidRPr="00D5454D">
        <w:t xml:space="preserve">. </w:t>
      </w:r>
    </w:p>
    <w:p w14:paraId="324CB36E" w14:textId="4EAB224A" w:rsidR="00EA7902" w:rsidRDefault="006308FB" w:rsidP="00EA7902">
      <w:pPr>
        <w:pStyle w:val="Caption"/>
        <w:spacing w:after="0"/>
      </w:pPr>
      <w:bookmarkStart w:id="42" w:name="_Ref526827996"/>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2</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bookmarkEnd w:id="42"/>
      <w:r>
        <w:t>:</w:t>
      </w:r>
      <w:r w:rsidR="00EA7902">
        <w:t xml:space="preserve"> Summary of contractual a</w:t>
      </w:r>
      <w:r w:rsidR="00EA7902" w:rsidRPr="00AB5ABC">
        <w:t xml:space="preserve">rrangements shippers </w:t>
      </w:r>
      <w:r w:rsidR="00EA7902">
        <w:t xml:space="preserve">will need to enter into </w:t>
      </w:r>
    </w:p>
    <w:tbl>
      <w:tblPr>
        <w:tblW w:w="5162"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3676"/>
        <w:gridCol w:w="2511"/>
        <w:gridCol w:w="2865"/>
      </w:tblGrid>
      <w:tr w:rsidR="00EA7902" w:rsidRPr="00EA7902" w14:paraId="4299E1E4" w14:textId="77777777" w:rsidTr="00EA7902">
        <w:trPr>
          <w:trHeight w:val="455"/>
        </w:trPr>
        <w:tc>
          <w:tcPr>
            <w:tcW w:w="3676" w:type="dxa"/>
            <w:shd w:val="clear" w:color="auto" w:fill="0099CC"/>
            <w:tcMar>
              <w:top w:w="72" w:type="dxa"/>
              <w:left w:w="144" w:type="dxa"/>
              <w:bottom w:w="72" w:type="dxa"/>
              <w:right w:w="144" w:type="dxa"/>
            </w:tcMar>
            <w:hideMark/>
          </w:tcPr>
          <w:p w14:paraId="438C5049" w14:textId="77777777" w:rsidR="00EA7902" w:rsidRPr="00EA7902" w:rsidRDefault="00EA7902" w:rsidP="00EA7902">
            <w:pPr>
              <w:pStyle w:val="BodyText"/>
              <w:spacing w:before="40" w:after="40"/>
              <w:rPr>
                <w:rFonts w:asciiTheme="majorHAnsi" w:hAnsiTheme="majorHAnsi" w:cstheme="majorHAnsi"/>
                <w:color w:val="FFFFFF" w:themeColor="background1"/>
                <w:sz w:val="20"/>
                <w:szCs w:val="20"/>
              </w:rPr>
            </w:pPr>
            <w:r w:rsidRPr="00EA7902">
              <w:rPr>
                <w:rFonts w:asciiTheme="majorHAnsi" w:hAnsiTheme="majorHAnsi" w:cstheme="majorHAnsi"/>
                <w:b/>
                <w:bCs/>
                <w:color w:val="FFFFFF" w:themeColor="background1"/>
                <w:sz w:val="20"/>
                <w:szCs w:val="20"/>
              </w:rPr>
              <w:t xml:space="preserve">Counterparties </w:t>
            </w:r>
          </w:p>
        </w:tc>
        <w:tc>
          <w:tcPr>
            <w:tcW w:w="2511" w:type="dxa"/>
            <w:shd w:val="clear" w:color="auto" w:fill="0099CC"/>
            <w:tcMar>
              <w:top w:w="72" w:type="dxa"/>
              <w:left w:w="144" w:type="dxa"/>
              <w:bottom w:w="72" w:type="dxa"/>
              <w:right w:w="144" w:type="dxa"/>
            </w:tcMar>
            <w:hideMark/>
          </w:tcPr>
          <w:p w14:paraId="78F0EBBD" w14:textId="77777777" w:rsidR="00EA7902" w:rsidRPr="00EA7902" w:rsidRDefault="00EA7902" w:rsidP="00EA7902">
            <w:pPr>
              <w:pStyle w:val="BodyText"/>
              <w:spacing w:before="40" w:after="40"/>
              <w:jc w:val="center"/>
              <w:rPr>
                <w:rFonts w:asciiTheme="majorHAnsi" w:hAnsiTheme="majorHAnsi" w:cstheme="majorHAnsi"/>
                <w:color w:val="FFFFFF" w:themeColor="background1"/>
                <w:sz w:val="20"/>
                <w:szCs w:val="20"/>
              </w:rPr>
            </w:pPr>
            <w:r w:rsidRPr="00EA7902">
              <w:rPr>
                <w:rFonts w:asciiTheme="majorHAnsi" w:hAnsiTheme="majorHAnsi" w:cstheme="majorHAnsi"/>
                <w:b/>
                <w:bCs/>
                <w:color w:val="FFFFFF" w:themeColor="background1"/>
                <w:sz w:val="20"/>
                <w:szCs w:val="20"/>
              </w:rPr>
              <w:t>Capacity Trading Platform</w:t>
            </w:r>
          </w:p>
        </w:tc>
        <w:tc>
          <w:tcPr>
            <w:tcW w:w="2865" w:type="dxa"/>
            <w:shd w:val="clear" w:color="auto" w:fill="0099CC"/>
            <w:tcMar>
              <w:top w:w="72" w:type="dxa"/>
              <w:left w:w="144" w:type="dxa"/>
              <w:bottom w:w="72" w:type="dxa"/>
              <w:right w:w="144" w:type="dxa"/>
            </w:tcMar>
            <w:hideMark/>
          </w:tcPr>
          <w:p w14:paraId="4D90AF17" w14:textId="77777777" w:rsidR="00EA7902" w:rsidRPr="00EA7902" w:rsidRDefault="00EA7902" w:rsidP="00EA7902">
            <w:pPr>
              <w:pStyle w:val="BodyText"/>
              <w:spacing w:before="40" w:after="40"/>
              <w:jc w:val="center"/>
              <w:rPr>
                <w:rFonts w:asciiTheme="majorHAnsi" w:hAnsiTheme="majorHAnsi" w:cstheme="majorHAnsi"/>
                <w:color w:val="FFFFFF" w:themeColor="background1"/>
                <w:sz w:val="20"/>
                <w:szCs w:val="20"/>
              </w:rPr>
            </w:pPr>
            <w:r w:rsidRPr="00EA7902">
              <w:rPr>
                <w:rFonts w:asciiTheme="majorHAnsi" w:hAnsiTheme="majorHAnsi" w:cstheme="majorHAnsi"/>
                <w:b/>
                <w:bCs/>
                <w:color w:val="FFFFFF" w:themeColor="background1"/>
                <w:sz w:val="20"/>
                <w:szCs w:val="20"/>
              </w:rPr>
              <w:t>Day-Ahead Auction</w:t>
            </w:r>
          </w:p>
        </w:tc>
      </w:tr>
      <w:tr w:rsidR="00EA7902" w:rsidRPr="00EA7902" w14:paraId="069EEDCE" w14:textId="77777777" w:rsidTr="00EA7902">
        <w:trPr>
          <w:trHeight w:val="584"/>
        </w:trPr>
        <w:tc>
          <w:tcPr>
            <w:tcW w:w="3676" w:type="dxa"/>
            <w:shd w:val="clear" w:color="auto" w:fill="auto"/>
            <w:tcMar>
              <w:top w:w="72" w:type="dxa"/>
              <w:left w:w="144" w:type="dxa"/>
              <w:bottom w:w="72" w:type="dxa"/>
              <w:right w:w="144" w:type="dxa"/>
            </w:tcMar>
            <w:hideMark/>
          </w:tcPr>
          <w:p w14:paraId="247BCE2F" w14:textId="77777777" w:rsidR="00EA7902" w:rsidRPr="00EA7902" w:rsidRDefault="00EA7902" w:rsidP="00EA7902">
            <w:pPr>
              <w:pStyle w:val="BodyText"/>
              <w:spacing w:before="40" w:after="40"/>
              <w:rPr>
                <w:rFonts w:asciiTheme="majorHAnsi" w:hAnsiTheme="majorHAnsi" w:cstheme="majorHAnsi"/>
                <w:sz w:val="20"/>
                <w:szCs w:val="20"/>
              </w:rPr>
            </w:pPr>
            <w:r w:rsidRPr="00EA7902">
              <w:rPr>
                <w:rFonts w:asciiTheme="majorHAnsi" w:hAnsiTheme="majorHAnsi" w:cstheme="majorHAnsi"/>
                <w:sz w:val="20"/>
                <w:szCs w:val="20"/>
              </w:rPr>
              <w:t>AEMO</w:t>
            </w:r>
          </w:p>
        </w:tc>
        <w:tc>
          <w:tcPr>
            <w:tcW w:w="2511" w:type="dxa"/>
            <w:shd w:val="clear" w:color="auto" w:fill="auto"/>
            <w:tcMar>
              <w:top w:w="72" w:type="dxa"/>
              <w:left w:w="144" w:type="dxa"/>
              <w:bottom w:w="72" w:type="dxa"/>
              <w:right w:w="144" w:type="dxa"/>
            </w:tcMar>
            <w:hideMark/>
          </w:tcPr>
          <w:p w14:paraId="3CA19932" w14:textId="77777777" w:rsidR="00EA7902" w:rsidRPr="00EA7902" w:rsidRDefault="000E0023" w:rsidP="00EA7902">
            <w:pPr>
              <w:pStyle w:val="BodyText"/>
              <w:spacing w:before="40" w:after="40"/>
              <w:jc w:val="center"/>
              <w:rPr>
                <w:rFonts w:asciiTheme="majorHAnsi" w:hAnsiTheme="majorHAnsi" w:cstheme="majorHAnsi"/>
                <w:sz w:val="20"/>
                <w:szCs w:val="20"/>
              </w:rPr>
            </w:pPr>
            <w:r>
              <w:rPr>
                <w:rFonts w:asciiTheme="majorHAnsi" w:hAnsiTheme="majorHAnsi" w:cstheme="majorHAnsi"/>
                <w:sz w:val="20"/>
                <w:szCs w:val="20"/>
              </w:rPr>
              <w:t>E</w:t>
            </w:r>
            <w:r w:rsidR="00EA7902" w:rsidRPr="00EA7902">
              <w:rPr>
                <w:rFonts w:asciiTheme="majorHAnsi" w:hAnsiTheme="majorHAnsi" w:cstheme="majorHAnsi"/>
                <w:sz w:val="20"/>
                <w:szCs w:val="20"/>
              </w:rPr>
              <w:t xml:space="preserve">xchange </w:t>
            </w:r>
            <w:r w:rsidR="00B21782">
              <w:rPr>
                <w:rFonts w:asciiTheme="majorHAnsi" w:hAnsiTheme="majorHAnsi" w:cstheme="majorHAnsi"/>
                <w:sz w:val="20"/>
                <w:szCs w:val="20"/>
              </w:rPr>
              <w:t>A</w:t>
            </w:r>
            <w:r w:rsidR="00EA7902" w:rsidRPr="00EA7902">
              <w:rPr>
                <w:rFonts w:asciiTheme="majorHAnsi" w:hAnsiTheme="majorHAnsi" w:cstheme="majorHAnsi"/>
                <w:sz w:val="20"/>
                <w:szCs w:val="20"/>
              </w:rPr>
              <w:t>greement</w:t>
            </w:r>
          </w:p>
        </w:tc>
        <w:tc>
          <w:tcPr>
            <w:tcW w:w="2865" w:type="dxa"/>
            <w:shd w:val="clear" w:color="auto" w:fill="auto"/>
            <w:tcMar>
              <w:top w:w="72" w:type="dxa"/>
              <w:left w:w="144" w:type="dxa"/>
              <w:bottom w:w="72" w:type="dxa"/>
              <w:right w:w="144" w:type="dxa"/>
            </w:tcMar>
            <w:hideMark/>
          </w:tcPr>
          <w:p w14:paraId="1E7EEEE1" w14:textId="77777777" w:rsidR="00EA7902" w:rsidRPr="00EA7902" w:rsidRDefault="000E0023" w:rsidP="00EA7902">
            <w:pPr>
              <w:pStyle w:val="BodyText"/>
              <w:spacing w:before="40" w:after="40"/>
              <w:jc w:val="center"/>
              <w:rPr>
                <w:rFonts w:asciiTheme="majorHAnsi" w:hAnsiTheme="majorHAnsi" w:cstheme="majorHAnsi"/>
                <w:sz w:val="20"/>
                <w:szCs w:val="20"/>
              </w:rPr>
            </w:pPr>
            <w:r>
              <w:rPr>
                <w:rFonts w:asciiTheme="majorHAnsi" w:hAnsiTheme="majorHAnsi" w:cstheme="majorHAnsi"/>
                <w:sz w:val="20"/>
                <w:szCs w:val="20"/>
              </w:rPr>
              <w:t>A</w:t>
            </w:r>
            <w:r w:rsidR="00EA7902" w:rsidRPr="00EA7902">
              <w:rPr>
                <w:rFonts w:asciiTheme="majorHAnsi" w:hAnsiTheme="majorHAnsi" w:cstheme="majorHAnsi"/>
                <w:sz w:val="20"/>
                <w:szCs w:val="20"/>
              </w:rPr>
              <w:t xml:space="preserve">uction </w:t>
            </w:r>
            <w:r>
              <w:rPr>
                <w:rFonts w:asciiTheme="majorHAnsi" w:hAnsiTheme="majorHAnsi" w:cstheme="majorHAnsi"/>
                <w:sz w:val="20"/>
                <w:szCs w:val="20"/>
              </w:rPr>
              <w:t>a</w:t>
            </w:r>
            <w:r w:rsidR="00EA7902" w:rsidRPr="00EA7902">
              <w:rPr>
                <w:rFonts w:asciiTheme="majorHAnsi" w:hAnsiTheme="majorHAnsi" w:cstheme="majorHAnsi"/>
                <w:sz w:val="20"/>
                <w:szCs w:val="20"/>
              </w:rPr>
              <w:t>greement</w:t>
            </w:r>
          </w:p>
        </w:tc>
      </w:tr>
      <w:tr w:rsidR="00EA7902" w:rsidRPr="00EA7902" w14:paraId="75A43BBC" w14:textId="77777777" w:rsidTr="00EA7902">
        <w:trPr>
          <w:trHeight w:val="584"/>
        </w:trPr>
        <w:tc>
          <w:tcPr>
            <w:tcW w:w="3676" w:type="dxa"/>
            <w:shd w:val="clear" w:color="auto" w:fill="auto"/>
            <w:tcMar>
              <w:top w:w="72" w:type="dxa"/>
              <w:left w:w="144" w:type="dxa"/>
              <w:bottom w:w="72" w:type="dxa"/>
              <w:right w:w="144" w:type="dxa"/>
            </w:tcMar>
            <w:hideMark/>
          </w:tcPr>
          <w:p w14:paraId="1A15B6EE" w14:textId="77777777" w:rsidR="00EA7902" w:rsidRPr="00EA7902" w:rsidRDefault="00EA7902" w:rsidP="00EA7902">
            <w:pPr>
              <w:pStyle w:val="BodyText"/>
              <w:spacing w:before="40" w:after="40"/>
              <w:rPr>
                <w:rFonts w:asciiTheme="majorHAnsi" w:hAnsiTheme="majorHAnsi" w:cstheme="majorHAnsi"/>
                <w:sz w:val="20"/>
                <w:szCs w:val="20"/>
              </w:rPr>
            </w:pPr>
            <w:r>
              <w:rPr>
                <w:rFonts w:asciiTheme="majorHAnsi" w:hAnsiTheme="majorHAnsi" w:cstheme="majorHAnsi"/>
                <w:sz w:val="20"/>
                <w:szCs w:val="20"/>
              </w:rPr>
              <w:t>T</w:t>
            </w:r>
            <w:r w:rsidRPr="00EA7902">
              <w:rPr>
                <w:rFonts w:asciiTheme="majorHAnsi" w:hAnsiTheme="majorHAnsi" w:cstheme="majorHAnsi"/>
                <w:sz w:val="20"/>
                <w:szCs w:val="20"/>
              </w:rPr>
              <w:t>ransportation service providers on facilities a shipper wants to use</w:t>
            </w:r>
          </w:p>
        </w:tc>
        <w:tc>
          <w:tcPr>
            <w:tcW w:w="5376" w:type="dxa"/>
            <w:gridSpan w:val="2"/>
            <w:shd w:val="clear" w:color="auto" w:fill="auto"/>
            <w:tcMar>
              <w:top w:w="72" w:type="dxa"/>
              <w:left w:w="144" w:type="dxa"/>
              <w:bottom w:w="72" w:type="dxa"/>
              <w:right w:w="144" w:type="dxa"/>
            </w:tcMar>
            <w:hideMark/>
          </w:tcPr>
          <w:p w14:paraId="4E1779B0" w14:textId="77777777" w:rsidR="00EA7902" w:rsidRPr="00EA7902" w:rsidRDefault="00EA7902" w:rsidP="00EA7902">
            <w:pPr>
              <w:pStyle w:val="BodyText"/>
              <w:spacing w:before="40" w:after="40"/>
              <w:jc w:val="center"/>
              <w:rPr>
                <w:rFonts w:asciiTheme="majorHAnsi" w:hAnsiTheme="majorHAnsi" w:cstheme="majorHAnsi"/>
                <w:sz w:val="20"/>
                <w:szCs w:val="20"/>
              </w:rPr>
            </w:pPr>
            <w:r w:rsidRPr="00EA7902">
              <w:rPr>
                <w:rFonts w:asciiTheme="majorHAnsi" w:hAnsiTheme="majorHAnsi" w:cstheme="majorHAnsi"/>
                <w:sz w:val="20"/>
                <w:szCs w:val="20"/>
              </w:rPr>
              <w:t xml:space="preserve">OTSA </w:t>
            </w:r>
            <w:r w:rsidRPr="00EA7902">
              <w:rPr>
                <w:rFonts w:asciiTheme="majorHAnsi" w:hAnsiTheme="majorHAnsi" w:cstheme="majorHAnsi"/>
                <w:sz w:val="20"/>
                <w:szCs w:val="20"/>
              </w:rPr>
              <w:br/>
            </w:r>
            <w:r w:rsidRPr="00EA7902">
              <w:rPr>
                <w:rFonts w:asciiTheme="majorHAnsi" w:hAnsiTheme="majorHAnsi" w:cstheme="majorHAnsi"/>
                <w:sz w:val="16"/>
                <w:szCs w:val="16"/>
              </w:rPr>
              <w:t>(this may take the form of a stand-alone agreement (including the standard OTSA) or form part of a primary facility agreement)</w:t>
            </w:r>
          </w:p>
        </w:tc>
      </w:tr>
      <w:tr w:rsidR="00EA7902" w:rsidRPr="00EA7902" w14:paraId="0387B071" w14:textId="77777777" w:rsidTr="00EA7902">
        <w:trPr>
          <w:trHeight w:val="584"/>
        </w:trPr>
        <w:tc>
          <w:tcPr>
            <w:tcW w:w="3676" w:type="dxa"/>
            <w:shd w:val="clear" w:color="auto" w:fill="auto"/>
            <w:tcMar>
              <w:top w:w="72" w:type="dxa"/>
              <w:left w:w="144" w:type="dxa"/>
              <w:bottom w:w="72" w:type="dxa"/>
              <w:right w:w="144" w:type="dxa"/>
            </w:tcMar>
            <w:hideMark/>
          </w:tcPr>
          <w:p w14:paraId="3894A398" w14:textId="77777777" w:rsidR="00EA7902" w:rsidRPr="00EA7902" w:rsidRDefault="00EA7902" w:rsidP="00EA7902">
            <w:pPr>
              <w:pStyle w:val="BodyText"/>
              <w:spacing w:before="40" w:after="40"/>
              <w:rPr>
                <w:rFonts w:asciiTheme="majorHAnsi" w:hAnsiTheme="majorHAnsi" w:cstheme="majorHAnsi"/>
                <w:sz w:val="20"/>
                <w:szCs w:val="20"/>
              </w:rPr>
            </w:pPr>
            <w:r>
              <w:rPr>
                <w:rFonts w:asciiTheme="majorHAnsi" w:hAnsiTheme="majorHAnsi" w:cstheme="majorHAnsi"/>
                <w:sz w:val="20"/>
                <w:szCs w:val="20"/>
              </w:rPr>
              <w:t>A</w:t>
            </w:r>
            <w:r w:rsidRPr="00EA7902">
              <w:rPr>
                <w:rFonts w:asciiTheme="majorHAnsi" w:hAnsiTheme="majorHAnsi" w:cstheme="majorHAnsi"/>
                <w:sz w:val="20"/>
                <w:szCs w:val="20"/>
              </w:rPr>
              <w:t xml:space="preserve">llocation agents at </w:t>
            </w:r>
            <w:r>
              <w:rPr>
                <w:rFonts w:asciiTheme="majorHAnsi" w:hAnsiTheme="majorHAnsi" w:cstheme="majorHAnsi"/>
                <w:sz w:val="20"/>
                <w:szCs w:val="20"/>
              </w:rPr>
              <w:t xml:space="preserve">receipt or delivery </w:t>
            </w:r>
            <w:r w:rsidRPr="00EA7902">
              <w:rPr>
                <w:rFonts w:asciiTheme="majorHAnsi" w:hAnsiTheme="majorHAnsi" w:cstheme="majorHAnsi"/>
                <w:sz w:val="20"/>
                <w:szCs w:val="20"/>
              </w:rPr>
              <w:t>points a shipper wants to use</w:t>
            </w:r>
          </w:p>
        </w:tc>
        <w:tc>
          <w:tcPr>
            <w:tcW w:w="5376" w:type="dxa"/>
            <w:gridSpan w:val="2"/>
            <w:shd w:val="clear" w:color="auto" w:fill="auto"/>
            <w:tcMar>
              <w:top w:w="72" w:type="dxa"/>
              <w:left w:w="144" w:type="dxa"/>
              <w:bottom w:w="72" w:type="dxa"/>
              <w:right w:w="144" w:type="dxa"/>
            </w:tcMar>
            <w:hideMark/>
          </w:tcPr>
          <w:p w14:paraId="3954C148" w14:textId="77777777" w:rsidR="00EA7902" w:rsidRPr="00EA7902" w:rsidRDefault="00EA7902" w:rsidP="00EA7902">
            <w:pPr>
              <w:pStyle w:val="BodyText"/>
              <w:spacing w:before="40" w:after="40"/>
              <w:jc w:val="center"/>
              <w:rPr>
                <w:rFonts w:asciiTheme="majorHAnsi" w:hAnsiTheme="majorHAnsi" w:cstheme="majorHAnsi"/>
                <w:sz w:val="20"/>
                <w:szCs w:val="20"/>
              </w:rPr>
            </w:pPr>
            <w:r w:rsidRPr="00EA7902">
              <w:rPr>
                <w:rFonts w:asciiTheme="majorHAnsi" w:hAnsiTheme="majorHAnsi" w:cstheme="majorHAnsi"/>
                <w:sz w:val="20"/>
                <w:szCs w:val="20"/>
              </w:rPr>
              <w:t>Allocation arrangements</w:t>
            </w:r>
            <w:r w:rsidR="000E0023">
              <w:rPr>
                <w:rFonts w:asciiTheme="majorHAnsi" w:hAnsiTheme="majorHAnsi" w:cstheme="majorHAnsi"/>
                <w:sz w:val="20"/>
                <w:szCs w:val="20"/>
              </w:rPr>
              <w:t xml:space="preserve"> </w:t>
            </w:r>
          </w:p>
        </w:tc>
      </w:tr>
    </w:tbl>
    <w:p w14:paraId="078884E5" w14:textId="77777777" w:rsidR="00EA7902" w:rsidRDefault="00EA7902" w:rsidP="00C74D87">
      <w:pPr>
        <w:pStyle w:val="BodyText"/>
        <w:spacing w:after="240"/>
        <w:rPr>
          <w:rFonts w:asciiTheme="majorHAnsi" w:hAnsiTheme="majorHAnsi" w:cstheme="majorHAnsi"/>
        </w:rPr>
      </w:pPr>
    </w:p>
    <w:p w14:paraId="1B5EEE41" w14:textId="77777777" w:rsidR="000204F6" w:rsidRDefault="000204F6" w:rsidP="00C74D87">
      <w:pPr>
        <w:pStyle w:val="BodyText"/>
        <w:spacing w:after="240"/>
        <w:rPr>
          <w:rFonts w:asciiTheme="majorHAnsi" w:hAnsiTheme="majorHAnsi" w:cstheme="majorHAnsi"/>
        </w:rPr>
      </w:pPr>
    </w:p>
    <w:p w14:paraId="23E6FBC5" w14:textId="77777777" w:rsidR="000204F6" w:rsidRDefault="000204F6" w:rsidP="00C74D87">
      <w:pPr>
        <w:pStyle w:val="BodyText"/>
        <w:spacing w:after="240"/>
        <w:rPr>
          <w:rFonts w:asciiTheme="majorHAnsi" w:hAnsiTheme="majorHAnsi" w:cstheme="majorHAnsi"/>
        </w:rPr>
        <w:sectPr w:rsidR="000204F6" w:rsidSect="00345549">
          <w:pgSz w:w="11907" w:h="16840" w:code="9"/>
          <w:pgMar w:top="1701" w:right="1418" w:bottom="1135" w:left="1701" w:header="425" w:footer="397" w:gutter="0"/>
          <w:cols w:space="708"/>
          <w:docGrid w:linePitch="360"/>
        </w:sectPr>
      </w:pPr>
    </w:p>
    <w:p w14:paraId="6F558B55" w14:textId="2D07E802" w:rsidR="000204F6" w:rsidRDefault="000204F6" w:rsidP="000204F6">
      <w:pPr>
        <w:pStyle w:val="Caption"/>
        <w:spacing w:after="0"/>
      </w:pPr>
      <w:bookmarkStart w:id="43" w:name="_Ref512354808"/>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2</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2</w:t>
      </w:r>
      <w:r w:rsidR="002B13EB">
        <w:rPr>
          <w:noProof/>
        </w:rPr>
        <w:fldChar w:fldCharType="end"/>
      </w:r>
      <w:bookmarkEnd w:id="43"/>
      <w:r>
        <w:t xml:space="preserve">: </w:t>
      </w:r>
      <w:r w:rsidRPr="00AB5ABC">
        <w:t>Arrangements shippers require for capacity trading platform and auction</w:t>
      </w:r>
    </w:p>
    <w:tbl>
      <w:tblPr>
        <w:tblStyle w:val="TableGrid"/>
        <w:tblW w:w="4960" w:type="pct"/>
        <w:tblInd w:w="-142" w:type="dxa"/>
        <w:tblLayout w:type="fixed"/>
        <w:tblLook w:val="0420" w:firstRow="1" w:lastRow="0" w:firstColumn="0" w:lastColumn="0" w:noHBand="0" w:noVBand="1"/>
        <w:tblCaption w:val="Table 2.1: Arrangements shippers require for capacity trading platform and auction"/>
        <w:tblDescription w:val="Table of arrangements shippers require for capacity trading platform and auction"/>
      </w:tblPr>
      <w:tblGrid>
        <w:gridCol w:w="1560"/>
        <w:gridCol w:w="12050"/>
      </w:tblGrid>
      <w:tr w:rsidR="000204F6" w:rsidRPr="00944EC7" w14:paraId="08752F17" w14:textId="77777777" w:rsidTr="00944EC7">
        <w:trPr>
          <w:cnfStyle w:val="100000000000" w:firstRow="1" w:lastRow="0" w:firstColumn="0" w:lastColumn="0" w:oddVBand="0" w:evenVBand="0" w:oddHBand="0" w:evenHBand="0" w:firstRowFirstColumn="0" w:firstRowLastColumn="0" w:lastRowFirstColumn="0" w:lastRowLastColumn="0"/>
          <w:trHeight w:val="70"/>
        </w:trPr>
        <w:tc>
          <w:tcPr>
            <w:tcW w:w="5000" w:type="pct"/>
            <w:gridSpan w:val="2"/>
            <w:tcBorders>
              <w:top w:val="single" w:sz="4" w:space="0" w:color="auto"/>
            </w:tcBorders>
            <w:shd w:val="clear" w:color="auto" w:fill="0099CC"/>
          </w:tcPr>
          <w:p w14:paraId="3FCF22C1" w14:textId="77777777" w:rsidR="000204F6" w:rsidRPr="00944EC7" w:rsidRDefault="000204F6" w:rsidP="00C56043">
            <w:pPr>
              <w:pStyle w:val="TableBodyText"/>
              <w:keepNext/>
              <w:spacing w:before="40" w:after="20"/>
              <w:jc w:val="center"/>
              <w:rPr>
                <w:b w:val="0"/>
                <w:sz w:val="17"/>
                <w:szCs w:val="17"/>
                <w:lang w:eastAsia="fr-CA"/>
              </w:rPr>
            </w:pPr>
            <w:r w:rsidRPr="00944EC7">
              <w:rPr>
                <w:sz w:val="17"/>
                <w:szCs w:val="17"/>
                <w:lang w:eastAsia="fr-CA"/>
              </w:rPr>
              <w:t xml:space="preserve">Participation in the day-ahead auction and capacity trading platform </w:t>
            </w:r>
          </w:p>
        </w:tc>
      </w:tr>
      <w:tr w:rsidR="006308FB" w:rsidRPr="00944EC7" w14:paraId="3B388170" w14:textId="77777777" w:rsidTr="00944EC7">
        <w:tc>
          <w:tcPr>
            <w:tcW w:w="573" w:type="pct"/>
            <w:tcBorders>
              <w:bottom w:val="single" w:sz="4" w:space="0" w:color="auto"/>
            </w:tcBorders>
            <w:shd w:val="clear" w:color="auto" w:fill="auto"/>
          </w:tcPr>
          <w:p w14:paraId="129C4B31" w14:textId="77777777" w:rsidR="006308FB" w:rsidRPr="00944EC7" w:rsidRDefault="006308FB" w:rsidP="00B21782">
            <w:pPr>
              <w:pStyle w:val="TableBodyText"/>
              <w:spacing w:before="40" w:after="20"/>
              <w:rPr>
                <w:b/>
                <w:sz w:val="17"/>
                <w:szCs w:val="17"/>
                <w:lang w:eastAsia="fr-CA"/>
              </w:rPr>
            </w:pPr>
            <w:r w:rsidRPr="00944EC7">
              <w:rPr>
                <w:b/>
                <w:sz w:val="17"/>
                <w:szCs w:val="17"/>
                <w:lang w:eastAsia="fr-CA"/>
              </w:rPr>
              <w:t xml:space="preserve">Capacity trading platform </w:t>
            </w:r>
          </w:p>
        </w:tc>
        <w:tc>
          <w:tcPr>
            <w:tcW w:w="4427" w:type="pct"/>
            <w:tcBorders>
              <w:bottom w:val="single" w:sz="4" w:space="0" w:color="auto"/>
            </w:tcBorders>
            <w:shd w:val="clear" w:color="auto" w:fill="auto"/>
          </w:tcPr>
          <w:p w14:paraId="10FD555E" w14:textId="77777777" w:rsidR="006308FB" w:rsidRPr="00944EC7" w:rsidRDefault="006308FB" w:rsidP="00C56043">
            <w:pPr>
              <w:pStyle w:val="TableBodyText"/>
              <w:spacing w:before="40" w:after="20"/>
              <w:rPr>
                <w:sz w:val="17"/>
                <w:szCs w:val="17"/>
                <w:lang w:eastAsia="fr-CA"/>
              </w:rPr>
            </w:pPr>
            <w:r w:rsidRPr="00944EC7">
              <w:rPr>
                <w:sz w:val="17"/>
                <w:szCs w:val="17"/>
                <w:lang w:eastAsia="fr-CA"/>
              </w:rPr>
              <w:t>Primary and secondary shippers that want to use the capacity trading platform will need to become members of the GSH by executing a membership agreement with AEMO and be registered as trading participants. Transportation facilities that want to sell capacity through the capacity trading platform will also need to become members of the GSH.</w:t>
            </w:r>
          </w:p>
          <w:p w14:paraId="61C0C453" w14:textId="77777777" w:rsidR="006308FB" w:rsidRPr="00944EC7" w:rsidRDefault="006308FB" w:rsidP="00B21782">
            <w:pPr>
              <w:pStyle w:val="TableBodyText"/>
              <w:spacing w:before="40" w:after="20"/>
              <w:rPr>
                <w:sz w:val="17"/>
                <w:szCs w:val="17"/>
                <w:lang w:eastAsia="fr-CA"/>
              </w:rPr>
            </w:pPr>
            <w:r w:rsidRPr="00944EC7">
              <w:rPr>
                <w:sz w:val="17"/>
                <w:szCs w:val="17"/>
                <w:lang w:eastAsia="fr-CA"/>
              </w:rPr>
              <w:t xml:space="preserve">Through the membership agreement, shippers will become a party to the </w:t>
            </w:r>
            <w:r w:rsidR="00B21782" w:rsidRPr="00944EC7">
              <w:rPr>
                <w:sz w:val="17"/>
                <w:szCs w:val="17"/>
                <w:lang w:eastAsia="fr-CA"/>
              </w:rPr>
              <w:t>E</w:t>
            </w:r>
            <w:r w:rsidRPr="00944EC7">
              <w:rPr>
                <w:sz w:val="17"/>
                <w:szCs w:val="17"/>
                <w:lang w:eastAsia="fr-CA"/>
              </w:rPr>
              <w:t xml:space="preserve">xchange </w:t>
            </w:r>
            <w:r w:rsidR="00B21782" w:rsidRPr="00944EC7">
              <w:rPr>
                <w:sz w:val="17"/>
                <w:szCs w:val="17"/>
                <w:lang w:eastAsia="fr-CA"/>
              </w:rPr>
              <w:t>A</w:t>
            </w:r>
            <w:r w:rsidRPr="00944EC7">
              <w:rPr>
                <w:sz w:val="17"/>
                <w:szCs w:val="17"/>
                <w:lang w:eastAsia="fr-CA"/>
              </w:rPr>
              <w:t>greement. Th</w:t>
            </w:r>
            <w:r w:rsidR="00B21782" w:rsidRPr="00944EC7">
              <w:rPr>
                <w:sz w:val="17"/>
                <w:szCs w:val="17"/>
                <w:lang w:eastAsia="fr-CA"/>
              </w:rPr>
              <w:t>is</w:t>
            </w:r>
            <w:r w:rsidRPr="00944EC7">
              <w:rPr>
                <w:sz w:val="17"/>
                <w:szCs w:val="17"/>
                <w:lang w:eastAsia="fr-CA"/>
              </w:rPr>
              <w:t xml:space="preserve"> is a multilateral agreement that sets out the terms of participation in the GSH and the terms governing transactions entered into through the exchange. The body of this agreement contains the trading, delivery, prudential and settlement obligations, while the product specifications are set out in schedules.</w:t>
            </w:r>
          </w:p>
        </w:tc>
      </w:tr>
      <w:tr w:rsidR="000204F6" w:rsidRPr="00944EC7" w14:paraId="78C68AE3" w14:textId="77777777" w:rsidTr="00944EC7">
        <w:trPr>
          <w:cnfStyle w:val="000000010000" w:firstRow="0" w:lastRow="0" w:firstColumn="0" w:lastColumn="0" w:oddVBand="0" w:evenVBand="0" w:oddHBand="0" w:evenHBand="1" w:firstRowFirstColumn="0" w:firstRowLastColumn="0" w:lastRowFirstColumn="0" w:lastRowLastColumn="0"/>
        </w:trPr>
        <w:tc>
          <w:tcPr>
            <w:tcW w:w="573" w:type="pct"/>
            <w:shd w:val="clear" w:color="auto" w:fill="auto"/>
          </w:tcPr>
          <w:p w14:paraId="01CA8500" w14:textId="77777777" w:rsidR="000204F6" w:rsidRPr="00944EC7" w:rsidRDefault="000204F6" w:rsidP="00C56043">
            <w:pPr>
              <w:pStyle w:val="TableBodyText"/>
              <w:keepNext/>
              <w:spacing w:before="40" w:after="20"/>
              <w:rPr>
                <w:b/>
                <w:sz w:val="17"/>
                <w:szCs w:val="17"/>
                <w:lang w:eastAsia="fr-CA"/>
              </w:rPr>
            </w:pPr>
            <w:r w:rsidRPr="00944EC7">
              <w:rPr>
                <w:b/>
                <w:sz w:val="17"/>
                <w:szCs w:val="17"/>
                <w:lang w:eastAsia="fr-CA"/>
              </w:rPr>
              <w:t xml:space="preserve">Auction membership </w:t>
            </w:r>
          </w:p>
        </w:tc>
        <w:tc>
          <w:tcPr>
            <w:tcW w:w="4427" w:type="pct"/>
            <w:shd w:val="clear" w:color="auto" w:fill="auto"/>
          </w:tcPr>
          <w:p w14:paraId="515D0646" w14:textId="77777777" w:rsidR="000204F6" w:rsidRPr="00944EC7" w:rsidRDefault="000204F6" w:rsidP="00B21782">
            <w:pPr>
              <w:pStyle w:val="TableBodyText"/>
              <w:keepNext/>
              <w:spacing w:before="40" w:after="20"/>
              <w:rPr>
                <w:sz w:val="17"/>
                <w:szCs w:val="17"/>
                <w:lang w:eastAsia="fr-CA"/>
              </w:rPr>
            </w:pPr>
            <w:r w:rsidRPr="00944EC7">
              <w:rPr>
                <w:sz w:val="17"/>
                <w:szCs w:val="17"/>
                <w:lang w:eastAsia="fr-CA"/>
              </w:rPr>
              <w:t xml:space="preserve">Shippers that want to participate in the </w:t>
            </w:r>
            <w:r w:rsidR="006308FB" w:rsidRPr="00944EC7">
              <w:rPr>
                <w:sz w:val="17"/>
                <w:szCs w:val="17"/>
                <w:lang w:eastAsia="fr-CA"/>
              </w:rPr>
              <w:t xml:space="preserve">day-ahead </w:t>
            </w:r>
            <w:r w:rsidRPr="00944EC7">
              <w:rPr>
                <w:sz w:val="17"/>
                <w:szCs w:val="17"/>
                <w:lang w:eastAsia="fr-CA"/>
              </w:rPr>
              <w:t xml:space="preserve">auction will </w:t>
            </w:r>
            <w:r w:rsidR="006308FB" w:rsidRPr="00944EC7">
              <w:rPr>
                <w:sz w:val="17"/>
                <w:szCs w:val="17"/>
                <w:lang w:eastAsia="fr-CA"/>
              </w:rPr>
              <w:t xml:space="preserve">need to </w:t>
            </w:r>
            <w:r w:rsidRPr="00944EC7">
              <w:rPr>
                <w:sz w:val="17"/>
                <w:szCs w:val="17"/>
                <w:lang w:eastAsia="fr-CA"/>
              </w:rPr>
              <w:t xml:space="preserve">execute an </w:t>
            </w:r>
            <w:r w:rsidR="005E6B9C" w:rsidRPr="00944EC7">
              <w:rPr>
                <w:sz w:val="17"/>
                <w:szCs w:val="17"/>
                <w:lang w:eastAsia="fr-CA"/>
              </w:rPr>
              <w:t>auction agreement</w:t>
            </w:r>
            <w:r w:rsidRPr="00944EC7">
              <w:rPr>
                <w:sz w:val="17"/>
                <w:szCs w:val="17"/>
                <w:lang w:eastAsia="fr-CA"/>
              </w:rPr>
              <w:t xml:space="preserve"> with AEMO. The </w:t>
            </w:r>
            <w:r w:rsidR="005E6B9C" w:rsidRPr="00944EC7">
              <w:rPr>
                <w:sz w:val="17"/>
                <w:szCs w:val="17"/>
                <w:lang w:eastAsia="fr-CA"/>
              </w:rPr>
              <w:t>auction agreement</w:t>
            </w:r>
            <w:r w:rsidRPr="00944EC7">
              <w:rPr>
                <w:sz w:val="17"/>
                <w:szCs w:val="17"/>
                <w:lang w:eastAsia="fr-CA"/>
              </w:rPr>
              <w:t xml:space="preserve"> will set out the terms of participation in the auction, including the prudential and settlement obligations. </w:t>
            </w:r>
          </w:p>
        </w:tc>
      </w:tr>
      <w:tr w:rsidR="00B837CC" w:rsidRPr="00944EC7" w14:paraId="53A59F25" w14:textId="77777777" w:rsidTr="00944EC7">
        <w:tc>
          <w:tcPr>
            <w:tcW w:w="5000" w:type="pct"/>
            <w:gridSpan w:val="2"/>
            <w:shd w:val="clear" w:color="auto" w:fill="0099CC"/>
          </w:tcPr>
          <w:p w14:paraId="73CB270A" w14:textId="77777777" w:rsidR="000204F6" w:rsidRPr="00944EC7" w:rsidRDefault="000204F6" w:rsidP="00C56043">
            <w:pPr>
              <w:pStyle w:val="TableBodyText"/>
              <w:keepNext/>
              <w:spacing w:before="40" w:after="20"/>
              <w:jc w:val="center"/>
              <w:rPr>
                <w:b/>
                <w:color w:val="FFFFFF" w:themeColor="background1"/>
                <w:sz w:val="17"/>
                <w:szCs w:val="17"/>
                <w:lang w:eastAsia="fr-CA"/>
              </w:rPr>
            </w:pPr>
            <w:r w:rsidRPr="00944EC7">
              <w:rPr>
                <w:b/>
                <w:color w:val="FFFFFF" w:themeColor="background1"/>
                <w:sz w:val="17"/>
                <w:szCs w:val="17"/>
                <w:lang w:eastAsia="fr-CA"/>
              </w:rPr>
              <w:t xml:space="preserve">Use of secondary capacity procured through the capacity trading platform </w:t>
            </w:r>
            <w:r w:rsidR="006308FB" w:rsidRPr="00944EC7">
              <w:rPr>
                <w:b/>
                <w:color w:val="FFFFFF" w:themeColor="background1"/>
                <w:sz w:val="17"/>
                <w:szCs w:val="17"/>
                <w:lang w:eastAsia="fr-CA"/>
              </w:rPr>
              <w:t xml:space="preserve">or the auction </w:t>
            </w:r>
          </w:p>
        </w:tc>
      </w:tr>
      <w:tr w:rsidR="000204F6" w:rsidRPr="00944EC7" w14:paraId="02BDC1F6" w14:textId="77777777" w:rsidTr="00944EC7">
        <w:trPr>
          <w:cnfStyle w:val="000000010000" w:firstRow="0" w:lastRow="0" w:firstColumn="0" w:lastColumn="0" w:oddVBand="0" w:evenVBand="0" w:oddHBand="0" w:evenHBand="1" w:firstRowFirstColumn="0" w:firstRowLastColumn="0" w:lastRowFirstColumn="0" w:lastRowLastColumn="0"/>
        </w:trPr>
        <w:tc>
          <w:tcPr>
            <w:tcW w:w="573" w:type="pct"/>
            <w:tcBorders>
              <w:bottom w:val="single" w:sz="4" w:space="0" w:color="auto"/>
            </w:tcBorders>
            <w:shd w:val="clear" w:color="auto" w:fill="auto"/>
          </w:tcPr>
          <w:p w14:paraId="13D739AB" w14:textId="77777777" w:rsidR="000204F6" w:rsidRPr="00944EC7" w:rsidRDefault="000204F6" w:rsidP="00C56043">
            <w:pPr>
              <w:pStyle w:val="TableBodyText"/>
              <w:spacing w:before="40" w:after="20"/>
              <w:rPr>
                <w:b/>
                <w:sz w:val="17"/>
                <w:szCs w:val="17"/>
                <w:lang w:eastAsia="fr-CA"/>
              </w:rPr>
            </w:pPr>
            <w:r w:rsidRPr="00944EC7">
              <w:rPr>
                <w:b/>
                <w:sz w:val="17"/>
                <w:szCs w:val="17"/>
                <w:lang w:eastAsia="fr-CA"/>
              </w:rPr>
              <w:t>Operational transfers</w:t>
            </w:r>
          </w:p>
        </w:tc>
        <w:tc>
          <w:tcPr>
            <w:tcW w:w="4427" w:type="pct"/>
            <w:tcBorders>
              <w:bottom w:val="single" w:sz="4" w:space="0" w:color="auto"/>
            </w:tcBorders>
            <w:shd w:val="clear" w:color="auto" w:fill="auto"/>
          </w:tcPr>
          <w:p w14:paraId="42CC05D3" w14:textId="77777777" w:rsidR="000204F6" w:rsidRPr="00944EC7" w:rsidRDefault="000204F6" w:rsidP="00C56043">
            <w:pPr>
              <w:pStyle w:val="TableBodyText"/>
              <w:spacing w:before="80" w:after="20"/>
              <w:rPr>
                <w:sz w:val="17"/>
                <w:szCs w:val="17"/>
                <w:lang w:eastAsia="fr-CA"/>
              </w:rPr>
            </w:pPr>
            <w:r w:rsidRPr="00944EC7">
              <w:rPr>
                <w:sz w:val="17"/>
                <w:szCs w:val="17"/>
                <w:lang w:eastAsia="fr-CA"/>
              </w:rPr>
              <w:t xml:space="preserve">If a shipper procures secondary capacity through the exchange or </w:t>
            </w:r>
            <w:r w:rsidR="006308FB" w:rsidRPr="00944EC7">
              <w:rPr>
                <w:sz w:val="17"/>
                <w:szCs w:val="17"/>
                <w:lang w:eastAsia="fr-CA"/>
              </w:rPr>
              <w:t xml:space="preserve">the day-ahead </w:t>
            </w:r>
            <w:r w:rsidRPr="00944EC7">
              <w:rPr>
                <w:sz w:val="17"/>
                <w:szCs w:val="17"/>
                <w:lang w:eastAsia="fr-CA"/>
              </w:rPr>
              <w:t xml:space="preserve">auction, the trade will be given effect through an operational transfer. Secondary shippers will also have the option to utilise an operational transfer if they enter into a bilateral trade identified through the listing service or </w:t>
            </w:r>
            <w:r w:rsidR="00B21782" w:rsidRPr="00944EC7">
              <w:rPr>
                <w:sz w:val="17"/>
                <w:szCs w:val="17"/>
                <w:lang w:eastAsia="fr-CA"/>
              </w:rPr>
              <w:t>negotiated bilaterally</w:t>
            </w:r>
            <w:r w:rsidRPr="00944EC7">
              <w:rPr>
                <w:sz w:val="17"/>
                <w:szCs w:val="17"/>
                <w:lang w:eastAsia="fr-CA"/>
              </w:rPr>
              <w:t xml:space="preserve">. A secondary shipper will therefore need to have entered into an OTSA with the </w:t>
            </w:r>
            <w:r w:rsidR="00DA16AB" w:rsidRPr="00944EC7">
              <w:rPr>
                <w:sz w:val="17"/>
                <w:szCs w:val="17"/>
              </w:rPr>
              <w:t xml:space="preserve">transportation </w:t>
            </w:r>
            <w:r w:rsidRPr="00944EC7">
              <w:rPr>
                <w:sz w:val="17"/>
                <w:szCs w:val="17"/>
                <w:lang w:eastAsia="fr-CA"/>
              </w:rPr>
              <w:t>service provider</w:t>
            </w:r>
            <w:r w:rsidR="00B21782" w:rsidRPr="00944EC7">
              <w:rPr>
                <w:sz w:val="17"/>
                <w:szCs w:val="17"/>
                <w:lang w:eastAsia="fr-CA"/>
              </w:rPr>
              <w:t>. T</w:t>
            </w:r>
            <w:r w:rsidRPr="00944EC7">
              <w:rPr>
                <w:sz w:val="17"/>
                <w:szCs w:val="17"/>
                <w:lang w:eastAsia="fr-CA"/>
              </w:rPr>
              <w:t>his may take the form of a stand-alone agreement (</w:t>
            </w:r>
            <w:r w:rsidR="00B21782" w:rsidRPr="00944EC7">
              <w:rPr>
                <w:sz w:val="17"/>
                <w:szCs w:val="17"/>
                <w:lang w:eastAsia="fr-CA"/>
              </w:rPr>
              <w:t>such as a</w:t>
            </w:r>
            <w:r w:rsidRPr="00944EC7">
              <w:rPr>
                <w:sz w:val="17"/>
                <w:szCs w:val="17"/>
                <w:lang w:eastAsia="fr-CA"/>
              </w:rPr>
              <w:t xml:space="preserve"> standard OTSA) or may form part of a shipper’s primary facility agreement</w:t>
            </w:r>
            <w:r w:rsidR="00B21782" w:rsidRPr="00944EC7">
              <w:rPr>
                <w:sz w:val="17"/>
                <w:szCs w:val="17"/>
                <w:lang w:eastAsia="fr-CA"/>
              </w:rPr>
              <w:t>.</w:t>
            </w:r>
            <w:r w:rsidRPr="00944EC7">
              <w:rPr>
                <w:sz w:val="17"/>
                <w:szCs w:val="17"/>
                <w:lang w:eastAsia="fr-CA"/>
              </w:rPr>
              <w:t xml:space="preserve"> </w:t>
            </w:r>
          </w:p>
          <w:p w14:paraId="28084C0A" w14:textId="77777777" w:rsidR="000204F6" w:rsidRPr="00944EC7" w:rsidRDefault="000204F6" w:rsidP="00C56043">
            <w:pPr>
              <w:pStyle w:val="TableBodyText"/>
              <w:spacing w:before="80" w:after="20"/>
              <w:rPr>
                <w:rFonts w:asciiTheme="majorHAnsi" w:hAnsiTheme="majorHAnsi" w:cstheme="majorHAnsi"/>
                <w:sz w:val="17"/>
                <w:szCs w:val="17"/>
              </w:rPr>
            </w:pPr>
            <w:r w:rsidRPr="00944EC7">
              <w:rPr>
                <w:rFonts w:asciiTheme="majorHAnsi" w:hAnsiTheme="majorHAnsi" w:cstheme="majorHAnsi"/>
                <w:sz w:val="17"/>
                <w:szCs w:val="17"/>
              </w:rPr>
              <w:t xml:space="preserve">OTSAs, which are sometimes referred to as ‘zero MDQ’ contracts, operate like a master agreement between the </w:t>
            </w:r>
            <w:r w:rsidR="006308FB" w:rsidRPr="00944EC7">
              <w:rPr>
                <w:rFonts w:asciiTheme="majorHAnsi" w:hAnsiTheme="majorHAnsi" w:cstheme="majorHAnsi"/>
                <w:sz w:val="17"/>
                <w:szCs w:val="17"/>
              </w:rPr>
              <w:t xml:space="preserve">transportation </w:t>
            </w:r>
            <w:r w:rsidRPr="00944EC7">
              <w:rPr>
                <w:rFonts w:asciiTheme="majorHAnsi" w:hAnsiTheme="majorHAnsi" w:cstheme="majorHAnsi"/>
                <w:sz w:val="17"/>
                <w:szCs w:val="17"/>
              </w:rPr>
              <w:t>service provider and secondary shipper, with the operational capacity (measured on an M</w:t>
            </w:r>
            <w:r w:rsidR="00CD4D41" w:rsidRPr="00944EC7">
              <w:rPr>
                <w:rFonts w:asciiTheme="majorHAnsi" w:hAnsiTheme="majorHAnsi" w:cstheme="majorHAnsi"/>
                <w:sz w:val="17"/>
                <w:szCs w:val="17"/>
              </w:rPr>
              <w:t>aximum Daily Quantity (M</w:t>
            </w:r>
            <w:r w:rsidRPr="00944EC7">
              <w:rPr>
                <w:rFonts w:asciiTheme="majorHAnsi" w:hAnsiTheme="majorHAnsi" w:cstheme="majorHAnsi"/>
                <w:sz w:val="17"/>
                <w:szCs w:val="17"/>
              </w:rPr>
              <w:t>DQ</w:t>
            </w:r>
            <w:r w:rsidR="00CD4D41" w:rsidRPr="00944EC7">
              <w:rPr>
                <w:rFonts w:asciiTheme="majorHAnsi" w:hAnsiTheme="majorHAnsi" w:cstheme="majorHAnsi"/>
                <w:sz w:val="17"/>
                <w:szCs w:val="17"/>
              </w:rPr>
              <w:t>)</w:t>
            </w:r>
            <w:r w:rsidRPr="00944EC7">
              <w:rPr>
                <w:rFonts w:asciiTheme="majorHAnsi" w:hAnsiTheme="majorHAnsi" w:cstheme="majorHAnsi"/>
                <w:sz w:val="17"/>
                <w:szCs w:val="17"/>
              </w:rPr>
              <w:t xml:space="preserve"> basis) set at zero until the shipper purchases capacity. The OTSA sets out the terms on which the </w:t>
            </w:r>
            <w:r w:rsidR="00DA16AB" w:rsidRPr="00944EC7">
              <w:rPr>
                <w:sz w:val="17"/>
                <w:szCs w:val="17"/>
              </w:rPr>
              <w:t xml:space="preserve">transportation </w:t>
            </w:r>
            <w:r w:rsidRPr="00944EC7">
              <w:rPr>
                <w:rFonts w:asciiTheme="majorHAnsi" w:hAnsiTheme="majorHAnsi" w:cstheme="majorHAnsi"/>
                <w:sz w:val="17"/>
                <w:szCs w:val="17"/>
              </w:rPr>
              <w:t xml:space="preserve">service provider will provide services to the secondary shipper when the shipper has bought secondary capacity </w:t>
            </w:r>
            <w:r w:rsidR="00B21782" w:rsidRPr="00944EC7">
              <w:rPr>
                <w:rFonts w:asciiTheme="majorHAnsi" w:hAnsiTheme="majorHAnsi" w:cstheme="majorHAnsi"/>
                <w:sz w:val="17"/>
                <w:szCs w:val="17"/>
              </w:rPr>
              <w:t xml:space="preserve">on </w:t>
            </w:r>
            <w:r w:rsidRPr="00944EC7">
              <w:rPr>
                <w:rFonts w:asciiTheme="majorHAnsi" w:hAnsiTheme="majorHAnsi" w:cstheme="majorHAnsi"/>
                <w:sz w:val="17"/>
                <w:szCs w:val="17"/>
              </w:rPr>
              <w:t>an operational transfer</w:t>
            </w:r>
            <w:r w:rsidR="00B21782" w:rsidRPr="00944EC7">
              <w:rPr>
                <w:rFonts w:asciiTheme="majorHAnsi" w:hAnsiTheme="majorHAnsi" w:cstheme="majorHAnsi"/>
                <w:sz w:val="17"/>
                <w:szCs w:val="17"/>
              </w:rPr>
              <w:t xml:space="preserve"> basis</w:t>
            </w:r>
            <w:r w:rsidRPr="00944EC7">
              <w:rPr>
                <w:rFonts w:asciiTheme="majorHAnsi" w:hAnsiTheme="majorHAnsi" w:cstheme="majorHAnsi"/>
                <w:sz w:val="17"/>
                <w:szCs w:val="17"/>
              </w:rPr>
              <w:t xml:space="preserve">, including the operational, prudential and other terms governing the relationship between the </w:t>
            </w:r>
            <w:r w:rsidR="00DA16AB" w:rsidRPr="00944EC7">
              <w:rPr>
                <w:sz w:val="17"/>
                <w:szCs w:val="17"/>
              </w:rPr>
              <w:t xml:space="preserve">transportation </w:t>
            </w:r>
            <w:r w:rsidRPr="00944EC7">
              <w:rPr>
                <w:rFonts w:asciiTheme="majorHAnsi" w:hAnsiTheme="majorHAnsi" w:cstheme="majorHAnsi"/>
                <w:sz w:val="17"/>
                <w:szCs w:val="17"/>
              </w:rPr>
              <w:t xml:space="preserve">service provider and secondary shipper. </w:t>
            </w:r>
          </w:p>
          <w:p w14:paraId="6159F40C" w14:textId="77777777" w:rsidR="000204F6" w:rsidRPr="00944EC7" w:rsidRDefault="000204F6" w:rsidP="00C56043">
            <w:pPr>
              <w:pStyle w:val="TableBodyText"/>
              <w:spacing w:before="80" w:after="20"/>
              <w:rPr>
                <w:rFonts w:asciiTheme="majorHAnsi" w:hAnsiTheme="majorHAnsi" w:cstheme="majorHAnsi"/>
                <w:sz w:val="17"/>
                <w:szCs w:val="17"/>
              </w:rPr>
            </w:pPr>
            <w:r w:rsidRPr="00944EC7">
              <w:rPr>
                <w:rFonts w:asciiTheme="majorHAnsi" w:hAnsiTheme="majorHAnsi" w:cstheme="majorHAnsi"/>
                <w:sz w:val="17"/>
                <w:szCs w:val="17"/>
              </w:rPr>
              <w:t xml:space="preserve">If capacity is purchased, then the MDQ in the shipper’s OTSA will be increased for the duration of the trade and the shipper will be entitled to make nominations directly to the </w:t>
            </w:r>
            <w:r w:rsidR="006308FB" w:rsidRPr="00944EC7">
              <w:rPr>
                <w:rFonts w:asciiTheme="majorHAnsi" w:hAnsiTheme="majorHAnsi" w:cstheme="majorHAnsi"/>
                <w:sz w:val="17"/>
                <w:szCs w:val="17"/>
              </w:rPr>
              <w:t xml:space="preserve">transportation </w:t>
            </w:r>
            <w:r w:rsidRPr="00944EC7">
              <w:rPr>
                <w:rFonts w:asciiTheme="majorHAnsi" w:hAnsiTheme="majorHAnsi" w:cstheme="majorHAnsi"/>
                <w:sz w:val="17"/>
                <w:szCs w:val="17"/>
              </w:rPr>
              <w:t xml:space="preserve">service provider and </w:t>
            </w:r>
            <w:r w:rsidR="00B21782" w:rsidRPr="00944EC7">
              <w:rPr>
                <w:rFonts w:asciiTheme="majorHAnsi" w:hAnsiTheme="majorHAnsi" w:cstheme="majorHAnsi"/>
                <w:sz w:val="17"/>
                <w:szCs w:val="17"/>
              </w:rPr>
              <w:t xml:space="preserve">will be </w:t>
            </w:r>
            <w:r w:rsidRPr="00944EC7">
              <w:rPr>
                <w:rFonts w:asciiTheme="majorHAnsi" w:hAnsiTheme="majorHAnsi" w:cstheme="majorHAnsi"/>
                <w:sz w:val="17"/>
                <w:szCs w:val="17"/>
              </w:rPr>
              <w:t xml:space="preserve">liable to pay the </w:t>
            </w:r>
            <w:r w:rsidR="006308FB" w:rsidRPr="00944EC7">
              <w:rPr>
                <w:rFonts w:asciiTheme="majorHAnsi" w:hAnsiTheme="majorHAnsi" w:cstheme="majorHAnsi"/>
                <w:sz w:val="17"/>
                <w:szCs w:val="17"/>
              </w:rPr>
              <w:t xml:space="preserve">transportation </w:t>
            </w:r>
            <w:r w:rsidRPr="00944EC7">
              <w:rPr>
                <w:rFonts w:asciiTheme="majorHAnsi" w:hAnsiTheme="majorHAnsi" w:cstheme="majorHAnsi"/>
                <w:sz w:val="17"/>
                <w:szCs w:val="17"/>
              </w:rPr>
              <w:t xml:space="preserve">service provider for any specified </w:t>
            </w:r>
            <w:r w:rsidR="00B21782" w:rsidRPr="00944EC7">
              <w:rPr>
                <w:rFonts w:asciiTheme="majorHAnsi" w:hAnsiTheme="majorHAnsi" w:cstheme="majorHAnsi"/>
                <w:sz w:val="17"/>
                <w:szCs w:val="17"/>
              </w:rPr>
              <w:t xml:space="preserve">operational </w:t>
            </w:r>
            <w:r w:rsidRPr="00944EC7">
              <w:rPr>
                <w:rFonts w:asciiTheme="majorHAnsi" w:hAnsiTheme="majorHAnsi" w:cstheme="majorHAnsi"/>
                <w:sz w:val="17"/>
                <w:szCs w:val="17"/>
              </w:rPr>
              <w:t>charges (</w:t>
            </w:r>
            <w:r w:rsidR="00B21782" w:rsidRPr="00944EC7">
              <w:rPr>
                <w:rFonts w:asciiTheme="majorHAnsi" w:hAnsiTheme="majorHAnsi" w:cstheme="majorHAnsi"/>
                <w:sz w:val="17"/>
                <w:szCs w:val="17"/>
              </w:rPr>
              <w:t>such as</w:t>
            </w:r>
            <w:r w:rsidRPr="00944EC7">
              <w:rPr>
                <w:rFonts w:asciiTheme="majorHAnsi" w:hAnsiTheme="majorHAnsi" w:cstheme="majorHAnsi"/>
                <w:sz w:val="17"/>
                <w:szCs w:val="17"/>
              </w:rPr>
              <w:t xml:space="preserve"> imbalance or overrun charges) set out in the OTSA. The primary shipper, on the other hand, will remain liable to pay the </w:t>
            </w:r>
            <w:r w:rsidR="006308FB" w:rsidRPr="00944EC7">
              <w:rPr>
                <w:rFonts w:asciiTheme="majorHAnsi" w:hAnsiTheme="majorHAnsi" w:cstheme="majorHAnsi"/>
                <w:sz w:val="17"/>
                <w:szCs w:val="17"/>
              </w:rPr>
              <w:t xml:space="preserve">transportation </w:t>
            </w:r>
            <w:r w:rsidRPr="00944EC7">
              <w:rPr>
                <w:rFonts w:asciiTheme="majorHAnsi" w:hAnsiTheme="majorHAnsi" w:cstheme="majorHAnsi"/>
                <w:sz w:val="17"/>
                <w:szCs w:val="17"/>
              </w:rPr>
              <w:t xml:space="preserve">service provider </w:t>
            </w:r>
            <w:r w:rsidR="00B21782" w:rsidRPr="00944EC7">
              <w:rPr>
                <w:rFonts w:asciiTheme="majorHAnsi" w:hAnsiTheme="majorHAnsi" w:cstheme="majorHAnsi"/>
                <w:sz w:val="17"/>
                <w:szCs w:val="17"/>
              </w:rPr>
              <w:t xml:space="preserve">the capacity charge </w:t>
            </w:r>
            <w:r w:rsidRPr="00944EC7">
              <w:rPr>
                <w:rFonts w:asciiTheme="majorHAnsi" w:hAnsiTheme="majorHAnsi" w:cstheme="majorHAnsi"/>
                <w:sz w:val="17"/>
                <w:szCs w:val="17"/>
              </w:rPr>
              <w:t xml:space="preserve">for the capacity sold to the secondary shipper. </w:t>
            </w:r>
          </w:p>
          <w:p w14:paraId="52F45716" w14:textId="77777777" w:rsidR="000204F6" w:rsidRPr="00944EC7" w:rsidRDefault="000204F6" w:rsidP="00C56043">
            <w:pPr>
              <w:pStyle w:val="BodyText"/>
              <w:spacing w:before="80" w:after="20"/>
              <w:rPr>
                <w:rFonts w:asciiTheme="majorHAnsi" w:hAnsiTheme="majorHAnsi" w:cstheme="majorHAnsi"/>
                <w:sz w:val="17"/>
                <w:szCs w:val="17"/>
              </w:rPr>
            </w:pPr>
            <w:r w:rsidRPr="00944EC7">
              <w:rPr>
                <w:rFonts w:asciiTheme="majorHAnsi" w:hAnsiTheme="majorHAnsi" w:cstheme="majorHAnsi"/>
                <w:sz w:val="17"/>
                <w:szCs w:val="17"/>
              </w:rPr>
              <w:t xml:space="preserve">While the term ‘transfer’ in </w:t>
            </w:r>
            <w:r w:rsidR="00B21782" w:rsidRPr="00944EC7">
              <w:rPr>
                <w:rFonts w:asciiTheme="majorHAnsi" w:hAnsiTheme="majorHAnsi" w:cstheme="majorHAnsi"/>
                <w:sz w:val="17"/>
                <w:szCs w:val="17"/>
              </w:rPr>
              <w:t xml:space="preserve">an </w:t>
            </w:r>
            <w:r w:rsidRPr="00944EC7">
              <w:rPr>
                <w:rFonts w:asciiTheme="majorHAnsi" w:hAnsiTheme="majorHAnsi" w:cstheme="majorHAnsi"/>
                <w:sz w:val="17"/>
                <w:szCs w:val="17"/>
              </w:rPr>
              <w:t xml:space="preserve">operational transfer implies that capacity is being transferred from one shipper to another, this will not occur in relation to the </w:t>
            </w:r>
            <w:r w:rsidR="006308FB" w:rsidRPr="00944EC7">
              <w:rPr>
                <w:rFonts w:asciiTheme="majorHAnsi" w:hAnsiTheme="majorHAnsi" w:cstheme="majorHAnsi"/>
                <w:sz w:val="17"/>
                <w:szCs w:val="17"/>
              </w:rPr>
              <w:t xml:space="preserve">day-ahead </w:t>
            </w:r>
            <w:r w:rsidRPr="00944EC7">
              <w:rPr>
                <w:rFonts w:asciiTheme="majorHAnsi" w:hAnsiTheme="majorHAnsi" w:cstheme="majorHAnsi"/>
                <w:sz w:val="17"/>
                <w:szCs w:val="17"/>
              </w:rPr>
              <w:t xml:space="preserve">auction. In the auction, any CBU capacity </w:t>
            </w:r>
            <w:r w:rsidR="006308FB" w:rsidRPr="00944EC7">
              <w:rPr>
                <w:rFonts w:asciiTheme="majorHAnsi" w:hAnsiTheme="majorHAnsi" w:cstheme="majorHAnsi"/>
                <w:sz w:val="17"/>
                <w:szCs w:val="17"/>
              </w:rPr>
              <w:t xml:space="preserve">that is sold </w:t>
            </w:r>
            <w:r w:rsidRPr="00944EC7">
              <w:rPr>
                <w:rFonts w:asciiTheme="majorHAnsi" w:hAnsiTheme="majorHAnsi" w:cstheme="majorHAnsi"/>
                <w:sz w:val="17"/>
                <w:szCs w:val="17"/>
              </w:rPr>
              <w:t xml:space="preserve">will be allocated to the auction winners, but there will not be a corresponding reduction in the holdings of </w:t>
            </w:r>
            <w:r w:rsidR="00C56043" w:rsidRPr="00944EC7">
              <w:rPr>
                <w:rFonts w:asciiTheme="majorHAnsi" w:hAnsiTheme="majorHAnsi" w:cstheme="majorHAnsi"/>
                <w:sz w:val="17"/>
                <w:szCs w:val="17"/>
              </w:rPr>
              <w:t xml:space="preserve">firm capacity holders </w:t>
            </w:r>
            <w:r w:rsidR="006308FB" w:rsidRPr="00944EC7">
              <w:rPr>
                <w:rFonts w:asciiTheme="majorHAnsi" w:hAnsiTheme="majorHAnsi" w:cstheme="majorHAnsi"/>
                <w:sz w:val="17"/>
                <w:szCs w:val="17"/>
              </w:rPr>
              <w:t xml:space="preserve">because these </w:t>
            </w:r>
            <w:r w:rsidR="00C56043" w:rsidRPr="00944EC7">
              <w:rPr>
                <w:rFonts w:asciiTheme="majorHAnsi" w:hAnsiTheme="majorHAnsi" w:cstheme="majorHAnsi"/>
                <w:sz w:val="17"/>
                <w:szCs w:val="17"/>
              </w:rPr>
              <w:t>capacity holders will continue to have the right to renominate against their contracted capacity and will also retain any imbalance allowance associated with the firm capacity</w:t>
            </w:r>
            <w:r w:rsidRPr="00944EC7">
              <w:rPr>
                <w:rFonts w:asciiTheme="majorHAnsi" w:hAnsiTheme="majorHAnsi" w:cstheme="majorHAnsi"/>
                <w:sz w:val="17"/>
                <w:szCs w:val="17"/>
              </w:rPr>
              <w:t>.</w:t>
            </w:r>
          </w:p>
        </w:tc>
      </w:tr>
      <w:tr w:rsidR="000204F6" w:rsidRPr="00944EC7" w14:paraId="3F9031CE" w14:textId="77777777" w:rsidTr="00944EC7">
        <w:tc>
          <w:tcPr>
            <w:tcW w:w="573" w:type="pct"/>
            <w:shd w:val="clear" w:color="auto" w:fill="auto"/>
          </w:tcPr>
          <w:p w14:paraId="44C69B1C" w14:textId="77777777" w:rsidR="000204F6" w:rsidRPr="00944EC7" w:rsidRDefault="000204F6" w:rsidP="00C56043">
            <w:pPr>
              <w:pStyle w:val="TableBodyText"/>
              <w:spacing w:before="40" w:after="20"/>
              <w:rPr>
                <w:b/>
                <w:sz w:val="17"/>
                <w:szCs w:val="17"/>
                <w:lang w:eastAsia="fr-CA"/>
              </w:rPr>
            </w:pPr>
            <w:r w:rsidRPr="00944EC7">
              <w:rPr>
                <w:b/>
                <w:sz w:val="17"/>
                <w:szCs w:val="17"/>
                <w:lang w:eastAsia="fr-CA"/>
              </w:rPr>
              <w:t>Allocation arrangements</w:t>
            </w:r>
          </w:p>
        </w:tc>
        <w:tc>
          <w:tcPr>
            <w:tcW w:w="4427" w:type="pct"/>
            <w:shd w:val="clear" w:color="auto" w:fill="auto"/>
          </w:tcPr>
          <w:p w14:paraId="1239697A" w14:textId="77777777" w:rsidR="000204F6" w:rsidRPr="00944EC7" w:rsidRDefault="000204F6" w:rsidP="00B21782">
            <w:pPr>
              <w:pStyle w:val="TableBodyText"/>
              <w:spacing w:before="40" w:after="20"/>
              <w:rPr>
                <w:sz w:val="17"/>
                <w:szCs w:val="17"/>
                <w:lang w:eastAsia="fr-CA"/>
              </w:rPr>
            </w:pPr>
            <w:r w:rsidRPr="00944EC7">
              <w:rPr>
                <w:sz w:val="17"/>
                <w:szCs w:val="17"/>
                <w:lang w:eastAsia="fr-CA"/>
              </w:rPr>
              <w:t xml:space="preserve">If a secondary shipper procures capacity through the exchange or auction and wants to use a multi-user receipt or delivery point, it may need to become a party to an allocation agreement at </w:t>
            </w:r>
            <w:r w:rsidR="00B21782" w:rsidRPr="00944EC7">
              <w:rPr>
                <w:sz w:val="17"/>
                <w:szCs w:val="17"/>
                <w:lang w:eastAsia="fr-CA"/>
              </w:rPr>
              <w:t>the point</w:t>
            </w:r>
            <w:r w:rsidRPr="00944EC7">
              <w:rPr>
                <w:sz w:val="17"/>
                <w:szCs w:val="17"/>
                <w:lang w:eastAsia="fr-CA"/>
              </w:rPr>
              <w:t xml:space="preserve">. </w:t>
            </w:r>
            <w:r w:rsidR="006308FB" w:rsidRPr="00944EC7">
              <w:rPr>
                <w:sz w:val="17"/>
                <w:szCs w:val="17"/>
                <w:lang w:eastAsia="fr-CA"/>
              </w:rPr>
              <w:t xml:space="preserve">Allocation arrangements </w:t>
            </w:r>
            <w:r w:rsidRPr="00944EC7">
              <w:rPr>
                <w:sz w:val="17"/>
                <w:szCs w:val="17"/>
                <w:lang w:eastAsia="fr-CA"/>
              </w:rPr>
              <w:t xml:space="preserve">set out the </w:t>
            </w:r>
            <w:r w:rsidRPr="00944EC7">
              <w:rPr>
                <w:sz w:val="17"/>
                <w:szCs w:val="17"/>
              </w:rPr>
              <w:t>rules the allocation agent is required to use to allocate gas between shippers at the receipt or delivery point.</w:t>
            </w:r>
          </w:p>
        </w:tc>
      </w:tr>
      <w:tr w:rsidR="000204F6" w:rsidRPr="00944EC7" w14:paraId="573575A0" w14:textId="77777777" w:rsidTr="00944EC7">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573" w:type="pct"/>
            <w:shd w:val="clear" w:color="auto" w:fill="auto"/>
          </w:tcPr>
          <w:p w14:paraId="19D3866D" w14:textId="77777777" w:rsidR="000204F6" w:rsidRPr="00944EC7" w:rsidRDefault="000204F6" w:rsidP="00DA16AB">
            <w:pPr>
              <w:pStyle w:val="TableBodyText"/>
              <w:spacing w:before="20" w:after="20"/>
              <w:rPr>
                <w:b/>
                <w:sz w:val="17"/>
                <w:szCs w:val="17"/>
                <w:lang w:eastAsia="fr-CA"/>
              </w:rPr>
            </w:pPr>
            <w:r w:rsidRPr="00944EC7">
              <w:rPr>
                <w:b/>
                <w:sz w:val="17"/>
                <w:szCs w:val="17"/>
                <w:lang w:eastAsia="fr-CA"/>
              </w:rPr>
              <w:t>Other services</w:t>
            </w:r>
          </w:p>
        </w:tc>
        <w:tc>
          <w:tcPr>
            <w:tcW w:w="4427" w:type="pct"/>
            <w:shd w:val="clear" w:color="auto" w:fill="auto"/>
          </w:tcPr>
          <w:p w14:paraId="62D8CE39" w14:textId="77777777" w:rsidR="000204F6" w:rsidRPr="00944EC7" w:rsidRDefault="000204F6" w:rsidP="00DA16AB">
            <w:pPr>
              <w:pStyle w:val="TableBodyText"/>
              <w:spacing w:before="20" w:after="20"/>
              <w:rPr>
                <w:sz w:val="17"/>
                <w:szCs w:val="17"/>
                <w:lang w:eastAsia="fr-CA"/>
              </w:rPr>
            </w:pPr>
            <w:r w:rsidRPr="00944EC7">
              <w:rPr>
                <w:sz w:val="17"/>
                <w:szCs w:val="17"/>
                <w:lang w:eastAsia="fr-CA"/>
              </w:rPr>
              <w:t xml:space="preserve">In some cases, a secondary shipper may also require: </w:t>
            </w:r>
          </w:p>
          <w:p w14:paraId="326C5D9D" w14:textId="77777777" w:rsidR="000204F6" w:rsidRPr="00944EC7" w:rsidRDefault="000204F6" w:rsidP="00DA16AB">
            <w:pPr>
              <w:pStyle w:val="TableBullet1"/>
              <w:spacing w:before="20" w:after="20"/>
              <w:rPr>
                <w:sz w:val="17"/>
                <w:szCs w:val="17"/>
                <w:lang w:eastAsia="fr-CA"/>
              </w:rPr>
            </w:pPr>
            <w:r w:rsidRPr="00944EC7">
              <w:rPr>
                <w:sz w:val="17"/>
                <w:szCs w:val="17"/>
                <w:lang w:eastAsia="fr-CA"/>
              </w:rPr>
              <w:t>access to other transportation services that are not available on the exchange or through the auction</w:t>
            </w:r>
            <w:r w:rsidR="00B21782" w:rsidRPr="00944EC7">
              <w:rPr>
                <w:sz w:val="17"/>
                <w:szCs w:val="17"/>
                <w:lang w:eastAsia="fr-CA"/>
              </w:rPr>
              <w:t>. For</w:t>
            </w:r>
            <w:r w:rsidRPr="00944EC7">
              <w:rPr>
                <w:sz w:val="17"/>
                <w:szCs w:val="17"/>
                <w:lang w:eastAsia="fr-CA"/>
              </w:rPr>
              <w:t xml:space="preserve"> example, in some locations a shipper will require redirection services or may want additional hourly or imbalance flexibility than what is provided for in the standard services</w:t>
            </w:r>
            <w:r w:rsidR="00B21782" w:rsidRPr="00944EC7">
              <w:rPr>
                <w:sz w:val="17"/>
                <w:szCs w:val="17"/>
                <w:lang w:eastAsia="fr-CA"/>
              </w:rPr>
              <w:t>.</w:t>
            </w:r>
            <w:r w:rsidRPr="00944EC7">
              <w:rPr>
                <w:sz w:val="17"/>
                <w:szCs w:val="17"/>
                <w:lang w:eastAsia="fr-CA"/>
              </w:rPr>
              <w:t xml:space="preserve"> </w:t>
            </w:r>
            <w:r w:rsidR="00B21782" w:rsidRPr="00944EC7">
              <w:rPr>
                <w:sz w:val="17"/>
                <w:szCs w:val="17"/>
                <w:lang w:eastAsia="fr-CA"/>
              </w:rPr>
              <w:t>The shipper</w:t>
            </w:r>
            <w:r w:rsidRPr="00944EC7">
              <w:rPr>
                <w:sz w:val="17"/>
                <w:szCs w:val="17"/>
                <w:lang w:eastAsia="fr-CA"/>
              </w:rPr>
              <w:t xml:space="preserve"> will need to enter into arrangements with the relevant </w:t>
            </w:r>
            <w:r w:rsidR="006308FB" w:rsidRPr="00944EC7">
              <w:rPr>
                <w:sz w:val="17"/>
                <w:szCs w:val="17"/>
                <w:lang w:eastAsia="fr-CA"/>
              </w:rPr>
              <w:t xml:space="preserve">transportation </w:t>
            </w:r>
            <w:r w:rsidRPr="00944EC7">
              <w:rPr>
                <w:sz w:val="17"/>
                <w:szCs w:val="17"/>
                <w:lang w:eastAsia="fr-CA"/>
              </w:rPr>
              <w:t>service provider (or other shippers using that facility) for those services; and</w:t>
            </w:r>
          </w:p>
          <w:p w14:paraId="02502203" w14:textId="77777777" w:rsidR="000204F6" w:rsidRPr="00944EC7" w:rsidRDefault="000204F6" w:rsidP="00DA16AB">
            <w:pPr>
              <w:pStyle w:val="TableBullet1"/>
              <w:spacing w:before="20" w:after="20"/>
              <w:rPr>
                <w:sz w:val="17"/>
                <w:szCs w:val="17"/>
                <w:lang w:eastAsia="fr-CA"/>
              </w:rPr>
            </w:pPr>
            <w:r w:rsidRPr="00944EC7">
              <w:rPr>
                <w:sz w:val="17"/>
                <w:szCs w:val="17"/>
                <w:lang w:eastAsia="fr-CA"/>
              </w:rPr>
              <w:t>access to a receipt or delivery point that is controlled by a third party and will need to enter into arrangements with that party to use those points.</w:t>
            </w:r>
          </w:p>
        </w:tc>
      </w:tr>
    </w:tbl>
    <w:p w14:paraId="38EE5F3B" w14:textId="77777777" w:rsidR="000204F6" w:rsidRPr="000204F6" w:rsidRDefault="000204F6" w:rsidP="000204F6">
      <w:pPr>
        <w:pStyle w:val="BodyText"/>
        <w:spacing w:before="0" w:after="0"/>
        <w:rPr>
          <w:rFonts w:asciiTheme="majorHAnsi" w:hAnsiTheme="majorHAnsi" w:cstheme="majorHAnsi"/>
          <w:sz w:val="2"/>
          <w:szCs w:val="2"/>
        </w:rPr>
      </w:pPr>
    </w:p>
    <w:p w14:paraId="2BC83EB0" w14:textId="77777777" w:rsidR="000204F6" w:rsidRPr="000204F6" w:rsidRDefault="000204F6" w:rsidP="000204F6">
      <w:pPr>
        <w:pStyle w:val="BodyText"/>
        <w:spacing w:before="0" w:after="0"/>
        <w:rPr>
          <w:rFonts w:asciiTheme="majorHAnsi" w:hAnsiTheme="majorHAnsi" w:cstheme="majorHAnsi"/>
          <w:sz w:val="2"/>
          <w:szCs w:val="2"/>
        </w:rPr>
        <w:sectPr w:rsidR="000204F6" w:rsidRPr="000204F6" w:rsidSect="000204F6">
          <w:pgSz w:w="16839" w:h="11907" w:orient="landscape" w:code="9"/>
          <w:pgMar w:top="1701" w:right="1418" w:bottom="1135" w:left="1701" w:header="425" w:footer="397" w:gutter="0"/>
          <w:cols w:space="708"/>
          <w:docGrid w:linePitch="360"/>
        </w:sectPr>
      </w:pPr>
    </w:p>
    <w:p w14:paraId="3C19C120" w14:textId="77777777" w:rsidR="00573A0A" w:rsidRDefault="00200CAD" w:rsidP="006E5162">
      <w:pPr>
        <w:pStyle w:val="Heading1"/>
        <w:keepLines w:val="0"/>
        <w:pageBreakBefore/>
        <w:spacing w:before="0" w:after="0"/>
      </w:pPr>
      <w:bookmarkStart w:id="44" w:name="_Toc530546457"/>
      <w:r>
        <w:lastRenderedPageBreak/>
        <w:t xml:space="preserve">Legal and regulatory </w:t>
      </w:r>
      <w:r w:rsidR="00573A0A">
        <w:t>framework</w:t>
      </w:r>
      <w:bookmarkEnd w:id="44"/>
      <w:r w:rsidR="00573A0A">
        <w:t xml:space="preserve"> </w:t>
      </w:r>
    </w:p>
    <w:p w14:paraId="4312C4A3" w14:textId="77777777" w:rsidR="00573A0A" w:rsidRDefault="00573A0A" w:rsidP="00AA7AFE">
      <w:pPr>
        <w:pStyle w:val="BodyText"/>
      </w:pPr>
      <w:r>
        <w:t xml:space="preserve">The legal and regulatory framework required to give effect to the capacity trading reform package </w:t>
      </w:r>
      <w:r w:rsidR="00C56043">
        <w:t xml:space="preserve">(see </w:t>
      </w:r>
      <w:r w:rsidR="004B5A80" w:rsidRPr="00FC4FD0">
        <w:t>Figure 1.1</w:t>
      </w:r>
      <w:r w:rsidR="00C56043">
        <w:t>)</w:t>
      </w:r>
      <w:r w:rsidR="004B5A80">
        <w:t xml:space="preserve"> </w:t>
      </w:r>
      <w:r>
        <w:t>comprises:</w:t>
      </w:r>
    </w:p>
    <w:p w14:paraId="420E7D27" w14:textId="77777777" w:rsidR="00573A0A" w:rsidRPr="00CF72C1" w:rsidRDefault="00573A0A" w:rsidP="004B5A80">
      <w:pPr>
        <w:pStyle w:val="ListBullet"/>
        <w:spacing w:line="252" w:lineRule="auto"/>
        <w:ind w:left="357" w:hanging="357"/>
        <w:rPr>
          <w:rFonts w:eastAsiaTheme="minorEastAsia"/>
        </w:rPr>
      </w:pPr>
      <w:r>
        <w:rPr>
          <w:rFonts w:eastAsiaTheme="minorEastAsia"/>
        </w:rPr>
        <w:t xml:space="preserve">changes to the </w:t>
      </w:r>
      <w:r w:rsidRPr="001A60A3">
        <w:rPr>
          <w:rFonts w:eastAsiaTheme="minorEastAsia"/>
          <w:b/>
        </w:rPr>
        <w:t>NGL</w:t>
      </w:r>
      <w:r>
        <w:rPr>
          <w:rFonts w:eastAsiaTheme="minorEastAsia"/>
          <w:b/>
        </w:rPr>
        <w:t>;</w:t>
      </w:r>
    </w:p>
    <w:p w14:paraId="40E41623" w14:textId="77777777" w:rsidR="00573A0A" w:rsidRPr="00CF72C1" w:rsidRDefault="00573A0A" w:rsidP="004B5A80">
      <w:pPr>
        <w:pStyle w:val="ListBullet"/>
        <w:spacing w:line="252" w:lineRule="auto"/>
        <w:ind w:left="357" w:hanging="357"/>
        <w:rPr>
          <w:rFonts w:eastAsiaTheme="minorEastAsia"/>
        </w:rPr>
      </w:pPr>
      <w:r>
        <w:rPr>
          <w:rFonts w:eastAsiaTheme="minorEastAsia"/>
        </w:rPr>
        <w:t xml:space="preserve">changes to the </w:t>
      </w:r>
      <w:r w:rsidRPr="001A60A3">
        <w:rPr>
          <w:rFonts w:eastAsiaTheme="minorEastAsia"/>
          <w:b/>
        </w:rPr>
        <w:t>Regulations</w:t>
      </w:r>
      <w:r>
        <w:rPr>
          <w:rFonts w:eastAsiaTheme="minorEastAsia"/>
          <w:b/>
        </w:rPr>
        <w:t>;</w:t>
      </w:r>
    </w:p>
    <w:p w14:paraId="093215CF" w14:textId="77777777" w:rsidR="00573A0A" w:rsidRDefault="00573A0A" w:rsidP="004B5A80">
      <w:pPr>
        <w:pStyle w:val="ListBullet"/>
        <w:spacing w:line="252" w:lineRule="auto"/>
        <w:ind w:left="357" w:hanging="357"/>
        <w:rPr>
          <w:rFonts w:eastAsiaTheme="minorEastAsia"/>
        </w:rPr>
      </w:pPr>
      <w:r>
        <w:rPr>
          <w:rFonts w:eastAsiaTheme="minorEastAsia"/>
        </w:rPr>
        <w:t xml:space="preserve">changes to the </w:t>
      </w:r>
      <w:r w:rsidRPr="001A60A3">
        <w:rPr>
          <w:rFonts w:eastAsiaTheme="minorEastAsia"/>
          <w:b/>
        </w:rPr>
        <w:t>NGR</w:t>
      </w:r>
      <w:r>
        <w:rPr>
          <w:rFonts w:eastAsiaTheme="minorEastAsia"/>
        </w:rPr>
        <w:t xml:space="preserve">; </w:t>
      </w:r>
    </w:p>
    <w:p w14:paraId="617B588D" w14:textId="77777777" w:rsidR="00573A0A" w:rsidRDefault="00573A0A" w:rsidP="004B5A80">
      <w:pPr>
        <w:pStyle w:val="ListBullet"/>
        <w:spacing w:line="252" w:lineRule="auto"/>
        <w:ind w:left="357" w:hanging="357"/>
        <w:rPr>
          <w:rFonts w:eastAsiaTheme="minorEastAsia"/>
        </w:rPr>
      </w:pPr>
      <w:r>
        <w:rPr>
          <w:rFonts w:eastAsiaTheme="minorEastAsia"/>
        </w:rPr>
        <w:t xml:space="preserve">a new regulatory instrument, the </w:t>
      </w:r>
      <w:r w:rsidRPr="00CF72C1">
        <w:rPr>
          <w:rFonts w:eastAsiaTheme="minorEastAsia"/>
          <w:b/>
        </w:rPr>
        <w:t>Code</w:t>
      </w:r>
      <w:r>
        <w:rPr>
          <w:rFonts w:eastAsiaTheme="minorEastAsia"/>
        </w:rPr>
        <w:t>; and</w:t>
      </w:r>
    </w:p>
    <w:p w14:paraId="5400F575" w14:textId="77777777" w:rsidR="00C56043" w:rsidRDefault="00573A0A" w:rsidP="00C56043">
      <w:pPr>
        <w:pStyle w:val="ListBullet"/>
        <w:spacing w:line="252" w:lineRule="auto"/>
        <w:ind w:left="357" w:hanging="357"/>
        <w:rPr>
          <w:rFonts w:eastAsiaTheme="minorEastAsia"/>
        </w:rPr>
      </w:pPr>
      <w:r>
        <w:rPr>
          <w:rFonts w:eastAsiaTheme="minorEastAsia"/>
        </w:rPr>
        <w:t>a number of subordinate instruments that</w:t>
      </w:r>
      <w:r w:rsidR="00C56043">
        <w:rPr>
          <w:rFonts w:eastAsiaTheme="minorEastAsia"/>
        </w:rPr>
        <w:t>:</w:t>
      </w:r>
    </w:p>
    <w:p w14:paraId="43D57A59" w14:textId="77777777" w:rsidR="00C56043" w:rsidRDefault="00C56043" w:rsidP="00C56043">
      <w:pPr>
        <w:pStyle w:val="ListBullet2"/>
        <w:rPr>
          <w:rFonts w:eastAsiaTheme="minorEastAsia"/>
        </w:rPr>
      </w:pPr>
      <w:r>
        <w:rPr>
          <w:rFonts w:eastAsiaTheme="minorEastAsia"/>
        </w:rPr>
        <w:t xml:space="preserve">AEMO </w:t>
      </w:r>
      <w:r w:rsidR="00203FBE">
        <w:rPr>
          <w:rFonts w:eastAsiaTheme="minorEastAsia"/>
        </w:rPr>
        <w:t xml:space="preserve">will need to </w:t>
      </w:r>
      <w:r>
        <w:rPr>
          <w:rFonts w:eastAsiaTheme="minorEastAsia"/>
        </w:rPr>
        <w:t xml:space="preserve">either make </w:t>
      </w:r>
      <w:r w:rsidR="00203FBE" w:rsidRPr="00C56043">
        <w:rPr>
          <w:rFonts w:eastAsiaTheme="minorEastAsia"/>
        </w:rPr>
        <w:t xml:space="preserve">(e.g. the </w:t>
      </w:r>
      <w:r w:rsidR="00201550">
        <w:t>CT&amp;A Procedures</w:t>
      </w:r>
      <w:r w:rsidR="00201550" w:rsidRPr="00C56043">
        <w:rPr>
          <w:rFonts w:eastAsiaTheme="minorEastAsia"/>
        </w:rPr>
        <w:t xml:space="preserve"> </w:t>
      </w:r>
      <w:r w:rsidR="00203FBE" w:rsidRPr="00C56043">
        <w:rPr>
          <w:rFonts w:eastAsiaTheme="minorEastAsia"/>
        </w:rPr>
        <w:t xml:space="preserve">and </w:t>
      </w:r>
      <w:r>
        <w:rPr>
          <w:rFonts w:eastAsiaTheme="minorEastAsia"/>
        </w:rPr>
        <w:t>standard a</w:t>
      </w:r>
      <w:r w:rsidR="00203FBE" w:rsidRPr="00C56043">
        <w:rPr>
          <w:rFonts w:eastAsiaTheme="minorEastAsia"/>
        </w:rPr>
        <w:t xml:space="preserve">uction </w:t>
      </w:r>
      <w:r>
        <w:rPr>
          <w:rFonts w:eastAsiaTheme="minorEastAsia"/>
        </w:rPr>
        <w:t>a</w:t>
      </w:r>
      <w:r w:rsidR="00203FBE" w:rsidRPr="00C56043">
        <w:rPr>
          <w:rFonts w:eastAsiaTheme="minorEastAsia"/>
        </w:rPr>
        <w:t>greement) or amend (</w:t>
      </w:r>
      <w:r>
        <w:rPr>
          <w:rFonts w:eastAsiaTheme="minorEastAsia"/>
        </w:rPr>
        <w:t>e.</w:t>
      </w:r>
      <w:r w:rsidR="00203FBE" w:rsidRPr="00C56043">
        <w:rPr>
          <w:rFonts w:eastAsiaTheme="minorEastAsia"/>
        </w:rPr>
        <w:t xml:space="preserve">g. the </w:t>
      </w:r>
      <w:r w:rsidR="00B21782">
        <w:rPr>
          <w:rFonts w:eastAsiaTheme="minorEastAsia"/>
        </w:rPr>
        <w:t>E</w:t>
      </w:r>
      <w:r w:rsidR="00203FBE" w:rsidRPr="00C56043">
        <w:rPr>
          <w:rFonts w:eastAsiaTheme="minorEastAsia"/>
        </w:rPr>
        <w:t xml:space="preserve">xchange </w:t>
      </w:r>
      <w:r w:rsidR="001C0DCA">
        <w:rPr>
          <w:rFonts w:eastAsiaTheme="minorEastAsia"/>
        </w:rPr>
        <w:t>A</w:t>
      </w:r>
      <w:r w:rsidR="00203FBE" w:rsidRPr="00C56043">
        <w:rPr>
          <w:rFonts w:eastAsiaTheme="minorEastAsia"/>
        </w:rPr>
        <w:t xml:space="preserve">greement and the </w:t>
      </w:r>
      <w:r>
        <w:rPr>
          <w:rFonts w:eastAsiaTheme="minorEastAsia"/>
        </w:rPr>
        <w:t xml:space="preserve">Bulletin Board </w:t>
      </w:r>
      <w:r w:rsidR="00203FBE" w:rsidRPr="00C56043">
        <w:rPr>
          <w:rFonts w:eastAsiaTheme="minorEastAsia"/>
        </w:rPr>
        <w:t>Procedures)</w:t>
      </w:r>
      <w:r>
        <w:rPr>
          <w:rFonts w:eastAsiaTheme="minorEastAsia"/>
        </w:rPr>
        <w:t xml:space="preserve">; and </w:t>
      </w:r>
    </w:p>
    <w:p w14:paraId="6FC370EF" w14:textId="77777777" w:rsidR="004B5A80" w:rsidRPr="00C56043" w:rsidRDefault="00C56043" w:rsidP="00C56043">
      <w:pPr>
        <w:pStyle w:val="ListBullet2"/>
        <w:rPr>
          <w:rFonts w:eastAsiaTheme="minorEastAsia"/>
        </w:rPr>
      </w:pPr>
      <w:r>
        <w:rPr>
          <w:rFonts w:eastAsiaTheme="minorEastAsia"/>
        </w:rPr>
        <w:t>the AER will need to make (e.g. the record keeping guidelines)</w:t>
      </w:r>
      <w:r w:rsidR="004B5A80" w:rsidRPr="00C56043">
        <w:rPr>
          <w:rFonts w:eastAsiaTheme="minorEastAsia"/>
        </w:rPr>
        <w:t>.</w:t>
      </w:r>
    </w:p>
    <w:p w14:paraId="37D08167" w14:textId="77777777" w:rsidR="004B5A80" w:rsidRPr="008F40F6" w:rsidRDefault="00B21782" w:rsidP="004B5A80">
      <w:pPr>
        <w:pStyle w:val="BodyText"/>
      </w:pPr>
      <w:r>
        <w:t>This</w:t>
      </w:r>
      <w:r w:rsidR="004B5A80">
        <w:t xml:space="preserve"> chapter provides a brief overview of these legal and regulatory instruments, the governance arrangements that will apply to these instruments and the new functions and powers the AEMC, AEMO and the AER will have under the reform package. </w:t>
      </w:r>
    </w:p>
    <w:p w14:paraId="55011A91" w14:textId="77777777" w:rsidR="004B5A80" w:rsidRDefault="004B5A80" w:rsidP="004B5A80">
      <w:pPr>
        <w:pStyle w:val="Heading2"/>
        <w:spacing w:before="200" w:after="120"/>
      </w:pPr>
      <w:bookmarkStart w:id="45" w:name="_Toc509239427"/>
      <w:bookmarkStart w:id="46" w:name="_Toc530546458"/>
      <w:r>
        <w:t>Legal and regulatory instruments</w:t>
      </w:r>
      <w:bookmarkEnd w:id="45"/>
      <w:bookmarkEnd w:id="46"/>
      <w:r>
        <w:t xml:space="preserve"> </w:t>
      </w:r>
    </w:p>
    <w:p w14:paraId="266517D3" w14:textId="77777777" w:rsidR="004B5A80" w:rsidRDefault="004B5A80" w:rsidP="00203FBE">
      <w:pPr>
        <w:pStyle w:val="BodyText"/>
        <w:spacing w:after="240"/>
      </w:pPr>
      <w:r>
        <w:t xml:space="preserve">The table below provides </w:t>
      </w:r>
      <w:r w:rsidR="00203FBE">
        <w:t xml:space="preserve">an overview of the key </w:t>
      </w:r>
      <w:r>
        <w:t xml:space="preserve">changes that have been made to the NGL, Regulations, NGR and the key elements of the Code. </w:t>
      </w:r>
    </w:p>
    <w:p w14:paraId="0F4FC9C1" w14:textId="09B154F6" w:rsidR="00203FBE" w:rsidRDefault="00203FBE" w:rsidP="00203FBE">
      <w:pPr>
        <w:pStyle w:val="Caption"/>
        <w:spacing w:before="120" w:after="0"/>
      </w:pPr>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3</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r>
        <w:t>: Overview of changes to the legal and regulatory framework</w:t>
      </w:r>
    </w:p>
    <w:tbl>
      <w:tblPr>
        <w:tblStyle w:val="TableGrid"/>
        <w:tblW w:w="5242" w:type="pct"/>
        <w:tblLook w:val="06A0" w:firstRow="1" w:lastRow="0" w:firstColumn="1" w:lastColumn="0" w:noHBand="1" w:noVBand="1"/>
        <w:tblCaption w:val="Key terms"/>
        <w:tblDescription w:val="Key terms used in legal and regulatory framework"/>
      </w:tblPr>
      <w:tblGrid>
        <w:gridCol w:w="1843"/>
        <w:gridCol w:w="7370"/>
      </w:tblGrid>
      <w:tr w:rsidR="00203FBE" w14:paraId="0C1012B5" w14:textId="77777777" w:rsidTr="00873F54">
        <w:trPr>
          <w:cnfStyle w:val="100000000000" w:firstRow="1" w:lastRow="0" w:firstColumn="0" w:lastColumn="0" w:oddVBand="0" w:evenVBand="0" w:oddHBand="0" w:evenHBand="0" w:firstRowFirstColumn="0" w:firstRowLastColumn="0" w:lastRowFirstColumn="0" w:lastRowLastColumn="0"/>
          <w:cantSplit/>
          <w:tblHeader/>
        </w:trPr>
        <w:tc>
          <w:tcPr>
            <w:tcW w:w="1000" w:type="pct"/>
            <w:tcBorders>
              <w:bottom w:val="single" w:sz="4" w:space="0" w:color="auto"/>
            </w:tcBorders>
            <w:shd w:val="clear" w:color="auto" w:fill="0099CC"/>
            <w:hideMark/>
          </w:tcPr>
          <w:p w14:paraId="02FBAB43" w14:textId="77777777" w:rsidR="00203FBE" w:rsidRDefault="00203FBE" w:rsidP="00873F54">
            <w:pPr>
              <w:pStyle w:val="TableHeading"/>
            </w:pPr>
            <w:r>
              <w:t>Instrument</w:t>
            </w:r>
          </w:p>
        </w:tc>
        <w:tc>
          <w:tcPr>
            <w:tcW w:w="4000" w:type="pct"/>
            <w:tcBorders>
              <w:bottom w:val="single" w:sz="4" w:space="0" w:color="auto"/>
            </w:tcBorders>
            <w:shd w:val="clear" w:color="auto" w:fill="0099CC"/>
            <w:hideMark/>
          </w:tcPr>
          <w:p w14:paraId="0BE5DB05" w14:textId="77777777" w:rsidR="00203FBE" w:rsidRDefault="00203FBE" w:rsidP="00873F54">
            <w:pPr>
              <w:pStyle w:val="TableHeading"/>
            </w:pPr>
            <w:r>
              <w:t>Change</w:t>
            </w:r>
          </w:p>
        </w:tc>
      </w:tr>
      <w:tr w:rsidR="00203FBE" w14:paraId="05184A6D" w14:textId="77777777" w:rsidTr="005D2520">
        <w:trPr>
          <w:cantSplit/>
        </w:trPr>
        <w:tc>
          <w:tcPr>
            <w:tcW w:w="1000" w:type="pct"/>
            <w:tcBorders>
              <w:bottom w:val="single" w:sz="4" w:space="0" w:color="auto"/>
            </w:tcBorders>
          </w:tcPr>
          <w:p w14:paraId="5FAA6396" w14:textId="77777777" w:rsidR="00203FBE" w:rsidRPr="00203FBE" w:rsidRDefault="00203FBE" w:rsidP="00873F54">
            <w:pPr>
              <w:pStyle w:val="TableBodyText"/>
              <w:rPr>
                <w:b/>
              </w:rPr>
            </w:pPr>
            <w:r>
              <w:rPr>
                <w:b/>
              </w:rPr>
              <w:t>NGL</w:t>
            </w:r>
          </w:p>
        </w:tc>
        <w:tc>
          <w:tcPr>
            <w:tcW w:w="4000" w:type="pct"/>
            <w:tcBorders>
              <w:bottom w:val="single" w:sz="4" w:space="0" w:color="auto"/>
            </w:tcBorders>
          </w:tcPr>
          <w:p w14:paraId="26BB6B21" w14:textId="77777777" w:rsidR="00203FBE" w:rsidRDefault="00203FBE" w:rsidP="00203FBE">
            <w:pPr>
              <w:pStyle w:val="TableBodyText"/>
            </w:pPr>
            <w:r w:rsidRPr="006E2A68">
              <w:t xml:space="preserve">Changes to the NGL </w:t>
            </w:r>
            <w:r>
              <w:t xml:space="preserve">have been made </w:t>
            </w:r>
            <w:r w:rsidRPr="006E2A68">
              <w:t>to</w:t>
            </w:r>
            <w:r>
              <w:t>:</w:t>
            </w:r>
          </w:p>
          <w:p w14:paraId="7F09AAAD" w14:textId="77777777" w:rsidR="00203FBE" w:rsidRDefault="00203FBE" w:rsidP="00203FBE">
            <w:pPr>
              <w:pStyle w:val="TableBullet1"/>
            </w:pPr>
            <w:r>
              <w:t>extend the subject matter of the NGR to include provisions relating to the capacity trading reform package;</w:t>
            </w:r>
          </w:p>
          <w:p w14:paraId="30E598F3" w14:textId="77777777" w:rsidR="00203FBE" w:rsidRDefault="00203FBE" w:rsidP="00203FBE">
            <w:pPr>
              <w:pStyle w:val="TableBullet1"/>
            </w:pPr>
            <w:r>
              <w:t xml:space="preserve">set out the new functions and powers of </w:t>
            </w:r>
            <w:r w:rsidR="00873F54">
              <w:t xml:space="preserve">the AEMC, </w:t>
            </w:r>
            <w:r>
              <w:t>AEMO and the AER;</w:t>
            </w:r>
          </w:p>
          <w:p w14:paraId="73295D8B" w14:textId="77777777" w:rsidR="00203FBE" w:rsidRDefault="00203FBE" w:rsidP="00203FBE">
            <w:pPr>
              <w:pStyle w:val="TableBullet1"/>
            </w:pPr>
            <w:r>
              <w:t xml:space="preserve">allow AEMO to make the </w:t>
            </w:r>
            <w:r w:rsidR="00201550">
              <w:t>CT&amp;A Procedures</w:t>
            </w:r>
            <w:r>
              <w:t>;</w:t>
            </w:r>
          </w:p>
          <w:p w14:paraId="14F69157" w14:textId="77777777" w:rsidR="00203FBE" w:rsidRDefault="00203FBE" w:rsidP="00203FBE">
            <w:pPr>
              <w:pStyle w:val="TableBullet1"/>
            </w:pPr>
            <w:r>
              <w:t xml:space="preserve">specify the obligations transportation service providers and other market participants will be subject to under the NGL to support </w:t>
            </w:r>
            <w:r w:rsidR="008865F2">
              <w:t xml:space="preserve">the </w:t>
            </w:r>
            <w:r>
              <w:t>capacity trading</w:t>
            </w:r>
            <w:r w:rsidR="008865F2">
              <w:t xml:space="preserve"> reform package</w:t>
            </w:r>
            <w:r>
              <w:t xml:space="preserve">; </w:t>
            </w:r>
          </w:p>
          <w:p w14:paraId="52326330" w14:textId="77777777" w:rsidR="00203FBE" w:rsidRDefault="00203FBE" w:rsidP="00203FBE">
            <w:pPr>
              <w:pStyle w:val="TableBullet1"/>
            </w:pPr>
            <w:r>
              <w:t xml:space="preserve">establish the legal framework for various aspects of the capacity trading reform package (e.g. the day-ahead auction, Code and </w:t>
            </w:r>
            <w:r w:rsidR="00873F54">
              <w:t>standard market timetable</w:t>
            </w:r>
            <w:r>
              <w:t>)</w:t>
            </w:r>
            <w:r w:rsidR="008865F2">
              <w:t>; and</w:t>
            </w:r>
          </w:p>
          <w:p w14:paraId="72140532" w14:textId="77777777" w:rsidR="008865F2" w:rsidRDefault="008865F2" w:rsidP="00203FBE">
            <w:pPr>
              <w:pStyle w:val="TableBullet1"/>
            </w:pPr>
            <w:r>
              <w:t>include a number of transitional immunities to support the capacity trading reform package.</w:t>
            </w:r>
          </w:p>
        </w:tc>
      </w:tr>
      <w:tr w:rsidR="00203FBE" w14:paraId="2376DD59" w14:textId="77777777" w:rsidTr="005D2520">
        <w:trPr>
          <w:cantSplit/>
        </w:trPr>
        <w:tc>
          <w:tcPr>
            <w:tcW w:w="1000" w:type="pct"/>
            <w:shd w:val="clear" w:color="auto" w:fill="E1E2E7" w:themeFill="background2"/>
          </w:tcPr>
          <w:p w14:paraId="0FEBE36F" w14:textId="77777777" w:rsidR="00203FBE" w:rsidRPr="00203FBE" w:rsidRDefault="00203FBE" w:rsidP="00873F54">
            <w:pPr>
              <w:pStyle w:val="TableBodyText"/>
              <w:rPr>
                <w:b/>
              </w:rPr>
            </w:pPr>
            <w:r>
              <w:rPr>
                <w:b/>
              </w:rPr>
              <w:t>Regulations</w:t>
            </w:r>
          </w:p>
        </w:tc>
        <w:tc>
          <w:tcPr>
            <w:tcW w:w="4000" w:type="pct"/>
            <w:shd w:val="clear" w:color="auto" w:fill="E1E2E7" w:themeFill="background2"/>
          </w:tcPr>
          <w:p w14:paraId="6780D6C3" w14:textId="77777777" w:rsidR="008865F2" w:rsidRDefault="00203FBE" w:rsidP="00873F54">
            <w:pPr>
              <w:pStyle w:val="TableBodyText"/>
            </w:pPr>
            <w:r>
              <w:t>Changes to the Regulations have been made to</w:t>
            </w:r>
            <w:r w:rsidR="008865F2">
              <w:t>:</w:t>
            </w:r>
            <w:r>
              <w:t xml:space="preserve"> </w:t>
            </w:r>
          </w:p>
          <w:p w14:paraId="54BBF4F1" w14:textId="77777777" w:rsidR="008865F2" w:rsidRDefault="00203FBE" w:rsidP="005D2520">
            <w:pPr>
              <w:pStyle w:val="TableBullet1"/>
            </w:pPr>
            <w:r>
              <w:t xml:space="preserve">specify the </w:t>
            </w:r>
            <w:r w:rsidR="00873F54">
              <w:t xml:space="preserve">provisions in the </w:t>
            </w:r>
            <w:r>
              <w:t>NGL and NGR that will be civil penalty and/or conduct provisions</w:t>
            </w:r>
            <w:r w:rsidR="008865F2">
              <w:t>;</w:t>
            </w:r>
            <w:r>
              <w:t xml:space="preserve"> </w:t>
            </w:r>
          </w:p>
          <w:p w14:paraId="49B0B64A" w14:textId="77777777" w:rsidR="00203FBE" w:rsidRDefault="00203FBE" w:rsidP="005D2520">
            <w:pPr>
              <w:pStyle w:val="TableBullet1"/>
            </w:pPr>
            <w:r>
              <w:t>extend the operation of the liability caps to the new arrangements in the NGL</w:t>
            </w:r>
            <w:r w:rsidR="008865F2">
              <w:t>;</w:t>
            </w:r>
          </w:p>
          <w:p w14:paraId="1B4E0E93" w14:textId="77777777" w:rsidR="005D2520" w:rsidRDefault="005D2520" w:rsidP="005D2520">
            <w:pPr>
              <w:pStyle w:val="TableBullet1"/>
            </w:pPr>
            <w:r>
              <w:t>specify the designated compression service facilities; and</w:t>
            </w:r>
          </w:p>
          <w:p w14:paraId="1C91E124" w14:textId="77777777" w:rsidR="008865F2" w:rsidRDefault="005D2520" w:rsidP="005D2520">
            <w:pPr>
              <w:pStyle w:val="TableBullet1"/>
            </w:pPr>
            <w:r>
              <w:t>provide for a transitional derogation from the day-ahead auction for transportation facilities located wholly or partly in the NT that are declared by the NT Minister in the NT Government Gazette until the date determined by the COAG Energy Council (which can only be made after the fifth anniversary of the commencement of the auction).</w:t>
            </w:r>
          </w:p>
        </w:tc>
      </w:tr>
      <w:tr w:rsidR="00203FBE" w14:paraId="02E93537" w14:textId="77777777" w:rsidTr="005D2520">
        <w:trPr>
          <w:cantSplit/>
        </w:trPr>
        <w:tc>
          <w:tcPr>
            <w:tcW w:w="1000" w:type="pct"/>
            <w:tcBorders>
              <w:bottom w:val="single" w:sz="4" w:space="0" w:color="auto"/>
            </w:tcBorders>
            <w:hideMark/>
          </w:tcPr>
          <w:p w14:paraId="22166CCF" w14:textId="77777777" w:rsidR="00203FBE" w:rsidRPr="00203FBE" w:rsidRDefault="00203FBE" w:rsidP="00873F54">
            <w:pPr>
              <w:pStyle w:val="TableBodyText"/>
              <w:rPr>
                <w:b/>
              </w:rPr>
            </w:pPr>
            <w:r w:rsidRPr="00203FBE">
              <w:rPr>
                <w:b/>
              </w:rPr>
              <w:lastRenderedPageBreak/>
              <w:t>NGR</w:t>
            </w:r>
          </w:p>
        </w:tc>
        <w:tc>
          <w:tcPr>
            <w:tcW w:w="4000" w:type="pct"/>
            <w:tcBorders>
              <w:bottom w:val="single" w:sz="4" w:space="0" w:color="auto"/>
            </w:tcBorders>
            <w:hideMark/>
          </w:tcPr>
          <w:p w14:paraId="515913FF" w14:textId="77777777" w:rsidR="00203FBE" w:rsidRDefault="00203FBE" w:rsidP="00203FBE">
            <w:pPr>
              <w:pStyle w:val="TableBodyText"/>
            </w:pPr>
            <w:r>
              <w:t>C</w:t>
            </w:r>
            <w:r w:rsidRPr="006E2A68">
              <w:t>h</w:t>
            </w:r>
            <w:r>
              <w:t>anges to the NGR have been made to:</w:t>
            </w:r>
          </w:p>
          <w:p w14:paraId="6160EC76" w14:textId="77777777" w:rsidR="00203FBE" w:rsidRDefault="005D2520" w:rsidP="00203FBE">
            <w:pPr>
              <w:pStyle w:val="TableBullet1"/>
            </w:pPr>
            <w:r>
              <w:t>A</w:t>
            </w:r>
            <w:r w:rsidR="00203FBE" w:rsidRPr="005B28FF">
              <w:t>mend</w:t>
            </w:r>
            <w:r w:rsidR="00203FBE">
              <w:rPr>
                <w:b/>
              </w:rPr>
              <w:t xml:space="preserve"> </w:t>
            </w:r>
            <w:r w:rsidR="00203FBE">
              <w:t>some existing parts of the NGR, including:</w:t>
            </w:r>
          </w:p>
          <w:p w14:paraId="5E5C4800" w14:textId="77777777" w:rsidR="00203FBE" w:rsidRDefault="00203FBE" w:rsidP="00203FBE">
            <w:pPr>
              <w:pStyle w:val="ListBullet2"/>
              <w:ind w:left="714" w:hanging="357"/>
            </w:pPr>
            <w:r>
              <w:t>Part 15A (Registered Participants) – changes to this part of the NGR provide AEMO with some flexibility about how it will recover the capacity trading and auction related costs</w:t>
            </w:r>
            <w:r w:rsidR="00C56043">
              <w:t xml:space="preserve"> it incurs</w:t>
            </w:r>
            <w:r w:rsidR="005D2520">
              <w:t>.</w:t>
            </w:r>
          </w:p>
          <w:p w14:paraId="15431FBD" w14:textId="77777777" w:rsidR="00203FBE" w:rsidRDefault="00203FBE" w:rsidP="00203FBE">
            <w:pPr>
              <w:pStyle w:val="ListBullet2"/>
              <w:ind w:left="714" w:hanging="357"/>
            </w:pPr>
            <w:r>
              <w:t xml:space="preserve">Part 15B (Procedures) – changes to this part of the NGR set out the matters that the </w:t>
            </w:r>
            <w:r w:rsidR="00201550">
              <w:t xml:space="preserve">CT&amp;A Procedures </w:t>
            </w:r>
            <w:r>
              <w:t>can address</w:t>
            </w:r>
            <w:r w:rsidR="005D2520">
              <w:t>.</w:t>
            </w:r>
            <w:r>
              <w:t xml:space="preserve"> </w:t>
            </w:r>
          </w:p>
          <w:p w14:paraId="4B25532D" w14:textId="77777777" w:rsidR="00203FBE" w:rsidRDefault="00203FBE" w:rsidP="00203FBE">
            <w:pPr>
              <w:pStyle w:val="ListBullet2"/>
              <w:ind w:left="714" w:hanging="357"/>
            </w:pPr>
            <w:r>
              <w:t xml:space="preserve">Part 18 (Natural Gas Services Bulletin Board) – changes to this part of the NGR give effect to aspects of the secondary capacity reporting framework and a number of other transparency measures, including those relating to allocation </w:t>
            </w:r>
            <w:r w:rsidR="0067068F">
              <w:t xml:space="preserve">arrangements and auction </w:t>
            </w:r>
            <w:r w:rsidR="00C56043">
              <w:t xml:space="preserve">related </w:t>
            </w:r>
            <w:r w:rsidR="0067068F">
              <w:t>information</w:t>
            </w:r>
            <w:r w:rsidR="005D2520">
              <w:t>.</w:t>
            </w:r>
          </w:p>
          <w:p w14:paraId="71F4C40E" w14:textId="77777777" w:rsidR="00203FBE" w:rsidRDefault="00203FBE" w:rsidP="00203FBE">
            <w:pPr>
              <w:pStyle w:val="ListBullet2"/>
              <w:ind w:left="714" w:hanging="357"/>
            </w:pPr>
            <w:r>
              <w:t>Part 22 (Gas Trading Exchange) – changes to this part of the NGR give effect to some of the proposed features of the capacity trading platform, which will form part of the GSH</w:t>
            </w:r>
            <w:r w:rsidR="005D2520">
              <w:t>.</w:t>
            </w:r>
          </w:p>
          <w:p w14:paraId="56123DB4" w14:textId="77777777" w:rsidR="00203FBE" w:rsidRDefault="005D2520" w:rsidP="00203FBE">
            <w:pPr>
              <w:pStyle w:val="TableBullet1"/>
            </w:pPr>
            <w:r>
              <w:t>I</w:t>
            </w:r>
            <w:r w:rsidR="00203FBE">
              <w:t>nsert the following new parts into the NGR:</w:t>
            </w:r>
          </w:p>
          <w:p w14:paraId="14D5FC88" w14:textId="77777777" w:rsidR="00203FBE" w:rsidRDefault="00203FBE" w:rsidP="00203FBE">
            <w:pPr>
              <w:pStyle w:val="ListBullet2"/>
              <w:ind w:left="714" w:hanging="357"/>
            </w:pPr>
            <w:r>
              <w:t xml:space="preserve">Part 24 (Facilitating Capacity Trades and the Capacity Auction) – this </w:t>
            </w:r>
            <w:r w:rsidR="0045429F">
              <w:t xml:space="preserve">sets out the exemption and registration framework </w:t>
            </w:r>
            <w:r w:rsidR="000949CD">
              <w:t xml:space="preserve">and </w:t>
            </w:r>
            <w:r w:rsidR="004E48A8">
              <w:t>provides for a number of measures to facilitate capacity trading and the day-ahead auction</w:t>
            </w:r>
            <w:r w:rsidR="00C56043">
              <w:t>,</w:t>
            </w:r>
            <w:r w:rsidR="004E48A8">
              <w:t xml:space="preserve"> </w:t>
            </w:r>
            <w:r>
              <w:t xml:space="preserve">including providing for the </w:t>
            </w:r>
            <w:r w:rsidR="004E48A8">
              <w:t xml:space="preserve">development of the </w:t>
            </w:r>
            <w:r>
              <w:t>Code</w:t>
            </w:r>
            <w:r w:rsidR="00C56043">
              <w:t>,</w:t>
            </w:r>
            <w:r w:rsidR="004E48A8">
              <w:t xml:space="preserve"> standard OTSAs</w:t>
            </w:r>
            <w:r w:rsidR="00C56043">
              <w:t>, transaction support arrangements and transportation service providers’ obligations</w:t>
            </w:r>
            <w:r w:rsidR="005D2520">
              <w:t>.</w:t>
            </w:r>
          </w:p>
          <w:p w14:paraId="7045B496" w14:textId="77777777" w:rsidR="00203FBE" w:rsidRDefault="00203FBE" w:rsidP="00203FBE">
            <w:pPr>
              <w:pStyle w:val="ListBullet2"/>
              <w:ind w:left="714" w:hanging="357"/>
            </w:pPr>
            <w:r>
              <w:t>Part 25 (Capacity Auctions) – this sets out the rules pertaining to the day-ahead auction</w:t>
            </w:r>
            <w:r w:rsidR="0067068F">
              <w:t>.</w:t>
            </w:r>
          </w:p>
          <w:p w14:paraId="3D2DCDC3" w14:textId="77777777" w:rsidR="00203FBE" w:rsidRDefault="00203FBE" w:rsidP="00203FBE">
            <w:pPr>
              <w:pStyle w:val="ListBullet2"/>
              <w:ind w:left="714" w:hanging="357"/>
            </w:pPr>
            <w:r>
              <w:t xml:space="preserve">Part 26 (Standard Market Timetable) – this sets out rules relating to the </w:t>
            </w:r>
            <w:r w:rsidR="004E48A8">
              <w:t xml:space="preserve">adoption of a common gas day start time, a common nomination cut-off time for transportation facilities subject to the capacity trading reforms and a common auction service nomination cut-off time for auction </w:t>
            </w:r>
            <w:r w:rsidR="005D2520">
              <w:t>facilities.</w:t>
            </w:r>
          </w:p>
          <w:p w14:paraId="213B81A4" w14:textId="77777777" w:rsidR="00203FBE" w:rsidRDefault="005D2520" w:rsidP="00203FBE">
            <w:pPr>
              <w:pStyle w:val="TableBullet1"/>
            </w:pPr>
            <w:r>
              <w:t>S</w:t>
            </w:r>
            <w:r w:rsidR="00203FBE">
              <w:t xml:space="preserve">pecify a number of transitional rules </w:t>
            </w:r>
            <w:r>
              <w:t>relating to Part 15B, Part 18, Part 24</w:t>
            </w:r>
            <w:r w:rsidR="0067068F">
              <w:t xml:space="preserve">, Part 25 and Part 26 </w:t>
            </w:r>
            <w:r w:rsidR="00203FBE">
              <w:t>in Schedule 5 of the NGR.</w:t>
            </w:r>
          </w:p>
        </w:tc>
      </w:tr>
      <w:tr w:rsidR="00203FBE" w14:paraId="66186A39" w14:textId="77777777" w:rsidTr="005D2520">
        <w:trPr>
          <w:cantSplit/>
        </w:trPr>
        <w:tc>
          <w:tcPr>
            <w:tcW w:w="1000" w:type="pct"/>
            <w:shd w:val="clear" w:color="auto" w:fill="E1E2E7" w:themeFill="background2"/>
          </w:tcPr>
          <w:p w14:paraId="47AB4124" w14:textId="77777777" w:rsidR="00203FBE" w:rsidRPr="00203FBE" w:rsidRDefault="00203FBE" w:rsidP="00873F54">
            <w:pPr>
              <w:pStyle w:val="TableBodyText"/>
              <w:rPr>
                <w:b/>
              </w:rPr>
            </w:pPr>
            <w:r w:rsidRPr="00203FBE">
              <w:rPr>
                <w:b/>
              </w:rPr>
              <w:t>Code</w:t>
            </w:r>
          </w:p>
        </w:tc>
        <w:tc>
          <w:tcPr>
            <w:tcW w:w="4000" w:type="pct"/>
            <w:shd w:val="clear" w:color="auto" w:fill="E1E2E7" w:themeFill="background2"/>
          </w:tcPr>
          <w:p w14:paraId="0FEEEAD5" w14:textId="77777777" w:rsidR="00203FBE" w:rsidRDefault="00203FBE" w:rsidP="00203FBE">
            <w:pPr>
              <w:pStyle w:val="TableBodyText"/>
            </w:pPr>
            <w:r>
              <w:t xml:space="preserve">The </w:t>
            </w:r>
            <w:r w:rsidRPr="00203FBE">
              <w:t>Code</w:t>
            </w:r>
            <w:r>
              <w:rPr>
                <w:b/>
              </w:rPr>
              <w:t xml:space="preserve"> </w:t>
            </w:r>
            <w:r>
              <w:t>is a new instrument that govern</w:t>
            </w:r>
            <w:r w:rsidR="00C56043">
              <w:t>s</w:t>
            </w:r>
            <w:r>
              <w:t xml:space="preserve"> the content of standard form </w:t>
            </w:r>
            <w:r w:rsidR="000949CD">
              <w:t xml:space="preserve">OTSAs </w:t>
            </w:r>
            <w:r>
              <w:t>and contain</w:t>
            </w:r>
            <w:r w:rsidR="000949CD">
              <w:t>s</w:t>
            </w:r>
            <w:r>
              <w:t>:</w:t>
            </w:r>
          </w:p>
          <w:p w14:paraId="5BB3B54F" w14:textId="77777777" w:rsidR="00203FBE" w:rsidRDefault="00203FBE" w:rsidP="00203FBE">
            <w:pPr>
              <w:pStyle w:val="TableBullet1"/>
            </w:pPr>
            <w:r>
              <w:t>a description of each standard operational transportation service;</w:t>
            </w:r>
          </w:p>
          <w:p w14:paraId="183F7FED" w14:textId="77777777" w:rsidR="00203FBE" w:rsidRDefault="00203FBE" w:rsidP="00203FBE">
            <w:pPr>
              <w:pStyle w:val="TableBullet1"/>
            </w:pPr>
            <w:r>
              <w:t>the standard terms and conditions for the provision and use of standard operational transportation services that will apply to all transportation facilities;</w:t>
            </w:r>
          </w:p>
          <w:p w14:paraId="571B73F9" w14:textId="77777777" w:rsidR="00203FBE" w:rsidRDefault="00203FBE" w:rsidP="00203FBE">
            <w:pPr>
              <w:pStyle w:val="TableBullet1"/>
            </w:pPr>
            <w:r>
              <w:t>a description of, and the requirements for, facility specific terms associated with the provision and use of standard operational transportation services, which may differ across facilities; and</w:t>
            </w:r>
          </w:p>
          <w:p w14:paraId="533CFF3B" w14:textId="77777777" w:rsidR="00203FBE" w:rsidRDefault="00203FBE" w:rsidP="00203FBE">
            <w:pPr>
              <w:pStyle w:val="TableBullet1"/>
            </w:pPr>
            <w:r>
              <w:t xml:space="preserve">a form of agreement </w:t>
            </w:r>
            <w:r w:rsidR="00C56043">
              <w:t xml:space="preserve">that can be executed </w:t>
            </w:r>
            <w:r>
              <w:t>by the parties.</w:t>
            </w:r>
          </w:p>
        </w:tc>
      </w:tr>
    </w:tbl>
    <w:p w14:paraId="51B00D35" w14:textId="77777777" w:rsidR="004B5A80" w:rsidRDefault="004B5A80" w:rsidP="004B5A80">
      <w:pPr>
        <w:pStyle w:val="Heading2"/>
      </w:pPr>
      <w:bookmarkStart w:id="47" w:name="_Toc509239428"/>
      <w:bookmarkStart w:id="48" w:name="_Toc530546459"/>
      <w:r>
        <w:t>Governance of the legal instruments</w:t>
      </w:r>
      <w:bookmarkEnd w:id="47"/>
      <w:bookmarkEnd w:id="48"/>
    </w:p>
    <w:p w14:paraId="69F797CC" w14:textId="77777777" w:rsidR="004B5A80" w:rsidRDefault="004B5A80" w:rsidP="004B5A80">
      <w:pPr>
        <w:pStyle w:val="BodyText"/>
      </w:pPr>
      <w:r>
        <w:t xml:space="preserve">The NGL is set out in the schedule to the </w:t>
      </w:r>
      <w:r w:rsidRPr="00943ED4">
        <w:rPr>
          <w:i/>
        </w:rPr>
        <w:t xml:space="preserve">National Gas (South Australia) Act 2008 </w:t>
      </w:r>
      <w:r w:rsidRPr="001A60A3">
        <w:t>(SA)</w:t>
      </w:r>
      <w:r>
        <w:rPr>
          <w:i/>
        </w:rPr>
        <w:t xml:space="preserve"> </w:t>
      </w:r>
      <w:r w:rsidRPr="007F2211">
        <w:t>and</w:t>
      </w:r>
      <w:r>
        <w:rPr>
          <w:i/>
        </w:rPr>
        <w:t xml:space="preserve"> </w:t>
      </w:r>
      <w:r>
        <w:t>applies in each participating jurisdiction (other than WA) under application legislation of each jurisdiction.</w:t>
      </w:r>
      <w:r w:rsidR="00203FBE">
        <w:rPr>
          <w:rStyle w:val="FootnoteReference"/>
        </w:rPr>
        <w:footnoteReference w:id="18"/>
      </w:r>
      <w:r>
        <w:t xml:space="preserve"> </w:t>
      </w:r>
      <w:r w:rsidRPr="007F2211">
        <w:t xml:space="preserve">The </w:t>
      </w:r>
      <w:r>
        <w:t xml:space="preserve">amendments to the NGL and the Regulations </w:t>
      </w:r>
      <w:r w:rsidR="00203FBE">
        <w:t xml:space="preserve">were </w:t>
      </w:r>
      <w:r>
        <w:t xml:space="preserve">made through legislation and regulations enacted or made in South Australia. The amendments to the NGL </w:t>
      </w:r>
      <w:r w:rsidR="00203FBE">
        <w:t xml:space="preserve">gave </w:t>
      </w:r>
      <w:r>
        <w:t xml:space="preserve">the South Australian Minister the power to make the initial Rules (i.e. in Parts 24-26), amend existing Rules (i.e. in Parts 15A, 15B, 18 and 22), remake the earlier </w:t>
      </w:r>
      <w:r>
        <w:lastRenderedPageBreak/>
        <w:t>AEMC rules dealing with gas day harmonisation to bring the start date forward and make the initial Code.</w:t>
      </w:r>
      <w:r w:rsidR="00AA7AFE">
        <w:t xml:space="preserve"> </w:t>
      </w:r>
    </w:p>
    <w:p w14:paraId="5A875C60" w14:textId="77777777" w:rsidR="007D35A9" w:rsidRDefault="007D35A9" w:rsidP="004B5A80">
      <w:pPr>
        <w:pStyle w:val="BodyText"/>
      </w:pPr>
      <w:r>
        <w:t>AEMO will</w:t>
      </w:r>
      <w:r w:rsidR="00B76D30">
        <w:t xml:space="preserve"> use the usual change process for the GSH to amend </w:t>
      </w:r>
      <w:r>
        <w:t xml:space="preserve">the Exchange Agreement </w:t>
      </w:r>
      <w:r w:rsidR="001C0DCA">
        <w:t xml:space="preserve">for the introduction of </w:t>
      </w:r>
      <w:r w:rsidR="00B76D30">
        <w:t xml:space="preserve">the capacity trading platform </w:t>
      </w:r>
      <w:r>
        <w:t xml:space="preserve">and will make the initial CT&amp;A Procedures under the new </w:t>
      </w:r>
      <w:r w:rsidR="00B76D30">
        <w:t xml:space="preserve">power </w:t>
      </w:r>
      <w:r>
        <w:t>in the NGL.</w:t>
      </w:r>
    </w:p>
    <w:p w14:paraId="15EFC4F7" w14:textId="77777777" w:rsidR="004B5A80" w:rsidRDefault="00AA7AFE" w:rsidP="004B5A80">
      <w:pPr>
        <w:pStyle w:val="BodyText"/>
      </w:pPr>
      <w:r>
        <w:t xml:space="preserve">Going forward, </w:t>
      </w:r>
      <w:r w:rsidR="004B5A80">
        <w:t>the usual change mechanisms will apply</w:t>
      </w:r>
      <w:r>
        <w:t xml:space="preserve"> to these instruments</w:t>
      </w:r>
      <w:r w:rsidR="004B5A80">
        <w:t xml:space="preserve">, with: </w:t>
      </w:r>
    </w:p>
    <w:p w14:paraId="2A63F566" w14:textId="77777777" w:rsidR="004B5A80" w:rsidRPr="001633A3" w:rsidRDefault="004B5A80" w:rsidP="004B5A80">
      <w:pPr>
        <w:pStyle w:val="ListBullet"/>
        <w:ind w:left="357" w:hanging="357"/>
      </w:pPr>
      <w:r>
        <w:t>t</w:t>
      </w:r>
      <w:r w:rsidRPr="001633A3">
        <w:t xml:space="preserve">he Energy Council responsible for </w:t>
      </w:r>
      <w:r w:rsidR="00AA7AFE">
        <w:t xml:space="preserve">considering </w:t>
      </w:r>
      <w:r w:rsidRPr="001633A3">
        <w:t>changes to the NGL and Regulations</w:t>
      </w:r>
      <w:r>
        <w:t>;</w:t>
      </w:r>
    </w:p>
    <w:p w14:paraId="57CA1056" w14:textId="77777777" w:rsidR="004B5A80" w:rsidRPr="001633A3" w:rsidRDefault="004B5A80" w:rsidP="004B5A80">
      <w:pPr>
        <w:pStyle w:val="ListBullet"/>
        <w:ind w:left="357" w:hanging="357"/>
      </w:pPr>
      <w:r>
        <w:t>t</w:t>
      </w:r>
      <w:r w:rsidRPr="001633A3">
        <w:t xml:space="preserve">he AEMC responsible for </w:t>
      </w:r>
      <w:r w:rsidR="00AA7AFE">
        <w:t xml:space="preserve">considering </w:t>
      </w:r>
      <w:r w:rsidRPr="001633A3">
        <w:t>changes to the NGR</w:t>
      </w:r>
      <w:r>
        <w:t>;</w:t>
      </w:r>
    </w:p>
    <w:p w14:paraId="7DE19B9D" w14:textId="77777777" w:rsidR="004B5A80" w:rsidRDefault="004B5A80" w:rsidP="004B5A80">
      <w:pPr>
        <w:pStyle w:val="ListBullet"/>
        <w:ind w:left="357" w:hanging="357"/>
      </w:pPr>
      <w:r w:rsidRPr="001633A3">
        <w:t xml:space="preserve">AEMO responsible for </w:t>
      </w:r>
      <w:r w:rsidR="00AA7AFE">
        <w:t>considering</w:t>
      </w:r>
      <w:r w:rsidRPr="001633A3">
        <w:t xml:space="preserve"> changes to </w:t>
      </w:r>
      <w:r w:rsidR="007D35A9">
        <w:t>the CT&amp;A P</w:t>
      </w:r>
      <w:r w:rsidRPr="001633A3">
        <w:t>rocedures</w:t>
      </w:r>
      <w:r w:rsidR="007D35A9">
        <w:t>, Exchange Agreement</w:t>
      </w:r>
      <w:r w:rsidR="00AA7AFE">
        <w:t xml:space="preserve"> and other subordinate instruments</w:t>
      </w:r>
      <w:r>
        <w:t>; and</w:t>
      </w:r>
    </w:p>
    <w:p w14:paraId="531BD736" w14:textId="77777777" w:rsidR="004B5A80" w:rsidRDefault="004B5A80" w:rsidP="004B5A80">
      <w:pPr>
        <w:pStyle w:val="ListBullet"/>
        <w:ind w:left="357" w:hanging="357"/>
      </w:pPr>
      <w:r>
        <w:t>the AER responsible for developing and amending any guides or guidelines specified in the NGR.</w:t>
      </w:r>
      <w:r w:rsidRPr="001633A3">
        <w:t xml:space="preserve"> </w:t>
      </w:r>
    </w:p>
    <w:p w14:paraId="6E1C1226" w14:textId="77777777" w:rsidR="00AA7AFE" w:rsidRPr="00D30678" w:rsidRDefault="00C56043" w:rsidP="00C56043">
      <w:pPr>
        <w:pStyle w:val="BodyText"/>
      </w:pPr>
      <w:r>
        <w:t xml:space="preserve">The </w:t>
      </w:r>
      <w:r w:rsidR="004B5A80">
        <w:t xml:space="preserve">AER will </w:t>
      </w:r>
      <w:r>
        <w:t xml:space="preserve">be </w:t>
      </w:r>
      <w:r w:rsidR="004B5A80" w:rsidRPr="001633A3">
        <w:t xml:space="preserve">responsible for </w:t>
      </w:r>
      <w:r w:rsidR="00B76D30">
        <w:t xml:space="preserve">making </w:t>
      </w:r>
      <w:r w:rsidR="004B5A80" w:rsidRPr="001633A3">
        <w:t xml:space="preserve">changes to </w:t>
      </w:r>
      <w:r>
        <w:t>the Code</w:t>
      </w:r>
      <w:r w:rsidR="004B5A80">
        <w:t xml:space="preserve">, which will be subject to a new </w:t>
      </w:r>
      <w:r w:rsidR="00AA7AFE">
        <w:t xml:space="preserve">hybrid </w:t>
      </w:r>
      <w:r w:rsidR="004B5A80">
        <w:t>governance model</w:t>
      </w:r>
      <w:bookmarkStart w:id="49" w:name="_Toc509239429"/>
      <w:r>
        <w:t xml:space="preserve">. Under this governance model </w:t>
      </w:r>
      <w:r>
        <w:rPr>
          <w:lang w:eastAsia="fr-CA"/>
        </w:rPr>
        <w:t>a</w:t>
      </w:r>
      <w:r w:rsidR="00AA7AFE" w:rsidRPr="00C37D44">
        <w:rPr>
          <w:lang w:eastAsia="fr-CA"/>
        </w:rPr>
        <w:t>n industry</w:t>
      </w:r>
      <w:r>
        <w:rPr>
          <w:lang w:eastAsia="fr-CA"/>
        </w:rPr>
        <w:t>-based</w:t>
      </w:r>
      <w:r w:rsidR="00AA7AFE" w:rsidRPr="00C37D44">
        <w:rPr>
          <w:lang w:eastAsia="fr-CA"/>
        </w:rPr>
        <w:t xml:space="preserve"> </w:t>
      </w:r>
      <w:r w:rsidR="007D35A9">
        <w:rPr>
          <w:lang w:eastAsia="fr-CA"/>
        </w:rPr>
        <w:t>p</w:t>
      </w:r>
      <w:r w:rsidR="00AA7AFE" w:rsidRPr="00C37D44">
        <w:rPr>
          <w:lang w:eastAsia="fr-CA"/>
        </w:rPr>
        <w:t xml:space="preserve">anel  comprising </w:t>
      </w:r>
      <w:r w:rsidR="00AA7AFE">
        <w:rPr>
          <w:lang w:eastAsia="fr-CA"/>
        </w:rPr>
        <w:t xml:space="preserve">a member from AEMO (who will chair the </w:t>
      </w:r>
      <w:r w:rsidR="00660816">
        <w:rPr>
          <w:lang w:eastAsia="fr-CA"/>
        </w:rPr>
        <w:t>P</w:t>
      </w:r>
      <w:r w:rsidR="00AA7AFE">
        <w:rPr>
          <w:lang w:eastAsia="fr-CA"/>
        </w:rPr>
        <w:t xml:space="preserve">anel), </w:t>
      </w:r>
      <w:r w:rsidR="00AA7AFE" w:rsidRPr="00C37D44">
        <w:rPr>
          <w:lang w:eastAsia="fr-CA"/>
        </w:rPr>
        <w:t>two</w:t>
      </w:r>
      <w:r w:rsidR="00AA7AFE">
        <w:rPr>
          <w:lang w:eastAsia="fr-CA"/>
        </w:rPr>
        <w:t xml:space="preserve"> </w:t>
      </w:r>
      <w:r w:rsidR="00DA16AB">
        <w:rPr>
          <w:lang w:eastAsia="fr-CA"/>
        </w:rPr>
        <w:t xml:space="preserve">transportation </w:t>
      </w:r>
      <w:r w:rsidR="00AA7AFE" w:rsidRPr="00C37D44">
        <w:rPr>
          <w:lang w:eastAsia="fr-CA"/>
        </w:rPr>
        <w:t>service provider</w:t>
      </w:r>
      <w:r w:rsidR="00AA7AFE">
        <w:rPr>
          <w:lang w:eastAsia="fr-CA"/>
        </w:rPr>
        <w:t xml:space="preserve">s </w:t>
      </w:r>
      <w:r w:rsidR="00AA7AFE" w:rsidRPr="00C37D44">
        <w:rPr>
          <w:lang w:eastAsia="fr-CA"/>
        </w:rPr>
        <w:t xml:space="preserve">and two shippers (one </w:t>
      </w:r>
      <w:r w:rsidR="00AA7AFE">
        <w:rPr>
          <w:lang w:eastAsia="fr-CA"/>
        </w:rPr>
        <w:t xml:space="preserve">of which must be a </w:t>
      </w:r>
      <w:r w:rsidR="00AA7AFE" w:rsidRPr="00C37D44">
        <w:rPr>
          <w:lang w:eastAsia="fr-CA"/>
        </w:rPr>
        <w:t>large user of gas)</w:t>
      </w:r>
      <w:r w:rsidR="00AA7AFE">
        <w:rPr>
          <w:lang w:eastAsia="fr-CA"/>
        </w:rPr>
        <w:t xml:space="preserve">, will </w:t>
      </w:r>
      <w:r w:rsidR="00AA7AFE" w:rsidRPr="00C37D44">
        <w:rPr>
          <w:lang w:eastAsia="fr-CA"/>
        </w:rPr>
        <w:t xml:space="preserve">consider </w:t>
      </w:r>
      <w:r w:rsidR="00AA7AFE">
        <w:rPr>
          <w:lang w:eastAsia="fr-CA"/>
        </w:rPr>
        <w:t>proposals to amend</w:t>
      </w:r>
      <w:r w:rsidR="00AA7AFE" w:rsidRPr="00C37D44">
        <w:rPr>
          <w:lang w:eastAsia="fr-CA"/>
        </w:rPr>
        <w:t xml:space="preserve"> the Code</w:t>
      </w:r>
      <w:r w:rsidR="00AA7AFE">
        <w:rPr>
          <w:lang w:eastAsia="fr-CA"/>
        </w:rPr>
        <w:t xml:space="preserve"> </w:t>
      </w:r>
      <w:r w:rsidR="00AA7AFE" w:rsidRPr="00C37D44">
        <w:rPr>
          <w:lang w:eastAsia="fr-CA"/>
        </w:rPr>
        <w:t xml:space="preserve">and provide </w:t>
      </w:r>
      <w:r w:rsidR="00AA7AFE">
        <w:rPr>
          <w:lang w:eastAsia="fr-CA"/>
        </w:rPr>
        <w:t>its</w:t>
      </w:r>
      <w:r w:rsidR="00AA7AFE" w:rsidRPr="00C37D44">
        <w:rPr>
          <w:lang w:eastAsia="fr-CA"/>
        </w:rPr>
        <w:t xml:space="preserve"> recommendations to the AER on the proposed </w:t>
      </w:r>
      <w:r w:rsidR="00AA7AFE">
        <w:rPr>
          <w:lang w:eastAsia="fr-CA"/>
        </w:rPr>
        <w:t>amendments</w:t>
      </w:r>
      <w:r w:rsidR="00AA7AFE" w:rsidRPr="00C37D44">
        <w:rPr>
          <w:lang w:eastAsia="fr-CA"/>
        </w:rPr>
        <w:t>.</w:t>
      </w:r>
      <w:r w:rsidR="00AA7AFE">
        <w:rPr>
          <w:lang w:eastAsia="fr-CA"/>
        </w:rPr>
        <w:t xml:space="preserve"> Amendments</w:t>
      </w:r>
      <w:r w:rsidR="00AA7AFE" w:rsidRPr="00C37D44">
        <w:rPr>
          <w:lang w:eastAsia="fr-CA"/>
        </w:rPr>
        <w:t xml:space="preserve"> recommended by the Panel will only take effect if approved by the AER. In deciding whether to approve the </w:t>
      </w:r>
      <w:r w:rsidR="00AA7AFE">
        <w:rPr>
          <w:lang w:eastAsia="fr-CA"/>
        </w:rPr>
        <w:t>amendments</w:t>
      </w:r>
      <w:r w:rsidR="00AA7AFE" w:rsidRPr="00C37D44">
        <w:rPr>
          <w:lang w:eastAsia="fr-CA"/>
        </w:rPr>
        <w:t>, the AER must consider the Code objective</w:t>
      </w:r>
      <w:r w:rsidR="00AA7AFE">
        <w:rPr>
          <w:rStyle w:val="FootnoteReference"/>
          <w:rFonts w:asciiTheme="majorHAnsi" w:hAnsiTheme="majorHAnsi" w:cstheme="majorHAnsi"/>
          <w:lang w:eastAsia="fr-CA"/>
        </w:rPr>
        <w:footnoteReference w:id="19"/>
      </w:r>
      <w:r w:rsidR="00AA7AFE" w:rsidRPr="00C37D44">
        <w:rPr>
          <w:lang w:eastAsia="fr-CA"/>
        </w:rPr>
        <w:t xml:space="preserve"> and a number of other principles and matters specified in the NGR. The AER </w:t>
      </w:r>
      <w:r w:rsidR="001D5FB9">
        <w:rPr>
          <w:lang w:eastAsia="fr-CA"/>
        </w:rPr>
        <w:t xml:space="preserve">can </w:t>
      </w:r>
      <w:r w:rsidR="00AA7AFE" w:rsidRPr="00C37D44">
        <w:rPr>
          <w:lang w:eastAsia="fr-CA"/>
        </w:rPr>
        <w:t xml:space="preserve">approve, reject </w:t>
      </w:r>
      <w:r>
        <w:rPr>
          <w:lang w:eastAsia="fr-CA"/>
        </w:rPr>
        <w:t xml:space="preserve">or </w:t>
      </w:r>
      <w:r w:rsidR="00AA7AFE" w:rsidRPr="00C37D44">
        <w:rPr>
          <w:lang w:eastAsia="fr-CA"/>
        </w:rPr>
        <w:t xml:space="preserve">remit </w:t>
      </w:r>
      <w:r>
        <w:rPr>
          <w:lang w:eastAsia="fr-CA"/>
        </w:rPr>
        <w:t xml:space="preserve">a </w:t>
      </w:r>
      <w:r w:rsidR="00AA7AFE" w:rsidRPr="00C37D44">
        <w:rPr>
          <w:lang w:eastAsia="fr-CA"/>
        </w:rPr>
        <w:t xml:space="preserve">proposed change. </w:t>
      </w:r>
      <w:r>
        <w:rPr>
          <w:lang w:eastAsia="fr-CA"/>
        </w:rPr>
        <w:t xml:space="preserve">It </w:t>
      </w:r>
      <w:r w:rsidR="00AA7AFE" w:rsidRPr="00C37D44">
        <w:rPr>
          <w:lang w:eastAsia="fr-CA"/>
        </w:rPr>
        <w:t xml:space="preserve">also </w:t>
      </w:r>
      <w:r w:rsidR="00AA7AFE">
        <w:rPr>
          <w:lang w:eastAsia="fr-CA"/>
        </w:rPr>
        <w:t xml:space="preserve">has </w:t>
      </w:r>
      <w:r w:rsidR="00AA7AFE" w:rsidRPr="00C37D44">
        <w:rPr>
          <w:lang w:eastAsia="fr-CA"/>
        </w:rPr>
        <w:t>the power to amend the Code on its own initiative</w:t>
      </w:r>
      <w:r w:rsidR="00AA7AFE">
        <w:rPr>
          <w:lang w:eastAsia="fr-CA"/>
        </w:rPr>
        <w:t>, but b</w:t>
      </w:r>
      <w:r w:rsidR="00AA7AFE" w:rsidRPr="00C37D44">
        <w:rPr>
          <w:lang w:eastAsia="fr-CA"/>
        </w:rPr>
        <w:t>efore doing so</w:t>
      </w:r>
      <w:r w:rsidR="00AA7AFE">
        <w:rPr>
          <w:lang w:eastAsia="fr-CA"/>
        </w:rPr>
        <w:t xml:space="preserve"> </w:t>
      </w:r>
      <w:r w:rsidR="00AA7AFE" w:rsidRPr="00C37D44">
        <w:rPr>
          <w:lang w:eastAsia="fr-CA"/>
        </w:rPr>
        <w:t>must request advice from the Panel and AEMO</w:t>
      </w:r>
      <w:r w:rsidR="00AA7AFE">
        <w:rPr>
          <w:lang w:eastAsia="fr-CA"/>
        </w:rPr>
        <w:t>,</w:t>
      </w:r>
      <w:r w:rsidR="00AA7AFE" w:rsidRPr="00C37D44">
        <w:rPr>
          <w:lang w:eastAsia="fr-CA"/>
        </w:rPr>
        <w:t xml:space="preserve"> and consult with interested parties</w:t>
      </w:r>
      <w:r w:rsidR="00AA7AFE">
        <w:rPr>
          <w:lang w:eastAsia="fr-CA"/>
        </w:rPr>
        <w:t>.</w:t>
      </w:r>
      <w:r w:rsidR="00AA7AFE">
        <w:rPr>
          <w:rStyle w:val="FootnoteReference"/>
          <w:rFonts w:asciiTheme="majorHAnsi" w:hAnsiTheme="majorHAnsi" w:cstheme="majorHAnsi"/>
          <w:lang w:eastAsia="fr-CA"/>
        </w:rPr>
        <w:footnoteReference w:id="20"/>
      </w:r>
    </w:p>
    <w:p w14:paraId="45F12C59" w14:textId="77777777" w:rsidR="00AA7AFE" w:rsidRPr="00AA7AFE" w:rsidRDefault="00AA7AFE" w:rsidP="00AA7AFE">
      <w:pPr>
        <w:pStyle w:val="BodyText"/>
        <w:rPr>
          <w:rFonts w:cstheme="majorBidi"/>
          <w:szCs w:val="26"/>
        </w:rPr>
      </w:pPr>
      <w:r w:rsidRPr="00F04A8E">
        <w:t xml:space="preserve">The AER and </w:t>
      </w:r>
      <w:r w:rsidRPr="00C37D44">
        <w:t>Panel will also be able to seek the advice of consumer and industry representative bodies where it is appropriate to do so.</w:t>
      </w:r>
    </w:p>
    <w:p w14:paraId="503F2594" w14:textId="77777777" w:rsidR="004B5A80" w:rsidRDefault="004B5A80" w:rsidP="00AA7AFE">
      <w:pPr>
        <w:pStyle w:val="Heading2"/>
        <w:spacing w:before="200" w:after="120"/>
      </w:pPr>
      <w:bookmarkStart w:id="50" w:name="_Toc530546460"/>
      <w:r>
        <w:t>New functions and powers for the AEMC, AEMO and the AER</w:t>
      </w:r>
      <w:bookmarkEnd w:id="49"/>
      <w:bookmarkEnd w:id="50"/>
    </w:p>
    <w:p w14:paraId="2191710A" w14:textId="0EEC1D17" w:rsidR="004B5A80" w:rsidRDefault="00AA7AFE" w:rsidP="004B5A80">
      <w:pPr>
        <w:pStyle w:val="BodyText"/>
      </w:pPr>
      <w:r>
        <w:t xml:space="preserve">The </w:t>
      </w:r>
      <w:r w:rsidR="004B5A80">
        <w:t>capacity trading reform packag</w:t>
      </w:r>
      <w:r>
        <w:t xml:space="preserve">e provides for </w:t>
      </w:r>
      <w:r w:rsidR="004B5A80">
        <w:t xml:space="preserve">a number of </w:t>
      </w:r>
      <w:r w:rsidR="00C56043">
        <w:t xml:space="preserve">new </w:t>
      </w:r>
      <w:r w:rsidR="004B5A80">
        <w:t xml:space="preserve">functions and powers of the AEMC, AEMO and the AER, which are summarised in </w:t>
      </w:r>
      <w:r w:rsidR="004B5A80">
        <w:fldChar w:fldCharType="begin"/>
      </w:r>
      <w:r w:rsidR="004B5A80">
        <w:instrText xml:space="preserve"> REF _Ref499739097 \h </w:instrText>
      </w:r>
      <w:r w:rsidR="004B5A80">
        <w:fldChar w:fldCharType="separate"/>
      </w:r>
      <w:r w:rsidR="0026074F">
        <w:t xml:space="preserve">Table </w:t>
      </w:r>
      <w:r w:rsidR="0026074F">
        <w:rPr>
          <w:noProof/>
        </w:rPr>
        <w:t>3</w:t>
      </w:r>
      <w:r w:rsidR="0026074F">
        <w:t>.</w:t>
      </w:r>
      <w:r w:rsidR="0026074F">
        <w:rPr>
          <w:noProof/>
        </w:rPr>
        <w:t>2</w:t>
      </w:r>
      <w:r w:rsidR="004B5A80">
        <w:fldChar w:fldCharType="end"/>
      </w:r>
      <w:r w:rsidR="004B5A80">
        <w:t>.</w:t>
      </w:r>
      <w:r w:rsidR="004B5A80" w:rsidRPr="00F502AD">
        <w:t xml:space="preserve"> </w:t>
      </w:r>
      <w:r w:rsidR="004B5A80">
        <w:t>Further information on the functions and powers of the energy market bodies associated with each element of the reform package is provided in Chapters 4-</w:t>
      </w:r>
      <w:r>
        <w:t>9</w:t>
      </w:r>
      <w:r w:rsidR="004B5A80">
        <w:t>.</w:t>
      </w:r>
    </w:p>
    <w:p w14:paraId="63AA510A" w14:textId="77777777" w:rsidR="004B5A80" w:rsidRDefault="004B5A80" w:rsidP="004B5A80">
      <w:pPr>
        <w:pStyle w:val="BodyText"/>
        <w:sectPr w:rsidR="004B5A80" w:rsidSect="00873F54">
          <w:headerReference w:type="default" r:id="rId45"/>
          <w:footerReference w:type="default" r:id="rId46"/>
          <w:pgSz w:w="11907" w:h="16839"/>
          <w:pgMar w:top="973" w:right="1418" w:bottom="851" w:left="1701" w:header="567" w:footer="132" w:gutter="0"/>
          <w:cols w:space="720"/>
          <w:docGrid w:linePitch="299"/>
        </w:sectPr>
      </w:pPr>
    </w:p>
    <w:p w14:paraId="17F3E69E" w14:textId="6E7F73D5" w:rsidR="004B5A80" w:rsidRDefault="004B5A80" w:rsidP="004B5A80">
      <w:pPr>
        <w:pStyle w:val="Caption"/>
        <w:spacing w:before="120" w:after="0"/>
      </w:pPr>
      <w:bookmarkStart w:id="51" w:name="_Ref499739097"/>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3</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2</w:t>
      </w:r>
      <w:r w:rsidR="002B13EB">
        <w:rPr>
          <w:noProof/>
        </w:rPr>
        <w:fldChar w:fldCharType="end"/>
      </w:r>
      <w:bookmarkEnd w:id="51"/>
      <w:r>
        <w:t>: Changes in functions and powers</w:t>
      </w:r>
    </w:p>
    <w:tbl>
      <w:tblPr>
        <w:tblStyle w:val="TableGrid"/>
        <w:tblW w:w="5000" w:type="pct"/>
        <w:tblLook w:val="04A0" w:firstRow="1" w:lastRow="0" w:firstColumn="1" w:lastColumn="0" w:noHBand="0" w:noVBand="1"/>
        <w:tblCaption w:val="Table 3.1: Changes in functions and powers"/>
        <w:tblDescription w:val="Table describing changes in functions and powers for AEMC, AEMO and AER"/>
      </w:tblPr>
      <w:tblGrid>
        <w:gridCol w:w="1552"/>
        <w:gridCol w:w="13463"/>
      </w:tblGrid>
      <w:tr w:rsidR="004B5A80" w:rsidRPr="00890C7A" w14:paraId="099C0AF5" w14:textId="77777777" w:rsidTr="00AA7AFE">
        <w:trPr>
          <w:cnfStyle w:val="100000000000" w:firstRow="1" w:lastRow="0" w:firstColumn="0" w:lastColumn="0" w:oddVBand="0" w:evenVBand="0" w:oddHBand="0" w:evenHBand="0" w:firstRowFirstColumn="0" w:firstRowLastColumn="0" w:lastRowFirstColumn="0" w:lastRowLastColumn="0"/>
          <w:trHeight w:val="109"/>
          <w:tblHeader/>
        </w:trPr>
        <w:tc>
          <w:tcPr>
            <w:tcW w:w="1552" w:type="dxa"/>
            <w:shd w:val="clear" w:color="auto" w:fill="0099CC"/>
          </w:tcPr>
          <w:p w14:paraId="02E30A27" w14:textId="77777777" w:rsidR="004B5A80" w:rsidRPr="00AA7AFE" w:rsidRDefault="004B5A80" w:rsidP="00AA7AFE">
            <w:pPr>
              <w:pStyle w:val="TableBodyText"/>
              <w:spacing w:before="40" w:line="252" w:lineRule="auto"/>
              <w:rPr>
                <w:szCs w:val="18"/>
              </w:rPr>
            </w:pPr>
            <w:r w:rsidRPr="00AA7AFE">
              <w:rPr>
                <w:szCs w:val="18"/>
              </w:rPr>
              <w:t>Market Body</w:t>
            </w:r>
          </w:p>
        </w:tc>
        <w:tc>
          <w:tcPr>
            <w:tcW w:w="13463" w:type="dxa"/>
            <w:shd w:val="clear" w:color="auto" w:fill="0099CC"/>
          </w:tcPr>
          <w:p w14:paraId="5B0929F9" w14:textId="77777777" w:rsidR="004B5A80" w:rsidRPr="00AA7AFE" w:rsidRDefault="004B5A80" w:rsidP="00AA7AFE">
            <w:pPr>
              <w:pStyle w:val="TableBodyText"/>
              <w:spacing w:before="40" w:line="252" w:lineRule="auto"/>
              <w:rPr>
                <w:szCs w:val="18"/>
              </w:rPr>
            </w:pPr>
            <w:r w:rsidRPr="00AA7AFE">
              <w:rPr>
                <w:szCs w:val="18"/>
              </w:rPr>
              <w:t>New functions and powers</w:t>
            </w:r>
          </w:p>
        </w:tc>
      </w:tr>
      <w:tr w:rsidR="004B5A80" w:rsidRPr="00890C7A" w14:paraId="1CF7B8C3" w14:textId="77777777" w:rsidTr="00873F54">
        <w:tc>
          <w:tcPr>
            <w:tcW w:w="1552" w:type="dxa"/>
          </w:tcPr>
          <w:p w14:paraId="425D06C9" w14:textId="77777777" w:rsidR="004B5A80" w:rsidRPr="00AA7AFE" w:rsidRDefault="004B5A80" w:rsidP="00AA7AFE">
            <w:pPr>
              <w:pStyle w:val="BodyText"/>
              <w:spacing w:before="40" w:after="60" w:line="252" w:lineRule="auto"/>
              <w:rPr>
                <w:szCs w:val="18"/>
              </w:rPr>
            </w:pPr>
            <w:r w:rsidRPr="00AA7AFE">
              <w:rPr>
                <w:szCs w:val="18"/>
              </w:rPr>
              <w:t>AEMC</w:t>
            </w:r>
          </w:p>
        </w:tc>
        <w:tc>
          <w:tcPr>
            <w:tcW w:w="13463" w:type="dxa"/>
          </w:tcPr>
          <w:p w14:paraId="05DA2630" w14:textId="77777777" w:rsidR="004B5A80" w:rsidRPr="00AA7AFE" w:rsidRDefault="004B5A80" w:rsidP="00AA7AFE">
            <w:pPr>
              <w:pStyle w:val="TableBodyText"/>
              <w:spacing w:before="40" w:line="252" w:lineRule="auto"/>
              <w:rPr>
                <w:b/>
                <w:szCs w:val="18"/>
              </w:rPr>
            </w:pPr>
            <w:r w:rsidRPr="00AA7AFE">
              <w:rPr>
                <w:szCs w:val="18"/>
              </w:rPr>
              <w:t xml:space="preserve">The AEMC’s rule making functions and powers </w:t>
            </w:r>
            <w:r w:rsidR="00AA7AFE" w:rsidRPr="00AA7AFE">
              <w:rPr>
                <w:szCs w:val="18"/>
              </w:rPr>
              <w:t xml:space="preserve">have been </w:t>
            </w:r>
            <w:r w:rsidRPr="00AA7AFE">
              <w:rPr>
                <w:szCs w:val="18"/>
              </w:rPr>
              <w:t>expanded to allow it make rules with respect to the matters being introduced by the reform package. This is reflected in the amendments to section 74 and Schedule 1 of the NGL.</w:t>
            </w:r>
          </w:p>
        </w:tc>
      </w:tr>
      <w:tr w:rsidR="004B5A80" w:rsidRPr="00890C7A" w14:paraId="0E5416E2" w14:textId="77777777" w:rsidTr="00873F54">
        <w:trPr>
          <w:cnfStyle w:val="000000010000" w:firstRow="0" w:lastRow="0" w:firstColumn="0" w:lastColumn="0" w:oddVBand="0" w:evenVBand="0" w:oddHBand="0" w:evenHBand="1" w:firstRowFirstColumn="0" w:firstRowLastColumn="0" w:lastRowFirstColumn="0" w:lastRowLastColumn="0"/>
        </w:trPr>
        <w:tc>
          <w:tcPr>
            <w:tcW w:w="1552" w:type="dxa"/>
          </w:tcPr>
          <w:p w14:paraId="6677C297" w14:textId="77777777" w:rsidR="004B5A80" w:rsidRPr="00AA7AFE" w:rsidRDefault="004B5A80" w:rsidP="00AA7AFE">
            <w:pPr>
              <w:pStyle w:val="BodyText"/>
              <w:spacing w:before="40" w:after="60" w:line="252" w:lineRule="auto"/>
              <w:rPr>
                <w:szCs w:val="18"/>
              </w:rPr>
            </w:pPr>
            <w:r w:rsidRPr="00AA7AFE">
              <w:rPr>
                <w:szCs w:val="18"/>
              </w:rPr>
              <w:t>AEMO</w:t>
            </w:r>
          </w:p>
        </w:tc>
        <w:tc>
          <w:tcPr>
            <w:tcW w:w="13463" w:type="dxa"/>
          </w:tcPr>
          <w:p w14:paraId="1B710C13" w14:textId="77777777" w:rsidR="00AA7AFE" w:rsidRPr="00AA7AFE" w:rsidRDefault="00AA7AFE" w:rsidP="00AA7AFE">
            <w:pPr>
              <w:pStyle w:val="TableBodyText"/>
              <w:spacing w:before="40"/>
              <w:rPr>
                <w:rFonts w:eastAsiaTheme="minorEastAsia"/>
                <w:szCs w:val="18"/>
              </w:rPr>
            </w:pPr>
            <w:r w:rsidRPr="00AA7AFE">
              <w:rPr>
                <w:rFonts w:eastAsiaTheme="minorEastAsia"/>
                <w:szCs w:val="18"/>
              </w:rPr>
              <w:t>AEMO’s functions and powers have been expanded to encompass the following areas:</w:t>
            </w:r>
          </w:p>
          <w:p w14:paraId="5AE8F9FC" w14:textId="77777777" w:rsidR="00AA7AFE" w:rsidRPr="00AA7AFE" w:rsidRDefault="00AA7AFE" w:rsidP="00AA7AFE">
            <w:pPr>
              <w:pStyle w:val="TableBullet1"/>
              <w:spacing w:before="40"/>
              <w:rPr>
                <w:szCs w:val="18"/>
                <w:lang w:eastAsia="fr-CA"/>
              </w:rPr>
            </w:pPr>
            <w:r w:rsidRPr="00AA7AFE">
              <w:rPr>
                <w:b/>
                <w:szCs w:val="18"/>
                <w:lang w:eastAsia="fr-CA"/>
              </w:rPr>
              <w:t>Measures to facilitate capacity trading and the day-ahead auction</w:t>
            </w:r>
            <w:r w:rsidRPr="00AA7AFE">
              <w:rPr>
                <w:szCs w:val="18"/>
                <w:lang w:eastAsia="fr-CA"/>
              </w:rPr>
              <w:t>: AEMO is</w:t>
            </w:r>
            <w:r w:rsidR="00C56043">
              <w:rPr>
                <w:szCs w:val="18"/>
                <w:lang w:eastAsia="fr-CA"/>
              </w:rPr>
              <w:t xml:space="preserve"> </w:t>
            </w:r>
            <w:r w:rsidRPr="00AA7AFE">
              <w:rPr>
                <w:szCs w:val="18"/>
                <w:lang w:eastAsia="fr-CA"/>
              </w:rPr>
              <w:t>responsible for:</w:t>
            </w:r>
          </w:p>
          <w:p w14:paraId="36CB2485" w14:textId="77777777" w:rsidR="00AA7AFE" w:rsidRPr="00AA7AFE" w:rsidRDefault="00AA7AFE" w:rsidP="00EA491F">
            <w:pPr>
              <w:pStyle w:val="ListBullet2"/>
              <w:numPr>
                <w:ilvl w:val="0"/>
                <w:numId w:val="40"/>
              </w:numPr>
              <w:spacing w:before="40" w:after="60" w:line="250" w:lineRule="auto"/>
              <w:ind w:left="714" w:hanging="357"/>
              <w:rPr>
                <w:szCs w:val="18"/>
                <w:lang w:eastAsia="fr-CA"/>
              </w:rPr>
            </w:pPr>
            <w:r w:rsidRPr="00AA7AFE">
              <w:rPr>
                <w:szCs w:val="18"/>
                <w:lang w:eastAsia="fr-CA"/>
              </w:rPr>
              <w:t xml:space="preserve">establishing, operating and administering the transaction support arrangements that will </w:t>
            </w:r>
            <w:r w:rsidRPr="00AA7AFE">
              <w:rPr>
                <w:szCs w:val="18"/>
              </w:rPr>
              <w:t>facilitate transactions conducted through the capacity trading platform and the day-ahead auction;</w:t>
            </w:r>
            <w:r w:rsidRPr="00AA7AFE">
              <w:rPr>
                <w:rStyle w:val="FootnoteReference"/>
                <w:szCs w:val="18"/>
              </w:rPr>
              <w:footnoteReference w:id="21"/>
            </w:r>
            <w:r w:rsidRPr="00AA7AFE">
              <w:rPr>
                <w:szCs w:val="18"/>
              </w:rPr>
              <w:t xml:space="preserve"> </w:t>
            </w:r>
          </w:p>
          <w:p w14:paraId="2A44D257" w14:textId="77777777" w:rsidR="00AA7AFE" w:rsidRPr="00AA7AFE" w:rsidRDefault="00AA7AFE" w:rsidP="00EA491F">
            <w:pPr>
              <w:pStyle w:val="ListBullet"/>
              <w:numPr>
                <w:ilvl w:val="0"/>
                <w:numId w:val="40"/>
              </w:numPr>
              <w:spacing w:before="40" w:after="60" w:line="250" w:lineRule="auto"/>
              <w:ind w:left="714" w:hanging="357"/>
              <w:rPr>
                <w:szCs w:val="18"/>
                <w:lang w:eastAsia="fr-CA"/>
              </w:rPr>
            </w:pPr>
            <w:r w:rsidRPr="00AA7AFE">
              <w:rPr>
                <w:szCs w:val="18"/>
                <w:lang w:eastAsia="fr-CA"/>
              </w:rPr>
              <w:t>determining the zones and pipeline segments for each transportation facility that will be subject to the reforms and the service points between which backhaul auction services will be available on single direction pipelines (or parts thereof);</w:t>
            </w:r>
          </w:p>
          <w:p w14:paraId="2D462D25" w14:textId="77777777" w:rsidR="00AA7AFE" w:rsidRPr="00AA7AFE" w:rsidRDefault="00AA7AFE" w:rsidP="00EA491F">
            <w:pPr>
              <w:pStyle w:val="ListBullet"/>
              <w:numPr>
                <w:ilvl w:val="0"/>
                <w:numId w:val="40"/>
              </w:numPr>
              <w:spacing w:before="40" w:after="60" w:line="250" w:lineRule="auto"/>
              <w:ind w:left="714" w:hanging="357"/>
              <w:rPr>
                <w:szCs w:val="18"/>
                <w:lang w:eastAsia="fr-CA"/>
              </w:rPr>
            </w:pPr>
            <w:r w:rsidRPr="00AA7AFE">
              <w:rPr>
                <w:szCs w:val="18"/>
                <w:lang w:eastAsia="fr-CA"/>
              </w:rPr>
              <w:t xml:space="preserve">establishing, maintaining and administering the transportation service point register, which will set out the service points, zones and, where relevant, pipeline segments on each transportation facility that will be subject to the reforms; </w:t>
            </w:r>
          </w:p>
          <w:p w14:paraId="783EC09A" w14:textId="77777777" w:rsidR="00AA7AFE" w:rsidRPr="00AA7AFE" w:rsidRDefault="00AA7AFE" w:rsidP="00EA491F">
            <w:pPr>
              <w:pStyle w:val="ListBullet"/>
              <w:numPr>
                <w:ilvl w:val="0"/>
                <w:numId w:val="40"/>
              </w:numPr>
              <w:spacing w:before="40" w:after="60" w:line="250" w:lineRule="auto"/>
              <w:ind w:left="714" w:hanging="357"/>
              <w:rPr>
                <w:szCs w:val="18"/>
                <w:lang w:eastAsia="fr-CA"/>
              </w:rPr>
            </w:pPr>
            <w:r w:rsidRPr="00AA7AFE">
              <w:rPr>
                <w:szCs w:val="18"/>
                <w:lang w:eastAsia="fr-CA"/>
              </w:rPr>
              <w:t>establishing, chairing and providing secretariat services</w:t>
            </w:r>
            <w:r w:rsidRPr="00AA7AFE">
              <w:rPr>
                <w:rStyle w:val="FootnoteReference"/>
                <w:szCs w:val="18"/>
                <w:lang w:eastAsia="fr-CA"/>
              </w:rPr>
              <w:footnoteReference w:id="22"/>
            </w:r>
            <w:r w:rsidRPr="00AA7AFE">
              <w:rPr>
                <w:szCs w:val="18"/>
                <w:lang w:eastAsia="fr-CA"/>
              </w:rPr>
              <w:t xml:space="preserve"> to the Panel; and</w:t>
            </w:r>
          </w:p>
          <w:p w14:paraId="1A6FBDD2" w14:textId="77777777" w:rsidR="00AA7AFE" w:rsidRPr="00AA7AFE" w:rsidRDefault="00AA7AFE" w:rsidP="00EA491F">
            <w:pPr>
              <w:pStyle w:val="ListBullet"/>
              <w:numPr>
                <w:ilvl w:val="0"/>
                <w:numId w:val="40"/>
              </w:numPr>
              <w:spacing w:before="40" w:after="60" w:line="250" w:lineRule="auto"/>
              <w:ind w:left="714" w:hanging="357"/>
              <w:rPr>
                <w:szCs w:val="18"/>
                <w:lang w:eastAsia="fr-CA"/>
              </w:rPr>
            </w:pPr>
            <w:r w:rsidRPr="00AA7AFE">
              <w:rPr>
                <w:szCs w:val="18"/>
                <w:lang w:eastAsia="fr-CA"/>
              </w:rPr>
              <w:t xml:space="preserve">publishing on the Bulletin Board a range of capacity trading, day-ahead auction and other information that </w:t>
            </w:r>
            <w:r w:rsidR="00DA16AB" w:rsidRPr="00DA16AB">
              <w:rPr>
                <w:szCs w:val="18"/>
              </w:rPr>
              <w:t xml:space="preserve">transportation </w:t>
            </w:r>
            <w:r w:rsidRPr="00AA7AFE">
              <w:rPr>
                <w:szCs w:val="18"/>
                <w:lang w:eastAsia="fr-CA"/>
              </w:rPr>
              <w:t>service providers and other market participants will be required to report.</w:t>
            </w:r>
          </w:p>
          <w:p w14:paraId="4BD1EE17" w14:textId="77777777" w:rsidR="00AA7AFE" w:rsidRPr="00AA7AFE" w:rsidRDefault="00AA7AFE" w:rsidP="00AA7AFE">
            <w:pPr>
              <w:pStyle w:val="TableBullet1"/>
              <w:spacing w:before="40"/>
              <w:rPr>
                <w:szCs w:val="18"/>
                <w:lang w:eastAsia="fr-CA"/>
              </w:rPr>
            </w:pPr>
            <w:r w:rsidRPr="00AA7AFE">
              <w:rPr>
                <w:b/>
                <w:szCs w:val="18"/>
                <w:lang w:eastAsia="fr-CA"/>
              </w:rPr>
              <w:t>Day-ahead auction:</w:t>
            </w:r>
            <w:r w:rsidRPr="00AA7AFE">
              <w:rPr>
                <w:szCs w:val="18"/>
                <w:lang w:eastAsia="fr-CA"/>
              </w:rPr>
              <w:t xml:space="preserve"> AEMO is responsible for: </w:t>
            </w:r>
          </w:p>
          <w:p w14:paraId="4FA7C92A" w14:textId="77777777" w:rsidR="00AA7AFE" w:rsidRPr="00AA7AFE" w:rsidRDefault="00AA7AFE" w:rsidP="00EA491F">
            <w:pPr>
              <w:pStyle w:val="ListBullet2"/>
              <w:numPr>
                <w:ilvl w:val="0"/>
                <w:numId w:val="40"/>
              </w:numPr>
              <w:spacing w:before="40" w:after="60" w:line="250" w:lineRule="auto"/>
              <w:ind w:left="714" w:hanging="357"/>
              <w:rPr>
                <w:szCs w:val="18"/>
                <w:lang w:eastAsia="fr-CA"/>
              </w:rPr>
            </w:pPr>
            <w:r w:rsidRPr="00AA7AFE">
              <w:rPr>
                <w:szCs w:val="18"/>
                <w:lang w:eastAsia="fr-CA"/>
              </w:rPr>
              <w:t>establishing, operating and administering the day-ahead auction; and</w:t>
            </w:r>
          </w:p>
          <w:p w14:paraId="72DD1DCE" w14:textId="77777777" w:rsidR="00AA7AFE" w:rsidRPr="00AA7AFE" w:rsidRDefault="00AA7AFE" w:rsidP="00EA491F">
            <w:pPr>
              <w:pStyle w:val="ListBullet2"/>
              <w:numPr>
                <w:ilvl w:val="0"/>
                <w:numId w:val="40"/>
              </w:numPr>
              <w:spacing w:before="40" w:after="60" w:line="250" w:lineRule="auto"/>
              <w:ind w:left="714" w:hanging="357"/>
              <w:rPr>
                <w:szCs w:val="18"/>
                <w:lang w:eastAsia="fr-CA"/>
              </w:rPr>
            </w:pPr>
            <w:r w:rsidRPr="00AA7AFE">
              <w:rPr>
                <w:szCs w:val="18"/>
                <w:lang w:eastAsia="fr-CA"/>
              </w:rPr>
              <w:t>making and administering auction agreements, which shippers will be required to enter into with AEMO to participate in the auction.</w:t>
            </w:r>
          </w:p>
          <w:p w14:paraId="27CD67F7" w14:textId="77777777" w:rsidR="00AA7AFE" w:rsidRPr="00AA7AFE" w:rsidRDefault="00AA7AFE" w:rsidP="00AA7AFE">
            <w:pPr>
              <w:pStyle w:val="TableBullet1"/>
              <w:spacing w:before="40"/>
              <w:rPr>
                <w:szCs w:val="18"/>
                <w:lang w:eastAsia="fr-CA"/>
              </w:rPr>
            </w:pPr>
            <w:r w:rsidRPr="00AA7AFE">
              <w:rPr>
                <w:b/>
                <w:szCs w:val="18"/>
                <w:lang w:eastAsia="fr-CA"/>
              </w:rPr>
              <w:t>Registration for transaction support arrangements and the day-ahead auction</w:t>
            </w:r>
            <w:r w:rsidRPr="00AA7AFE">
              <w:rPr>
                <w:szCs w:val="18"/>
                <w:lang w:eastAsia="fr-CA"/>
              </w:rPr>
              <w:t xml:space="preserve">: AEMO is responsible for establishing, maintaining and administering a register of non-exempt transportation facilities </w:t>
            </w:r>
            <w:r w:rsidR="00CD7BB3">
              <w:rPr>
                <w:szCs w:val="18"/>
                <w:lang w:eastAsia="fr-CA"/>
              </w:rPr>
              <w:t xml:space="preserve">(referred to as ‘Part 24 facilities’) </w:t>
            </w:r>
            <w:r w:rsidRPr="00AA7AFE">
              <w:rPr>
                <w:szCs w:val="18"/>
                <w:lang w:eastAsia="fr-CA"/>
              </w:rPr>
              <w:t>and their facility operators.</w:t>
            </w:r>
          </w:p>
          <w:p w14:paraId="0E1A3996" w14:textId="77777777" w:rsidR="00AA7AFE" w:rsidRPr="00AA7AFE" w:rsidRDefault="00AA7AFE" w:rsidP="00AA7AFE">
            <w:pPr>
              <w:pStyle w:val="TableBullet1"/>
              <w:spacing w:before="40"/>
              <w:rPr>
                <w:b/>
                <w:szCs w:val="18"/>
                <w:lang w:eastAsia="fr-CA"/>
              </w:rPr>
            </w:pPr>
            <w:r w:rsidRPr="00AA7AFE">
              <w:rPr>
                <w:b/>
                <w:szCs w:val="18"/>
                <w:lang w:eastAsia="fr-CA"/>
              </w:rPr>
              <w:t xml:space="preserve">Procedures and other guidance material: </w:t>
            </w:r>
          </w:p>
          <w:p w14:paraId="1F1FF494" w14:textId="77777777" w:rsidR="00AA7AFE" w:rsidRPr="00AA7AFE" w:rsidRDefault="00AA7AFE" w:rsidP="00EA491F">
            <w:pPr>
              <w:pStyle w:val="ListBullet2"/>
              <w:numPr>
                <w:ilvl w:val="0"/>
                <w:numId w:val="40"/>
              </w:numPr>
              <w:spacing w:before="40" w:after="60" w:line="250" w:lineRule="auto"/>
              <w:rPr>
                <w:szCs w:val="18"/>
                <w:lang w:eastAsia="fr-CA"/>
              </w:rPr>
            </w:pPr>
            <w:r w:rsidRPr="00AA7AFE">
              <w:rPr>
                <w:szCs w:val="18"/>
                <w:lang w:eastAsia="fr-CA"/>
              </w:rPr>
              <w:t xml:space="preserve">AEMO is responsible for making and amending the </w:t>
            </w:r>
            <w:r w:rsidR="00201550">
              <w:rPr>
                <w:szCs w:val="18"/>
                <w:lang w:eastAsia="fr-CA"/>
              </w:rPr>
              <w:t>CT&amp;A Procedures</w:t>
            </w:r>
            <w:r w:rsidRPr="00AA7AFE">
              <w:rPr>
                <w:szCs w:val="18"/>
                <w:lang w:eastAsia="fr-CA"/>
              </w:rPr>
              <w:t xml:space="preserve">, which, in conjunction with the NGL and NGR, will govern the operation and administration of the </w:t>
            </w:r>
            <w:r w:rsidR="00CD7BB3">
              <w:rPr>
                <w:szCs w:val="18"/>
                <w:lang w:eastAsia="fr-CA"/>
              </w:rPr>
              <w:t xml:space="preserve">day-ahead </w:t>
            </w:r>
            <w:r w:rsidRPr="00AA7AFE">
              <w:rPr>
                <w:szCs w:val="18"/>
                <w:lang w:eastAsia="fr-CA"/>
              </w:rPr>
              <w:t xml:space="preserve">auction and the transaction support arrangements; </w:t>
            </w:r>
          </w:p>
          <w:p w14:paraId="27F69760" w14:textId="77777777" w:rsidR="00AA7AFE" w:rsidRPr="00AA7AFE" w:rsidRDefault="00AA7AFE" w:rsidP="00EA491F">
            <w:pPr>
              <w:pStyle w:val="ListBullet2"/>
              <w:numPr>
                <w:ilvl w:val="0"/>
                <w:numId w:val="40"/>
              </w:numPr>
              <w:spacing w:before="40" w:after="60" w:line="250" w:lineRule="auto"/>
              <w:rPr>
                <w:szCs w:val="18"/>
                <w:lang w:eastAsia="fr-CA"/>
              </w:rPr>
            </w:pPr>
            <w:r w:rsidRPr="00AA7AFE">
              <w:rPr>
                <w:szCs w:val="18"/>
                <w:lang w:eastAsia="fr-CA"/>
              </w:rPr>
              <w:t xml:space="preserve">AEMO may develop and publish a guide for </w:t>
            </w:r>
            <w:r w:rsidR="00CD7BB3">
              <w:rPr>
                <w:szCs w:val="18"/>
                <w:lang w:eastAsia="fr-CA"/>
              </w:rPr>
              <w:t xml:space="preserve">transportation </w:t>
            </w:r>
            <w:r w:rsidRPr="00AA7AFE">
              <w:rPr>
                <w:szCs w:val="18"/>
                <w:lang w:eastAsia="fr-CA"/>
              </w:rPr>
              <w:t xml:space="preserve">service providers about the process and timing for registration and the functions of </w:t>
            </w:r>
            <w:r w:rsidR="00CD7BB3">
              <w:rPr>
                <w:szCs w:val="18"/>
                <w:lang w:eastAsia="fr-CA"/>
              </w:rPr>
              <w:t xml:space="preserve">transportation </w:t>
            </w:r>
            <w:r w:rsidRPr="00AA7AFE">
              <w:rPr>
                <w:szCs w:val="18"/>
                <w:lang w:eastAsia="fr-CA"/>
              </w:rPr>
              <w:t xml:space="preserve">service providers and facility operators (i.e. the registered </w:t>
            </w:r>
            <w:r w:rsidR="00DA16AB" w:rsidRPr="00DA16AB">
              <w:rPr>
                <w:szCs w:val="18"/>
              </w:rPr>
              <w:t xml:space="preserve">transportation </w:t>
            </w:r>
            <w:r w:rsidRPr="00AA7AFE">
              <w:rPr>
                <w:szCs w:val="18"/>
                <w:lang w:eastAsia="fr-CA"/>
              </w:rPr>
              <w:t xml:space="preserve">service provider for </w:t>
            </w:r>
            <w:r w:rsidR="00136372">
              <w:rPr>
                <w:szCs w:val="18"/>
                <w:lang w:eastAsia="fr-CA"/>
              </w:rPr>
              <w:t>Part 24 facilities</w:t>
            </w:r>
            <w:r w:rsidRPr="00AA7AFE">
              <w:rPr>
                <w:szCs w:val="18"/>
                <w:lang w:eastAsia="fr-CA"/>
              </w:rPr>
              <w:t>) under the capacity trading reforms; and</w:t>
            </w:r>
          </w:p>
          <w:p w14:paraId="3A1A0DE6" w14:textId="77777777" w:rsidR="00AA7AFE" w:rsidRPr="00AA7AFE" w:rsidRDefault="00AA7AFE" w:rsidP="00EA491F">
            <w:pPr>
              <w:pStyle w:val="ListBullet2"/>
              <w:numPr>
                <w:ilvl w:val="0"/>
                <w:numId w:val="40"/>
              </w:numPr>
              <w:spacing w:before="40" w:after="60" w:line="250" w:lineRule="auto"/>
              <w:ind w:left="714" w:hanging="357"/>
              <w:rPr>
                <w:szCs w:val="18"/>
                <w:lang w:eastAsia="fr-CA"/>
              </w:rPr>
            </w:pPr>
            <w:r w:rsidRPr="00AA7AFE">
              <w:rPr>
                <w:szCs w:val="18"/>
                <w:lang w:eastAsia="fr-CA"/>
              </w:rPr>
              <w:t xml:space="preserve">AEMO is responsible for publishing information about the transition of the facilitated gas markets to the standard market timetable. </w:t>
            </w:r>
          </w:p>
          <w:p w14:paraId="14940A19" w14:textId="77777777" w:rsidR="004B5A80" w:rsidRPr="00AA7AFE" w:rsidRDefault="00AA7AFE" w:rsidP="00AA7AFE">
            <w:pPr>
              <w:pStyle w:val="TableBodyText"/>
              <w:spacing w:before="40"/>
              <w:rPr>
                <w:szCs w:val="18"/>
              </w:rPr>
            </w:pPr>
            <w:r w:rsidRPr="00AA7AFE">
              <w:rPr>
                <w:szCs w:val="18"/>
                <w:lang w:eastAsia="fr-CA"/>
              </w:rPr>
              <w:t>AEMO also has the power to recover the costs associated with establishing, operating and administering the day-ahead auction, the CT&amp;A Procedures and a number of costs associated with the operation of the Panel.</w:t>
            </w:r>
          </w:p>
        </w:tc>
      </w:tr>
      <w:tr w:rsidR="004B5A80" w:rsidRPr="00890C7A" w14:paraId="156E620F" w14:textId="77777777" w:rsidTr="00873F54">
        <w:tc>
          <w:tcPr>
            <w:tcW w:w="1552" w:type="dxa"/>
          </w:tcPr>
          <w:p w14:paraId="4AFE9F9D" w14:textId="77777777" w:rsidR="004B5A80" w:rsidRPr="00AA7AFE" w:rsidRDefault="004B5A80" w:rsidP="00AA7AFE">
            <w:pPr>
              <w:pStyle w:val="BodyText"/>
              <w:keepNext/>
              <w:spacing w:before="40" w:after="60" w:line="252" w:lineRule="auto"/>
              <w:rPr>
                <w:szCs w:val="18"/>
              </w:rPr>
            </w:pPr>
            <w:r w:rsidRPr="00AA7AFE">
              <w:rPr>
                <w:szCs w:val="18"/>
              </w:rPr>
              <w:lastRenderedPageBreak/>
              <w:t>AER</w:t>
            </w:r>
          </w:p>
        </w:tc>
        <w:tc>
          <w:tcPr>
            <w:tcW w:w="13463" w:type="dxa"/>
          </w:tcPr>
          <w:p w14:paraId="253E16C4" w14:textId="77777777" w:rsidR="00AA7AFE" w:rsidRPr="00AA7AFE" w:rsidRDefault="004B5A80" w:rsidP="00AA7AFE">
            <w:pPr>
              <w:pStyle w:val="TableBodyText"/>
              <w:keepNext/>
              <w:spacing w:before="40" w:line="252" w:lineRule="auto"/>
              <w:rPr>
                <w:szCs w:val="18"/>
              </w:rPr>
            </w:pPr>
            <w:r w:rsidRPr="00AA7AFE">
              <w:rPr>
                <w:szCs w:val="18"/>
              </w:rPr>
              <w:t xml:space="preserve">The AER's functions </w:t>
            </w:r>
            <w:r w:rsidR="00AA7AFE" w:rsidRPr="00AA7AFE">
              <w:rPr>
                <w:szCs w:val="18"/>
              </w:rPr>
              <w:t xml:space="preserve">and powers have been expanded to </w:t>
            </w:r>
            <w:r w:rsidR="00B76D30">
              <w:rPr>
                <w:szCs w:val="18"/>
              </w:rPr>
              <w:t xml:space="preserve">give </w:t>
            </w:r>
            <w:r w:rsidR="00AA7AFE">
              <w:rPr>
                <w:szCs w:val="18"/>
              </w:rPr>
              <w:t>it responsibility for</w:t>
            </w:r>
            <w:r w:rsidR="00AA7AFE" w:rsidRPr="00AA7AFE">
              <w:rPr>
                <w:szCs w:val="18"/>
              </w:rPr>
              <w:t xml:space="preserve">: </w:t>
            </w:r>
          </w:p>
          <w:p w14:paraId="59FC10AD" w14:textId="77777777" w:rsidR="00AA7AFE" w:rsidRPr="00AA7AFE" w:rsidRDefault="00136372" w:rsidP="00AA7AFE">
            <w:pPr>
              <w:pStyle w:val="TableBullet1"/>
              <w:spacing w:before="40"/>
              <w:rPr>
                <w:rFonts w:eastAsiaTheme="minorEastAsia"/>
                <w:szCs w:val="18"/>
              </w:rPr>
            </w:pPr>
            <w:r>
              <w:rPr>
                <w:rFonts w:eastAsiaTheme="minorEastAsia"/>
                <w:szCs w:val="18"/>
              </w:rPr>
              <w:t>G</w:t>
            </w:r>
            <w:r w:rsidR="00AA7AFE" w:rsidRPr="00AA7AFE">
              <w:rPr>
                <w:rFonts w:eastAsiaTheme="minorEastAsia"/>
                <w:szCs w:val="18"/>
              </w:rPr>
              <w:t xml:space="preserve">ranting transportation facilities (or parts thereof) that meet the relevant criteria in the NGR an exemption and revoking exemptions if the facility ceases to </w:t>
            </w:r>
            <w:r w:rsidR="00B76D30">
              <w:rPr>
                <w:rFonts w:eastAsiaTheme="minorEastAsia"/>
                <w:szCs w:val="18"/>
              </w:rPr>
              <w:t>qualify</w:t>
            </w:r>
            <w:r w:rsidR="00B76D30" w:rsidRPr="00AA7AFE">
              <w:rPr>
                <w:rFonts w:eastAsiaTheme="minorEastAsia"/>
                <w:szCs w:val="18"/>
              </w:rPr>
              <w:t xml:space="preserve"> </w:t>
            </w:r>
            <w:r w:rsidR="00AA7AFE" w:rsidRPr="00AA7AFE">
              <w:rPr>
                <w:rFonts w:eastAsiaTheme="minorEastAsia"/>
                <w:szCs w:val="18"/>
              </w:rPr>
              <w:t>for an exemption</w:t>
            </w:r>
            <w:r>
              <w:rPr>
                <w:rFonts w:eastAsiaTheme="minorEastAsia"/>
                <w:szCs w:val="18"/>
              </w:rPr>
              <w:t>.</w:t>
            </w:r>
          </w:p>
          <w:p w14:paraId="3618B4E2" w14:textId="77777777" w:rsidR="00AA7AFE" w:rsidRPr="00AA7AFE" w:rsidRDefault="00B76D30" w:rsidP="00AA7AFE">
            <w:pPr>
              <w:pStyle w:val="TableBullet1"/>
              <w:spacing w:before="40"/>
              <w:rPr>
                <w:rFonts w:eastAsiaTheme="minorEastAsia"/>
                <w:szCs w:val="18"/>
              </w:rPr>
            </w:pPr>
            <w:r>
              <w:rPr>
                <w:rFonts w:eastAsiaTheme="minorEastAsia"/>
                <w:szCs w:val="18"/>
              </w:rPr>
              <w:t>A</w:t>
            </w:r>
            <w:r w:rsidR="00AA7AFE" w:rsidRPr="00AA7AFE">
              <w:rPr>
                <w:rFonts w:eastAsiaTheme="minorEastAsia"/>
                <w:szCs w:val="18"/>
              </w:rPr>
              <w:t>mending the Code in accordance with the NGL and NGR</w:t>
            </w:r>
            <w:r w:rsidR="00136372">
              <w:rPr>
                <w:rFonts w:eastAsiaTheme="minorEastAsia"/>
                <w:szCs w:val="18"/>
              </w:rPr>
              <w:t>.</w:t>
            </w:r>
          </w:p>
          <w:p w14:paraId="6CE01B7D" w14:textId="77777777" w:rsidR="00AA7AFE" w:rsidRPr="00AA7AFE" w:rsidRDefault="00136372" w:rsidP="00AA7AFE">
            <w:pPr>
              <w:pStyle w:val="TableBullet1"/>
              <w:spacing w:before="40"/>
              <w:rPr>
                <w:rFonts w:asciiTheme="majorHAnsi" w:eastAsiaTheme="minorEastAsia" w:hAnsiTheme="majorHAnsi" w:cstheme="majorHAnsi"/>
                <w:szCs w:val="18"/>
              </w:rPr>
            </w:pPr>
            <w:r>
              <w:rPr>
                <w:rFonts w:asciiTheme="majorHAnsi" w:eastAsiaTheme="minorEastAsia" w:hAnsiTheme="majorHAnsi" w:cstheme="majorHAnsi"/>
                <w:szCs w:val="18"/>
              </w:rPr>
              <w:t>M</w:t>
            </w:r>
            <w:r w:rsidR="00AA7AFE" w:rsidRPr="00AA7AFE">
              <w:rPr>
                <w:rFonts w:asciiTheme="majorHAnsi" w:eastAsiaTheme="minorEastAsia" w:hAnsiTheme="majorHAnsi" w:cstheme="majorHAnsi"/>
                <w:szCs w:val="18"/>
              </w:rPr>
              <w:t>onitoring and enforcing compliance with various obligations in the NGL, NGR</w:t>
            </w:r>
            <w:r>
              <w:rPr>
                <w:rFonts w:asciiTheme="majorHAnsi" w:eastAsiaTheme="minorEastAsia" w:hAnsiTheme="majorHAnsi" w:cstheme="majorHAnsi"/>
                <w:szCs w:val="18"/>
              </w:rPr>
              <w:t>, CT&amp;A Procedures</w:t>
            </w:r>
            <w:r w:rsidR="00AA7AFE" w:rsidRPr="00AA7AFE">
              <w:rPr>
                <w:rFonts w:asciiTheme="majorHAnsi" w:eastAsiaTheme="minorEastAsia" w:hAnsiTheme="majorHAnsi" w:cstheme="majorHAnsi"/>
                <w:szCs w:val="18"/>
              </w:rPr>
              <w:t xml:space="preserve"> and </w:t>
            </w:r>
            <w:r>
              <w:rPr>
                <w:rFonts w:asciiTheme="majorHAnsi" w:eastAsiaTheme="minorEastAsia" w:hAnsiTheme="majorHAnsi" w:cstheme="majorHAnsi"/>
                <w:szCs w:val="18"/>
              </w:rPr>
              <w:t xml:space="preserve">other relevant </w:t>
            </w:r>
            <w:r w:rsidR="00B76D30">
              <w:rPr>
                <w:rFonts w:asciiTheme="majorHAnsi" w:eastAsiaTheme="minorEastAsia" w:hAnsiTheme="majorHAnsi" w:cstheme="majorHAnsi"/>
                <w:szCs w:val="18"/>
              </w:rPr>
              <w:t>instruments.</w:t>
            </w:r>
          </w:p>
          <w:p w14:paraId="6C8B7EFF" w14:textId="77777777" w:rsidR="00AA7AFE" w:rsidRPr="00AA7AFE" w:rsidRDefault="00136372" w:rsidP="00AA7AFE">
            <w:pPr>
              <w:pStyle w:val="TableBullet1"/>
              <w:spacing w:before="40"/>
              <w:rPr>
                <w:rFonts w:eastAsiaTheme="minorEastAsia"/>
                <w:szCs w:val="18"/>
              </w:rPr>
            </w:pPr>
            <w:r>
              <w:rPr>
                <w:rFonts w:eastAsiaTheme="minorEastAsia"/>
                <w:szCs w:val="18"/>
              </w:rPr>
              <w:t>O</w:t>
            </w:r>
            <w:r w:rsidR="00AA7AFE" w:rsidRPr="00AA7AFE">
              <w:rPr>
                <w:rFonts w:eastAsiaTheme="minorEastAsia"/>
                <w:szCs w:val="18"/>
              </w:rPr>
              <w:t xml:space="preserve">verseeing the classification of transitional firm services by </w:t>
            </w:r>
            <w:r>
              <w:rPr>
                <w:rFonts w:eastAsiaTheme="minorEastAsia"/>
                <w:szCs w:val="18"/>
              </w:rPr>
              <w:t xml:space="preserve">auction facility operators </w:t>
            </w:r>
            <w:r w:rsidR="00AA7AFE" w:rsidRPr="00AA7AFE">
              <w:rPr>
                <w:rFonts w:eastAsiaTheme="minorEastAsia"/>
                <w:szCs w:val="18"/>
              </w:rPr>
              <w:t xml:space="preserve">and monitoring compliance </w:t>
            </w:r>
            <w:r>
              <w:rPr>
                <w:rFonts w:eastAsiaTheme="minorEastAsia"/>
                <w:szCs w:val="18"/>
              </w:rPr>
              <w:t xml:space="preserve">with </w:t>
            </w:r>
            <w:r w:rsidR="00AA7AFE" w:rsidRPr="00AA7AFE">
              <w:rPr>
                <w:rFonts w:eastAsiaTheme="minorEastAsia"/>
                <w:szCs w:val="18"/>
              </w:rPr>
              <w:t>the conditions of use of these services</w:t>
            </w:r>
            <w:r>
              <w:rPr>
                <w:rFonts w:eastAsiaTheme="minorEastAsia"/>
                <w:szCs w:val="18"/>
              </w:rPr>
              <w:t>.</w:t>
            </w:r>
          </w:p>
          <w:p w14:paraId="3E93EEC1" w14:textId="77777777" w:rsidR="00AA7AFE" w:rsidRPr="00AA7AFE" w:rsidRDefault="00136372" w:rsidP="00AA7AFE">
            <w:pPr>
              <w:pStyle w:val="TableBullet1"/>
              <w:spacing w:before="40"/>
              <w:rPr>
                <w:szCs w:val="18"/>
                <w:lang w:eastAsia="fr-CA"/>
              </w:rPr>
            </w:pPr>
            <w:r>
              <w:rPr>
                <w:szCs w:val="18"/>
                <w:lang w:eastAsia="fr-CA"/>
              </w:rPr>
              <w:t>D</w:t>
            </w:r>
            <w:r w:rsidR="00AA7AFE" w:rsidRPr="00AA7AFE">
              <w:rPr>
                <w:szCs w:val="18"/>
                <w:lang w:eastAsia="fr-CA"/>
              </w:rPr>
              <w:t xml:space="preserve">eveloping and publishing record keeping guidelines, which will </w:t>
            </w:r>
            <w:r w:rsidR="00AA7AFE" w:rsidRPr="00AA7AFE">
              <w:rPr>
                <w:rFonts w:asciiTheme="majorHAnsi" w:hAnsiTheme="majorHAnsi" w:cstheme="majorHAnsi"/>
                <w:szCs w:val="18"/>
              </w:rPr>
              <w:t xml:space="preserve">set out the matters to be included in: </w:t>
            </w:r>
          </w:p>
          <w:p w14:paraId="4C3B2E2A" w14:textId="77777777" w:rsidR="00AA7AFE" w:rsidRPr="00AA7AFE" w:rsidRDefault="00AA7AFE" w:rsidP="00EA491F">
            <w:pPr>
              <w:pStyle w:val="ListBullet2"/>
              <w:numPr>
                <w:ilvl w:val="0"/>
                <w:numId w:val="41"/>
              </w:numPr>
              <w:spacing w:before="40" w:after="60"/>
              <w:rPr>
                <w:rFonts w:asciiTheme="majorHAnsi" w:hAnsiTheme="majorHAnsi" w:cstheme="majorHAnsi"/>
                <w:szCs w:val="18"/>
                <w:lang w:eastAsia="fr-CA"/>
              </w:rPr>
            </w:pPr>
            <w:r w:rsidRPr="00AA7AFE">
              <w:rPr>
                <w:rFonts w:asciiTheme="majorHAnsi" w:hAnsiTheme="majorHAnsi" w:cstheme="majorHAnsi"/>
                <w:szCs w:val="18"/>
                <w:lang w:eastAsia="fr-CA"/>
              </w:rPr>
              <w:t xml:space="preserve">the nomination, renomination and scheduling records to be maintained by auction facility operators and </w:t>
            </w:r>
            <w:r w:rsidR="00136372">
              <w:rPr>
                <w:rFonts w:asciiTheme="majorHAnsi" w:hAnsiTheme="majorHAnsi" w:cstheme="majorHAnsi"/>
                <w:szCs w:val="18"/>
                <w:lang w:eastAsia="fr-CA"/>
              </w:rPr>
              <w:t xml:space="preserve">how </w:t>
            </w:r>
            <w:r w:rsidRPr="00AA7AFE">
              <w:rPr>
                <w:rFonts w:asciiTheme="majorHAnsi" w:hAnsiTheme="majorHAnsi" w:cstheme="majorHAnsi"/>
                <w:szCs w:val="18"/>
                <w:lang w:eastAsia="fr-CA"/>
              </w:rPr>
              <w:t>the records are to be made and kept; and</w:t>
            </w:r>
          </w:p>
          <w:p w14:paraId="1566E91D" w14:textId="77777777" w:rsidR="00AA7AFE" w:rsidRPr="00AA7AFE" w:rsidRDefault="00AA7AFE" w:rsidP="00EA491F">
            <w:pPr>
              <w:pStyle w:val="ListBullet2"/>
              <w:numPr>
                <w:ilvl w:val="0"/>
                <w:numId w:val="41"/>
              </w:numPr>
              <w:spacing w:before="40" w:after="60"/>
              <w:rPr>
                <w:rFonts w:asciiTheme="majorHAnsi" w:hAnsiTheme="majorHAnsi" w:cstheme="majorHAnsi"/>
                <w:szCs w:val="18"/>
                <w:lang w:eastAsia="fr-CA"/>
              </w:rPr>
            </w:pPr>
            <w:r w:rsidRPr="00AA7AFE">
              <w:rPr>
                <w:rFonts w:asciiTheme="majorHAnsi" w:hAnsiTheme="majorHAnsi" w:cstheme="majorHAnsi"/>
                <w:szCs w:val="18"/>
                <w:lang w:eastAsia="fr-CA"/>
              </w:rPr>
              <w:t>the renomination records to be maintained by shippers using auction facilities</w:t>
            </w:r>
            <w:r w:rsidR="001F3091">
              <w:rPr>
                <w:rFonts w:asciiTheme="majorHAnsi" w:hAnsiTheme="majorHAnsi" w:cstheme="majorHAnsi"/>
                <w:szCs w:val="18"/>
                <w:lang w:eastAsia="fr-CA"/>
              </w:rPr>
              <w:t>.</w:t>
            </w:r>
          </w:p>
          <w:p w14:paraId="2809A792" w14:textId="77777777" w:rsidR="004B5A80" w:rsidRPr="00AA7AFE" w:rsidRDefault="00AA7AFE" w:rsidP="00AA7AFE">
            <w:pPr>
              <w:pStyle w:val="BodyText"/>
              <w:spacing w:before="40" w:after="0"/>
              <w:rPr>
                <w:rFonts w:eastAsiaTheme="minorEastAsia"/>
                <w:szCs w:val="18"/>
              </w:rPr>
            </w:pPr>
            <w:r w:rsidRPr="00AA7AFE">
              <w:rPr>
                <w:rFonts w:eastAsiaTheme="minorEastAsia"/>
                <w:szCs w:val="18"/>
              </w:rPr>
              <w:t>The AER is also required to conduct a review of the compliance of standard OTSAs and standardisation charges with the principles in the NGR and Code within 12 months of the capacity trading platform and auction being implemented.</w:t>
            </w:r>
          </w:p>
        </w:tc>
      </w:tr>
    </w:tbl>
    <w:p w14:paraId="46B4A101" w14:textId="77777777" w:rsidR="004B5A80" w:rsidRPr="00AA7AFE" w:rsidRDefault="004B5A80" w:rsidP="00AA7AFE">
      <w:pPr>
        <w:pStyle w:val="BodyText"/>
        <w:spacing w:before="0" w:after="0"/>
        <w:rPr>
          <w:sz w:val="2"/>
          <w:szCs w:val="2"/>
        </w:rPr>
        <w:sectPr w:rsidR="004B5A80" w:rsidRPr="00AA7AFE" w:rsidSect="00AA7AFE">
          <w:pgSz w:w="16839" w:h="11907" w:orient="landscape"/>
          <w:pgMar w:top="1418" w:right="851" w:bottom="851" w:left="973" w:header="567" w:footer="132" w:gutter="0"/>
          <w:cols w:space="720"/>
          <w:docGrid w:linePitch="299"/>
        </w:sectPr>
      </w:pPr>
    </w:p>
    <w:p w14:paraId="1A918F1D" w14:textId="77777777" w:rsidR="00200CAD" w:rsidRDefault="00573A0A" w:rsidP="006E5162">
      <w:pPr>
        <w:pStyle w:val="Heading1"/>
        <w:keepLines w:val="0"/>
        <w:pageBreakBefore/>
        <w:spacing w:before="0" w:after="0"/>
      </w:pPr>
      <w:bookmarkStart w:id="52" w:name="_Toc530546461"/>
      <w:r>
        <w:lastRenderedPageBreak/>
        <w:t>E</w:t>
      </w:r>
      <w:r w:rsidR="00200CAD">
        <w:t xml:space="preserve">xemptions </w:t>
      </w:r>
      <w:r>
        <w:t xml:space="preserve">and registration </w:t>
      </w:r>
      <w:r w:rsidR="00813075">
        <w:t>requirements</w:t>
      </w:r>
      <w:bookmarkEnd w:id="52"/>
      <w:r w:rsidR="00813075">
        <w:t xml:space="preserve"> </w:t>
      </w:r>
    </w:p>
    <w:p w14:paraId="5D2C06A7" w14:textId="77777777" w:rsidR="00BD7C96" w:rsidRDefault="00CD6E20" w:rsidP="00E37109">
      <w:pPr>
        <w:pStyle w:val="BodyText"/>
        <w:spacing w:before="120" w:line="252" w:lineRule="auto"/>
        <w:rPr>
          <w:rFonts w:asciiTheme="majorHAnsi" w:hAnsiTheme="majorHAnsi" w:cstheme="majorHAnsi"/>
        </w:rPr>
      </w:pPr>
      <w:r>
        <w:t xml:space="preserve">Transportation facilities that satisfy the exemption criteria in the NGR will be able to obtain </w:t>
      </w:r>
      <w:r w:rsidR="00BD7C96">
        <w:t xml:space="preserve">an </w:t>
      </w:r>
      <w:r>
        <w:t xml:space="preserve">exemption from some or all of the </w:t>
      </w:r>
      <w:r w:rsidR="00BD7C96">
        <w:t>capacity trading reforms</w:t>
      </w:r>
      <w:r w:rsidR="005E60C8">
        <w:t xml:space="preserve"> (excluding the secondary capacity reporting framework</w:t>
      </w:r>
      <w:r w:rsidR="00AE7F34">
        <w:t xml:space="preserve"> and the standard market timetable</w:t>
      </w:r>
      <w:r w:rsidR="005E60C8">
        <w:t>)</w:t>
      </w:r>
      <w:r w:rsidR="00BD7C96">
        <w:t xml:space="preserve">. If a transportation facility </w:t>
      </w:r>
      <w:r w:rsidR="009B43B8">
        <w:t>does not qualify for</w:t>
      </w:r>
      <w:r w:rsidR="00BD7C96">
        <w:t xml:space="preserve"> an exemption </w:t>
      </w:r>
      <w:r w:rsidR="0053509E">
        <w:t>it will be considered a ‘</w:t>
      </w:r>
      <w:r w:rsidR="00EF5203">
        <w:t xml:space="preserve">Part 24 </w:t>
      </w:r>
      <w:r w:rsidR="00BD7C96">
        <w:t>facility</w:t>
      </w:r>
      <w:r w:rsidR="0053509E">
        <w:t xml:space="preserve">’ (i.e. a non-exempt facility) and the </w:t>
      </w:r>
      <w:r w:rsidR="00DA16AB">
        <w:t xml:space="preserve">transportation </w:t>
      </w:r>
      <w:r w:rsidR="00BD7C96">
        <w:t xml:space="preserve">service </w:t>
      </w:r>
      <w:r w:rsidR="00BD7C96">
        <w:rPr>
          <w:rFonts w:asciiTheme="majorHAnsi" w:hAnsiTheme="majorHAnsi" w:cstheme="majorHAnsi"/>
        </w:rPr>
        <w:t xml:space="preserve">provider </w:t>
      </w:r>
      <w:r w:rsidR="0053509E">
        <w:rPr>
          <w:rFonts w:asciiTheme="majorHAnsi" w:hAnsiTheme="majorHAnsi" w:cstheme="majorHAnsi"/>
        </w:rPr>
        <w:t xml:space="preserve">will be required to </w:t>
      </w:r>
      <w:r w:rsidR="00BD7C96">
        <w:rPr>
          <w:rFonts w:asciiTheme="majorHAnsi" w:hAnsiTheme="majorHAnsi" w:cstheme="majorHAnsi"/>
        </w:rPr>
        <w:t xml:space="preserve">register with AEMO to perform the obligations and exercise the rights of a facility operator under </w:t>
      </w:r>
      <w:r w:rsidR="00AE7F34">
        <w:rPr>
          <w:rFonts w:asciiTheme="majorHAnsi" w:hAnsiTheme="majorHAnsi" w:cstheme="majorHAnsi"/>
        </w:rPr>
        <w:t xml:space="preserve">Parts 24 and 25 </w:t>
      </w:r>
      <w:r w:rsidR="00BD7C96">
        <w:rPr>
          <w:rFonts w:asciiTheme="majorHAnsi" w:hAnsiTheme="majorHAnsi" w:cstheme="majorHAnsi"/>
        </w:rPr>
        <w:t xml:space="preserve">the NGR and </w:t>
      </w:r>
      <w:r w:rsidR="00AE7F34">
        <w:rPr>
          <w:rFonts w:asciiTheme="majorHAnsi" w:hAnsiTheme="majorHAnsi" w:cstheme="majorHAnsi"/>
        </w:rPr>
        <w:t xml:space="preserve">the </w:t>
      </w:r>
      <w:r w:rsidR="00201550">
        <w:rPr>
          <w:rFonts w:asciiTheme="majorHAnsi" w:hAnsiTheme="majorHAnsi" w:cstheme="majorHAnsi"/>
        </w:rPr>
        <w:t>CT&amp;A Procedures</w:t>
      </w:r>
      <w:r w:rsidR="00BD7C96">
        <w:rPr>
          <w:rFonts w:asciiTheme="majorHAnsi" w:hAnsiTheme="majorHAnsi" w:cstheme="majorHAnsi"/>
        </w:rPr>
        <w:t xml:space="preserve">. </w:t>
      </w:r>
    </w:p>
    <w:p w14:paraId="7D081A91" w14:textId="77777777" w:rsidR="00BD7C96" w:rsidRDefault="00BD7C96" w:rsidP="00E37109">
      <w:pPr>
        <w:pStyle w:val="BodyText"/>
        <w:spacing w:line="252" w:lineRule="auto"/>
      </w:pPr>
      <w:r>
        <w:rPr>
          <w:rFonts w:asciiTheme="majorHAnsi" w:hAnsiTheme="majorHAnsi" w:cstheme="majorHAnsi"/>
        </w:rPr>
        <w:t>Further detail on the exemptions framework and registration requirements for transportation facilities is provided below, along with an overview of the changes that have been made to the NGL, NGR and Regulations to give effect to these elements of the reform package.</w:t>
      </w:r>
    </w:p>
    <w:p w14:paraId="3AF02E14" w14:textId="77777777" w:rsidR="00813075" w:rsidRDefault="00165081" w:rsidP="00E37109">
      <w:pPr>
        <w:pStyle w:val="Heading2"/>
        <w:spacing w:before="120" w:after="120" w:line="252" w:lineRule="auto"/>
      </w:pPr>
      <w:bookmarkStart w:id="53" w:name="_Toc530546462"/>
      <w:r>
        <w:t xml:space="preserve">Overview of </w:t>
      </w:r>
      <w:r w:rsidR="009C77EE">
        <w:t xml:space="preserve">the </w:t>
      </w:r>
      <w:r>
        <w:t>e</w:t>
      </w:r>
      <w:r w:rsidR="00813075">
        <w:t>xemptions framework</w:t>
      </w:r>
      <w:bookmarkEnd w:id="53"/>
      <w:r>
        <w:t xml:space="preserve"> </w:t>
      </w:r>
    </w:p>
    <w:p w14:paraId="2B24836B" w14:textId="77777777" w:rsidR="00B4479F" w:rsidRDefault="00C44DB0" w:rsidP="00B4479F">
      <w:pPr>
        <w:pStyle w:val="BodyText"/>
        <w:spacing w:before="0" w:line="252" w:lineRule="auto"/>
        <w:rPr>
          <w:rFonts w:eastAsiaTheme="minorEastAsia"/>
        </w:rPr>
      </w:pPr>
      <w:r>
        <w:t xml:space="preserve">Table 4.1 provides an overview of the final design of the exemptions framework. </w:t>
      </w:r>
      <w:r w:rsidRPr="006B34E4">
        <w:t>As noted</w:t>
      </w:r>
      <w:r>
        <w:t xml:space="preserve"> in Chapter 1, a number of refinements </w:t>
      </w:r>
      <w:r w:rsidR="00B76D30">
        <w:t xml:space="preserve">to this part of the draft package were </w:t>
      </w:r>
      <w:r>
        <w:t xml:space="preserve"> made</w:t>
      </w:r>
      <w:r w:rsidR="00B76D30">
        <w:t>. These are summarised in Table</w:t>
      </w:r>
      <w:r w:rsidR="00E44C6F">
        <w:t xml:space="preserve"> 1.3</w:t>
      </w:r>
      <w:r w:rsidR="00B76D30">
        <w:t>.</w:t>
      </w:r>
      <w:r w:rsidR="00B4479F">
        <w:t xml:space="preserve"> </w:t>
      </w:r>
      <w:r w:rsidR="00B4479F">
        <w:rPr>
          <w:rFonts w:eastAsiaTheme="minorEastAsia"/>
        </w:rPr>
        <w:t>Further detail on the procedural requirements for exemptions is provided in Box 4.2.</w:t>
      </w:r>
    </w:p>
    <w:p w14:paraId="32D264A8" w14:textId="12536A9B" w:rsidR="00956991" w:rsidRPr="00956991" w:rsidRDefault="00956991" w:rsidP="00956991">
      <w:pPr>
        <w:pStyle w:val="Caption"/>
        <w:spacing w:before="0" w:after="0"/>
      </w:pPr>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4</w:t>
      </w:r>
      <w:r w:rsidR="002B13EB">
        <w:rPr>
          <w:noProof/>
        </w:rPr>
        <w:fldChar w:fldCharType="end"/>
      </w:r>
      <w:r>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r>
        <w:t>: Final design of the exemptions framework</w:t>
      </w:r>
    </w:p>
    <w:tbl>
      <w:tblPr>
        <w:tblStyle w:val="TableGrid"/>
        <w:tblW w:w="8789" w:type="dxa"/>
        <w:tblLayout w:type="fixed"/>
        <w:tblLook w:val="04A0" w:firstRow="1" w:lastRow="0" w:firstColumn="1" w:lastColumn="0" w:noHBand="0" w:noVBand="1"/>
      </w:tblPr>
      <w:tblGrid>
        <w:gridCol w:w="1276"/>
        <w:gridCol w:w="3827"/>
        <w:gridCol w:w="3686"/>
      </w:tblGrid>
      <w:tr w:rsidR="00956991" w14:paraId="28557FAC" w14:textId="77777777" w:rsidTr="00B4479F">
        <w:trPr>
          <w:cnfStyle w:val="100000000000" w:firstRow="1" w:lastRow="0" w:firstColumn="0" w:lastColumn="0" w:oddVBand="0" w:evenVBand="0" w:oddHBand="0" w:evenHBand="0" w:firstRowFirstColumn="0" w:firstRowLastColumn="0" w:lastRowFirstColumn="0" w:lastRowLastColumn="0"/>
          <w:cantSplit/>
          <w:tblHeader/>
        </w:trPr>
        <w:tc>
          <w:tcPr>
            <w:tcW w:w="1276" w:type="dxa"/>
            <w:shd w:val="clear" w:color="auto" w:fill="0099CC"/>
          </w:tcPr>
          <w:p w14:paraId="4C6C5121" w14:textId="77777777" w:rsidR="00956991" w:rsidRDefault="00956991" w:rsidP="007F479B">
            <w:pPr>
              <w:pStyle w:val="BodyText"/>
              <w:spacing w:before="20" w:after="20"/>
            </w:pPr>
            <w:r>
              <w:t>Type</w:t>
            </w:r>
          </w:p>
        </w:tc>
        <w:tc>
          <w:tcPr>
            <w:tcW w:w="3827" w:type="dxa"/>
            <w:shd w:val="clear" w:color="auto" w:fill="0099CC"/>
          </w:tcPr>
          <w:p w14:paraId="72713F7E" w14:textId="77777777" w:rsidR="00956991" w:rsidRDefault="00956991" w:rsidP="007F479B">
            <w:pPr>
              <w:pStyle w:val="BodyText"/>
              <w:spacing w:before="20" w:after="20"/>
            </w:pPr>
            <w:r>
              <w:t xml:space="preserve">Scope of the exemptions </w:t>
            </w:r>
          </w:p>
        </w:tc>
        <w:tc>
          <w:tcPr>
            <w:tcW w:w="3686" w:type="dxa"/>
            <w:tcBorders>
              <w:bottom w:val="single" w:sz="4" w:space="0" w:color="auto"/>
            </w:tcBorders>
            <w:shd w:val="clear" w:color="auto" w:fill="0099CC"/>
          </w:tcPr>
          <w:p w14:paraId="7D9DC32D" w14:textId="77777777" w:rsidR="00956991" w:rsidRDefault="00956991" w:rsidP="007F479B">
            <w:pPr>
              <w:pStyle w:val="BodyText"/>
              <w:spacing w:before="20" w:after="20"/>
            </w:pPr>
            <w:r>
              <w:t xml:space="preserve">Availability of exemption </w:t>
            </w:r>
          </w:p>
        </w:tc>
      </w:tr>
      <w:tr w:rsidR="00956991" w14:paraId="54543DCF" w14:textId="77777777" w:rsidTr="00B4479F">
        <w:tc>
          <w:tcPr>
            <w:tcW w:w="1276" w:type="dxa"/>
            <w:vMerge w:val="restart"/>
          </w:tcPr>
          <w:p w14:paraId="730FB9BB" w14:textId="77777777" w:rsidR="00956991" w:rsidRPr="008B011F" w:rsidRDefault="00956991" w:rsidP="008C01BA">
            <w:pPr>
              <w:pStyle w:val="BodyText"/>
              <w:spacing w:before="80" w:after="80" w:line="252" w:lineRule="auto"/>
              <w:rPr>
                <w:b/>
              </w:rPr>
            </w:pPr>
            <w:r w:rsidRPr="008B011F">
              <w:rPr>
                <w:b/>
              </w:rPr>
              <w:t>Full exemptions</w:t>
            </w:r>
            <w:r w:rsidRPr="008B011F">
              <w:rPr>
                <w:rFonts w:asciiTheme="majorHAnsi" w:eastAsiaTheme="minorEastAsia" w:hAnsiTheme="majorHAnsi" w:cstheme="majorHAnsi"/>
                <w:b/>
              </w:rPr>
              <w:t xml:space="preserve"> </w:t>
            </w:r>
          </w:p>
        </w:tc>
        <w:tc>
          <w:tcPr>
            <w:tcW w:w="3827" w:type="dxa"/>
            <w:vMerge w:val="restart"/>
          </w:tcPr>
          <w:p w14:paraId="3D552961" w14:textId="77777777" w:rsidR="00956991" w:rsidRPr="00956991" w:rsidRDefault="00956991" w:rsidP="00E44C6F">
            <w:pPr>
              <w:pStyle w:val="BodyText"/>
              <w:spacing w:before="80" w:after="80" w:line="252" w:lineRule="auto"/>
            </w:pPr>
            <w:r>
              <w:rPr>
                <w:rFonts w:asciiTheme="majorHAnsi" w:eastAsiaTheme="minorEastAsia" w:hAnsiTheme="majorHAnsi" w:cstheme="majorHAnsi"/>
              </w:rPr>
              <w:t>Provides for an e</w:t>
            </w:r>
            <w:r w:rsidRPr="00956991">
              <w:rPr>
                <w:rFonts w:asciiTheme="majorHAnsi" w:eastAsiaTheme="minorEastAsia" w:hAnsiTheme="majorHAnsi" w:cstheme="majorHAnsi"/>
              </w:rPr>
              <w:t xml:space="preserve">xemption from all aspects of the reform package </w:t>
            </w:r>
            <w:r>
              <w:rPr>
                <w:rFonts w:asciiTheme="majorHAnsi" w:eastAsiaTheme="minorEastAsia" w:hAnsiTheme="majorHAnsi" w:cstheme="majorHAnsi"/>
              </w:rPr>
              <w:t xml:space="preserve">(excluding </w:t>
            </w:r>
            <w:r w:rsidRPr="00956991">
              <w:rPr>
                <w:rFonts w:asciiTheme="majorHAnsi" w:eastAsiaTheme="minorEastAsia" w:hAnsiTheme="majorHAnsi" w:cstheme="majorHAnsi"/>
              </w:rPr>
              <w:t>the secondary capacity reporting framework</w:t>
            </w:r>
            <w:r w:rsidRPr="00956991">
              <w:rPr>
                <w:rStyle w:val="FootnoteReference"/>
                <w:rFonts w:cs="Arial"/>
                <w:iCs/>
              </w:rPr>
              <w:footnoteReference w:id="23"/>
            </w:r>
            <w:r w:rsidRPr="00956991">
              <w:rPr>
                <w:rFonts w:asciiTheme="majorHAnsi" w:eastAsiaTheme="minorEastAsia" w:hAnsiTheme="majorHAnsi" w:cstheme="majorHAnsi"/>
              </w:rPr>
              <w:t xml:space="preserve"> and the standard market timetable</w:t>
            </w:r>
            <w:r>
              <w:rPr>
                <w:rFonts w:asciiTheme="majorHAnsi" w:eastAsiaTheme="minorEastAsia" w:hAnsiTheme="majorHAnsi" w:cstheme="majorHAnsi"/>
              </w:rPr>
              <w:t>)</w:t>
            </w:r>
          </w:p>
        </w:tc>
        <w:tc>
          <w:tcPr>
            <w:tcW w:w="3686" w:type="dxa"/>
            <w:shd w:val="clear" w:color="auto" w:fill="FFFFFF" w:themeFill="background1"/>
          </w:tcPr>
          <w:p w14:paraId="07213E31" w14:textId="77777777" w:rsidR="00956991" w:rsidRPr="00956991" w:rsidRDefault="00956991" w:rsidP="008C01BA">
            <w:pPr>
              <w:pStyle w:val="BodyText"/>
              <w:spacing w:before="80" w:after="80" w:line="252" w:lineRule="auto"/>
              <w:rPr>
                <w:rFonts w:asciiTheme="majorHAnsi" w:eastAsiaTheme="minorEastAsia" w:hAnsiTheme="majorHAnsi" w:cstheme="majorHAnsi"/>
              </w:rPr>
            </w:pPr>
            <w:r w:rsidRPr="00C44DB0">
              <w:rPr>
                <w:b/>
              </w:rPr>
              <w:t>Automatically available</w:t>
            </w:r>
            <w:r w:rsidRPr="00956991">
              <w:rPr>
                <w:rFonts w:asciiTheme="majorHAnsi" w:eastAsiaTheme="minorEastAsia" w:hAnsiTheme="majorHAnsi" w:cstheme="majorHAnsi"/>
              </w:rPr>
              <w:t xml:space="preserve"> to:</w:t>
            </w:r>
            <w:r w:rsidRPr="00956991">
              <w:rPr>
                <w:rStyle w:val="FootnoteReference"/>
                <w:rFonts w:asciiTheme="majorHAnsi" w:eastAsiaTheme="minorEastAsia" w:hAnsiTheme="majorHAnsi" w:cstheme="majorHAnsi"/>
              </w:rPr>
              <w:footnoteReference w:id="24"/>
            </w:r>
          </w:p>
          <w:p w14:paraId="215B8A03" w14:textId="77777777" w:rsidR="00956991" w:rsidRPr="00956991" w:rsidRDefault="00956991" w:rsidP="008C01BA">
            <w:pPr>
              <w:pStyle w:val="TableBullet1"/>
              <w:spacing w:before="80" w:after="80" w:line="252" w:lineRule="auto"/>
              <w:rPr>
                <w:rFonts w:eastAsiaTheme="minorEastAsia"/>
              </w:rPr>
            </w:pPr>
            <w:r w:rsidRPr="00956991">
              <w:rPr>
                <w:rFonts w:eastAsiaTheme="minorEastAsia"/>
              </w:rPr>
              <w:t>distribution pipelines (see Box 4.1);</w:t>
            </w:r>
          </w:p>
          <w:p w14:paraId="4FCA4F02" w14:textId="77777777" w:rsidR="00956991" w:rsidRPr="00956991" w:rsidRDefault="00956991" w:rsidP="008C01BA">
            <w:pPr>
              <w:pStyle w:val="TableBullet1"/>
              <w:spacing w:before="80" w:after="80" w:line="252" w:lineRule="auto"/>
              <w:rPr>
                <w:rFonts w:eastAsiaTheme="minorEastAsia"/>
              </w:rPr>
            </w:pPr>
            <w:r w:rsidRPr="00956991">
              <w:rPr>
                <w:rFonts w:eastAsiaTheme="minorEastAsia"/>
              </w:rPr>
              <w:t>transportation facilities forming part of the DTS; and</w:t>
            </w:r>
          </w:p>
          <w:p w14:paraId="1F45E93A" w14:textId="77777777" w:rsidR="00956991" w:rsidRPr="00956991" w:rsidRDefault="00956991" w:rsidP="008C01BA">
            <w:pPr>
              <w:pStyle w:val="TableBullet1"/>
              <w:spacing w:before="80" w:after="80" w:line="252" w:lineRule="auto"/>
            </w:pPr>
            <w:r w:rsidRPr="00956991">
              <w:rPr>
                <w:rFonts w:eastAsiaTheme="minorEastAsia"/>
              </w:rPr>
              <w:t xml:space="preserve">compression facilities that are not: </w:t>
            </w:r>
          </w:p>
          <w:p w14:paraId="58112651" w14:textId="77777777" w:rsidR="00956991" w:rsidRPr="00956991" w:rsidRDefault="00956991" w:rsidP="008C01BA">
            <w:pPr>
              <w:pStyle w:val="TableBullet2"/>
              <w:spacing w:before="80" w:after="80" w:line="252" w:lineRule="auto"/>
            </w:pPr>
            <w:r w:rsidRPr="00956991">
              <w:rPr>
                <w:rFonts w:eastAsiaTheme="minorEastAsia"/>
              </w:rPr>
              <w:t>stand-alone compression service facilities;</w:t>
            </w:r>
            <w:r w:rsidRPr="00956991">
              <w:rPr>
                <w:rStyle w:val="FootnoteReference"/>
                <w:rFonts w:asciiTheme="majorHAnsi" w:hAnsiTheme="majorHAnsi" w:cstheme="majorHAnsi"/>
                <w:lang w:eastAsia="fr-CA"/>
              </w:rPr>
              <w:t xml:space="preserve"> </w:t>
            </w:r>
            <w:r w:rsidRPr="00956991">
              <w:rPr>
                <w:rFonts w:eastAsiaTheme="minorEastAsia"/>
              </w:rPr>
              <w:t>or</w:t>
            </w:r>
          </w:p>
          <w:p w14:paraId="24F7DFDF" w14:textId="77777777" w:rsidR="00956991" w:rsidRPr="00956991" w:rsidRDefault="00956991" w:rsidP="008C01BA">
            <w:pPr>
              <w:pStyle w:val="TableBullet2"/>
              <w:spacing w:before="80" w:after="80" w:line="252" w:lineRule="auto"/>
            </w:pPr>
            <w:r w:rsidRPr="00956991">
              <w:rPr>
                <w:rFonts w:eastAsiaTheme="minorEastAsia"/>
              </w:rPr>
              <w:t>designated as compression service facilities in the Regulations.</w:t>
            </w:r>
            <w:r w:rsidRPr="00956991">
              <w:rPr>
                <w:rStyle w:val="FootnoteReference"/>
                <w:rFonts w:eastAsiaTheme="minorEastAsia"/>
              </w:rPr>
              <w:footnoteReference w:id="25"/>
            </w:r>
            <w:r w:rsidRPr="00956991">
              <w:rPr>
                <w:rFonts w:eastAsiaTheme="minorEastAsia"/>
              </w:rPr>
              <w:t xml:space="preserve"> </w:t>
            </w:r>
          </w:p>
        </w:tc>
      </w:tr>
      <w:tr w:rsidR="00956991" w14:paraId="421AF23B" w14:textId="77777777" w:rsidTr="00B4479F">
        <w:trPr>
          <w:cnfStyle w:val="000000010000" w:firstRow="0" w:lastRow="0" w:firstColumn="0" w:lastColumn="0" w:oddVBand="0" w:evenVBand="0" w:oddHBand="0" w:evenHBand="1" w:firstRowFirstColumn="0" w:firstRowLastColumn="0" w:lastRowFirstColumn="0" w:lastRowLastColumn="0"/>
        </w:trPr>
        <w:tc>
          <w:tcPr>
            <w:tcW w:w="1276" w:type="dxa"/>
            <w:vMerge/>
            <w:tcBorders>
              <w:bottom w:val="single" w:sz="4" w:space="0" w:color="auto"/>
            </w:tcBorders>
          </w:tcPr>
          <w:p w14:paraId="3ED41932" w14:textId="77777777" w:rsidR="00956991" w:rsidRPr="008B011F" w:rsidRDefault="00956991" w:rsidP="008C01BA">
            <w:pPr>
              <w:pStyle w:val="BodyText"/>
              <w:spacing w:before="80" w:after="80" w:line="252" w:lineRule="auto"/>
              <w:rPr>
                <w:b/>
              </w:rPr>
            </w:pPr>
          </w:p>
        </w:tc>
        <w:tc>
          <w:tcPr>
            <w:tcW w:w="3827" w:type="dxa"/>
            <w:vMerge/>
            <w:tcBorders>
              <w:bottom w:val="single" w:sz="4" w:space="0" w:color="auto"/>
            </w:tcBorders>
          </w:tcPr>
          <w:p w14:paraId="69D77BB0" w14:textId="77777777" w:rsidR="00956991" w:rsidRDefault="00956991" w:rsidP="008C01BA">
            <w:pPr>
              <w:pStyle w:val="TableBodyText"/>
              <w:spacing w:before="80" w:after="80" w:line="252" w:lineRule="auto"/>
              <w:rPr>
                <w:b/>
                <w:lang w:eastAsia="fr-CA"/>
              </w:rPr>
            </w:pPr>
          </w:p>
        </w:tc>
        <w:tc>
          <w:tcPr>
            <w:tcW w:w="3686" w:type="dxa"/>
            <w:tcBorders>
              <w:bottom w:val="single" w:sz="4" w:space="0" w:color="auto"/>
            </w:tcBorders>
            <w:shd w:val="clear" w:color="auto" w:fill="FFFFFF" w:themeFill="background1"/>
          </w:tcPr>
          <w:p w14:paraId="0AB0F7B1" w14:textId="77777777" w:rsidR="00956991" w:rsidRPr="008B011F" w:rsidRDefault="00956991" w:rsidP="008C01BA">
            <w:pPr>
              <w:pStyle w:val="TableBodyText"/>
              <w:spacing w:before="80" w:after="80" w:line="252" w:lineRule="auto"/>
              <w:rPr>
                <w:rFonts w:eastAsiaTheme="minorEastAsia"/>
              </w:rPr>
            </w:pPr>
            <w:r w:rsidRPr="00C44DB0">
              <w:rPr>
                <w:b/>
                <w:lang w:eastAsia="fr-CA"/>
              </w:rPr>
              <w:t>Available on application</w:t>
            </w:r>
            <w:r w:rsidRPr="00956991">
              <w:rPr>
                <w:lang w:eastAsia="fr-CA"/>
              </w:rPr>
              <w:t xml:space="preserve"> to the AER </w:t>
            </w:r>
            <w:r w:rsidRPr="008B011F">
              <w:rPr>
                <w:lang w:eastAsia="fr-CA"/>
              </w:rPr>
              <w:t xml:space="preserve">to transportation facilities that are </w:t>
            </w:r>
            <w:r w:rsidRPr="00956991">
              <w:rPr>
                <w:rFonts w:eastAsiaTheme="minorEastAsia"/>
                <w:b/>
              </w:rPr>
              <w:t>not</w:t>
            </w:r>
            <w:r w:rsidRPr="008B011F">
              <w:rPr>
                <w:rFonts w:eastAsiaTheme="minorEastAsia"/>
              </w:rPr>
              <w:t xml:space="preserve"> providing third party access.</w:t>
            </w:r>
            <w:r w:rsidRPr="008B011F">
              <w:rPr>
                <w:rStyle w:val="FootnoteReference"/>
                <w:rFonts w:eastAsiaTheme="minorEastAsia"/>
              </w:rPr>
              <w:footnoteReference w:id="26"/>
            </w:r>
            <w:r w:rsidRPr="008B011F">
              <w:rPr>
                <w:rFonts w:eastAsiaTheme="minorEastAsia"/>
                <w:vertAlign w:val="superscript"/>
              </w:rPr>
              <w:t>,</w:t>
            </w:r>
            <w:r w:rsidRPr="008B011F">
              <w:rPr>
                <w:rStyle w:val="FootnoteReference"/>
                <w:rFonts w:asciiTheme="majorHAnsi" w:eastAsiaTheme="minorEastAsia" w:hAnsiTheme="majorHAnsi" w:cstheme="majorHAnsi"/>
              </w:rPr>
              <w:footnoteReference w:id="27"/>
            </w:r>
          </w:p>
        </w:tc>
      </w:tr>
      <w:tr w:rsidR="00C44DB0" w14:paraId="6AF507F0" w14:textId="77777777" w:rsidTr="00B4479F">
        <w:tc>
          <w:tcPr>
            <w:tcW w:w="1276" w:type="dxa"/>
            <w:shd w:val="clear" w:color="auto" w:fill="E1E2E7" w:themeFill="background2"/>
          </w:tcPr>
          <w:p w14:paraId="1ECB8C5D" w14:textId="77777777" w:rsidR="00956991" w:rsidRPr="008B011F" w:rsidRDefault="00956991" w:rsidP="00B4479F">
            <w:pPr>
              <w:pStyle w:val="BodyText"/>
              <w:keepNext/>
              <w:spacing w:before="60" w:after="60" w:line="252" w:lineRule="auto"/>
              <w:rPr>
                <w:b/>
              </w:rPr>
            </w:pPr>
            <w:r w:rsidRPr="008B011F">
              <w:rPr>
                <w:b/>
              </w:rPr>
              <w:lastRenderedPageBreak/>
              <w:t>Conditional exemptions</w:t>
            </w:r>
            <w:r w:rsidRPr="008B011F">
              <w:rPr>
                <w:b/>
              </w:rPr>
              <w:br/>
            </w:r>
          </w:p>
        </w:tc>
        <w:tc>
          <w:tcPr>
            <w:tcW w:w="3827" w:type="dxa"/>
            <w:shd w:val="clear" w:color="auto" w:fill="E1E2E7" w:themeFill="background2"/>
          </w:tcPr>
          <w:p w14:paraId="01D497D7" w14:textId="77777777" w:rsidR="00956991" w:rsidRDefault="00956991" w:rsidP="00B4479F">
            <w:pPr>
              <w:pStyle w:val="TableBodyText"/>
              <w:keepNext/>
              <w:spacing w:line="252" w:lineRule="auto"/>
              <w:rPr>
                <w:rFonts w:eastAsiaTheme="minorEastAsia"/>
              </w:rPr>
            </w:pPr>
            <w:r>
              <w:t>Provides for an e</w:t>
            </w:r>
            <w:r w:rsidRPr="006774B5">
              <w:t xml:space="preserve">xemption from the </w:t>
            </w:r>
            <w:r w:rsidRPr="006774B5">
              <w:rPr>
                <w:rFonts w:eastAsiaTheme="minorEastAsia"/>
              </w:rPr>
              <w:t>day-ahead auction and the obligation to prepare and publish a standard OTSA</w:t>
            </w:r>
            <w:r>
              <w:rPr>
                <w:rFonts w:eastAsiaTheme="minorEastAsia"/>
              </w:rPr>
              <w:t>,</w:t>
            </w:r>
            <w:r w:rsidRPr="006774B5">
              <w:rPr>
                <w:rFonts w:eastAsiaTheme="minorEastAsia"/>
              </w:rPr>
              <w:t xml:space="preserve"> but</w:t>
            </w:r>
            <w:r>
              <w:rPr>
                <w:rFonts w:eastAsiaTheme="minorEastAsia"/>
              </w:rPr>
              <w:t xml:space="preserve"> </w:t>
            </w:r>
            <w:r w:rsidRPr="006774B5">
              <w:rPr>
                <w:rFonts w:eastAsiaTheme="minorEastAsia"/>
              </w:rPr>
              <w:t xml:space="preserve">not </w:t>
            </w:r>
            <w:r>
              <w:rPr>
                <w:rFonts w:eastAsiaTheme="minorEastAsia"/>
              </w:rPr>
              <w:t xml:space="preserve">from a range of other </w:t>
            </w:r>
            <w:r w:rsidR="00C44DB0">
              <w:rPr>
                <w:rFonts w:eastAsiaTheme="minorEastAsia"/>
              </w:rPr>
              <w:t xml:space="preserve">obligations such as </w:t>
            </w:r>
            <w:r>
              <w:rPr>
                <w:rFonts w:eastAsiaTheme="minorEastAsia"/>
              </w:rPr>
              <w:t>the obligation</w:t>
            </w:r>
            <w:r w:rsidR="00C44DB0">
              <w:rPr>
                <w:rFonts w:eastAsiaTheme="minorEastAsia"/>
              </w:rPr>
              <w:t xml:space="preserve"> to</w:t>
            </w:r>
            <w:r>
              <w:rPr>
                <w:rFonts w:eastAsiaTheme="minorEastAsia"/>
              </w:rPr>
              <w:t>:</w:t>
            </w:r>
            <w:r w:rsidR="00C44DB0">
              <w:rPr>
                <w:rStyle w:val="FootnoteReference"/>
                <w:rFonts w:eastAsiaTheme="minorEastAsia"/>
              </w:rPr>
              <w:footnoteReference w:id="28"/>
            </w:r>
          </w:p>
          <w:p w14:paraId="53D1D498" w14:textId="77777777" w:rsidR="00956991" w:rsidRPr="00C44DB0" w:rsidRDefault="00956991" w:rsidP="00B4479F">
            <w:pPr>
              <w:pStyle w:val="TableBullet1"/>
              <w:keepNext/>
              <w:rPr>
                <w:rStyle w:val="FootnoteReference"/>
                <w:iCs/>
                <w:vertAlign w:val="baseline"/>
              </w:rPr>
            </w:pPr>
            <w:r w:rsidRPr="00C44DB0">
              <w:rPr>
                <w:rFonts w:eastAsiaTheme="minorEastAsia"/>
              </w:rPr>
              <w:t xml:space="preserve">prepare and offer to enter into a standard OTSA if requested to do so by a shipper; </w:t>
            </w:r>
          </w:p>
          <w:p w14:paraId="33D59B9F" w14:textId="77777777" w:rsidR="00956991" w:rsidRDefault="00956991" w:rsidP="00B4479F">
            <w:pPr>
              <w:pStyle w:val="TableBullet1"/>
              <w:keepNext/>
            </w:pPr>
            <w:r w:rsidRPr="00B115B2">
              <w:t xml:space="preserve">comply with the </w:t>
            </w:r>
            <w:r w:rsidRPr="0062445F">
              <w:t xml:space="preserve">standardisation cost </w:t>
            </w:r>
            <w:r>
              <w:t xml:space="preserve">recovery and charging </w:t>
            </w:r>
            <w:r w:rsidRPr="0062445F">
              <w:t xml:space="preserve">principles; </w:t>
            </w:r>
          </w:p>
          <w:p w14:paraId="24BFE96C" w14:textId="77777777" w:rsidR="00956991" w:rsidRDefault="00956991" w:rsidP="00B4479F">
            <w:pPr>
              <w:pStyle w:val="TableBullet1"/>
              <w:keepNext/>
            </w:pPr>
            <w:r w:rsidRPr="0062445F">
              <w:t xml:space="preserve">give effect to operational transfers; </w:t>
            </w:r>
          </w:p>
          <w:p w14:paraId="716A92B9" w14:textId="77777777" w:rsidR="00956991" w:rsidRDefault="00956991" w:rsidP="00B4479F">
            <w:pPr>
              <w:pStyle w:val="TableBullet1"/>
              <w:keepNext/>
              <w:rPr>
                <w:lang w:eastAsia="fr-CA"/>
              </w:rPr>
            </w:pPr>
            <w:r>
              <w:rPr>
                <w:lang w:eastAsia="fr-CA"/>
              </w:rPr>
              <w:t>amend existing facility agreements if requested to do so by a shipper and ensure new facility agreements permit shippers to</w:t>
            </w:r>
            <w:r w:rsidR="001C0945">
              <w:rPr>
                <w:lang w:eastAsia="fr-CA"/>
              </w:rPr>
              <w:t xml:space="preserve"> sell capacity for use under an</w:t>
            </w:r>
            <w:r>
              <w:rPr>
                <w:lang w:eastAsia="fr-CA"/>
              </w:rPr>
              <w:t xml:space="preserve"> OTSA and give effect to facilitation of trade principles in the NGR;</w:t>
            </w:r>
            <w:r w:rsidRPr="00710055">
              <w:rPr>
                <w:rStyle w:val="FootnoteReference"/>
              </w:rPr>
              <w:t xml:space="preserve"> </w:t>
            </w:r>
            <w:r w:rsidR="001C0945">
              <w:t>and</w:t>
            </w:r>
          </w:p>
          <w:p w14:paraId="208BAFC8" w14:textId="77777777" w:rsidR="00956991" w:rsidRPr="00AD549E" w:rsidRDefault="00956991" w:rsidP="00B4479F">
            <w:pPr>
              <w:pStyle w:val="TableBullet1"/>
              <w:keepNext/>
              <w:rPr>
                <w:rFonts w:eastAsiaTheme="minorEastAsia"/>
              </w:rPr>
            </w:pPr>
            <w:r w:rsidRPr="0062445F">
              <w:t>comply with the use of additional pipeline service point provisions.</w:t>
            </w:r>
          </w:p>
        </w:tc>
        <w:tc>
          <w:tcPr>
            <w:tcW w:w="3686" w:type="dxa"/>
            <w:shd w:val="clear" w:color="auto" w:fill="E1E2E7" w:themeFill="background2"/>
          </w:tcPr>
          <w:p w14:paraId="29E346C7" w14:textId="77777777" w:rsidR="00956991" w:rsidRPr="008B011F" w:rsidRDefault="00956991" w:rsidP="00B4479F">
            <w:pPr>
              <w:pStyle w:val="TableBodyText"/>
              <w:keepNext/>
              <w:spacing w:line="252" w:lineRule="auto"/>
              <w:rPr>
                <w:rFonts w:eastAsiaTheme="minorEastAsia"/>
              </w:rPr>
            </w:pPr>
            <w:r w:rsidRPr="00C44DB0">
              <w:rPr>
                <w:rFonts w:eastAsiaTheme="minorEastAsia"/>
                <w:b/>
              </w:rPr>
              <w:t xml:space="preserve">Available on application </w:t>
            </w:r>
            <w:r w:rsidRPr="00956991">
              <w:rPr>
                <w:rFonts w:eastAsiaTheme="minorEastAsia"/>
              </w:rPr>
              <w:t>to the AER</w:t>
            </w:r>
            <w:r w:rsidRPr="008B011F">
              <w:rPr>
                <w:rFonts w:eastAsiaTheme="minorEastAsia"/>
              </w:rPr>
              <w:t xml:space="preserve"> to transportation facilities that:</w:t>
            </w:r>
            <w:r w:rsidRPr="008B011F">
              <w:rPr>
                <w:rStyle w:val="FootnoteReference"/>
                <w:rFonts w:asciiTheme="majorHAnsi" w:eastAsiaTheme="minorEastAsia" w:hAnsiTheme="majorHAnsi" w:cstheme="majorHAnsi"/>
              </w:rPr>
              <w:footnoteReference w:id="29"/>
            </w:r>
            <w:r w:rsidRPr="008B011F">
              <w:rPr>
                <w:rFonts w:eastAsiaTheme="minorEastAsia"/>
              </w:rPr>
              <w:t xml:space="preserve"> </w:t>
            </w:r>
          </w:p>
          <w:p w14:paraId="0F1EFFD6" w14:textId="76FEB973" w:rsidR="00956991" w:rsidRPr="005D2A51" w:rsidRDefault="00956991" w:rsidP="00B4479F">
            <w:pPr>
              <w:pStyle w:val="TableBullet1"/>
              <w:keepNext/>
              <w:spacing w:line="252" w:lineRule="auto"/>
            </w:pPr>
            <w:r w:rsidRPr="008B011F">
              <w:rPr>
                <w:rFonts w:eastAsiaTheme="minorEastAsia"/>
              </w:rPr>
              <w:t>have a nameplate less than 10 TJ/day</w:t>
            </w:r>
            <w:r w:rsidR="005D2A51">
              <w:rPr>
                <w:rFonts w:eastAsiaTheme="minorEastAsia"/>
              </w:rPr>
              <w:t>; or</w:t>
            </w:r>
          </w:p>
          <w:p w14:paraId="3349696B" w14:textId="77777777" w:rsidR="005D2A51" w:rsidRPr="008B011F" w:rsidRDefault="005D2A51" w:rsidP="00B4479F">
            <w:pPr>
              <w:pStyle w:val="TableBullet1"/>
              <w:keepNext/>
              <w:spacing w:line="252" w:lineRule="auto"/>
              <w:rPr>
                <w:rFonts w:eastAsiaTheme="minorEastAsia"/>
              </w:rPr>
            </w:pPr>
            <w:r w:rsidRPr="008B011F">
              <w:rPr>
                <w:rFonts w:eastAsiaTheme="minorEastAsia"/>
              </w:rPr>
              <w:t>are servicing a single user (shipper)</w:t>
            </w:r>
            <w:r>
              <w:rPr>
                <w:rFonts w:eastAsiaTheme="minorEastAsia"/>
              </w:rPr>
              <w:t>.</w:t>
            </w:r>
            <w:r w:rsidRPr="008B011F">
              <w:rPr>
                <w:rStyle w:val="FootnoteReference"/>
                <w:rFonts w:eastAsiaTheme="minorEastAsia"/>
              </w:rPr>
              <w:footnoteReference w:id="30"/>
            </w:r>
            <w:r w:rsidRPr="008B011F">
              <w:rPr>
                <w:rFonts w:eastAsiaTheme="minorEastAsia"/>
              </w:rPr>
              <w:t xml:space="preserve"> </w:t>
            </w:r>
          </w:p>
          <w:p w14:paraId="225DFBF3" w14:textId="77777777" w:rsidR="00E37109" w:rsidRDefault="005D2A51" w:rsidP="00B4479F">
            <w:pPr>
              <w:pStyle w:val="TableBodyText"/>
              <w:keepNext/>
              <w:rPr>
                <w:rFonts w:asciiTheme="majorHAnsi" w:hAnsiTheme="majorHAnsi" w:cstheme="majorHAnsi"/>
                <w:sz w:val="16"/>
                <w:szCs w:val="16"/>
              </w:rPr>
            </w:pPr>
            <w:r>
              <w:t>In relation to the lat</w:t>
            </w:r>
            <w:r w:rsidR="001C0945">
              <w:t>ter of these exemption criteria</w:t>
            </w:r>
            <w:r>
              <w:t xml:space="preserve">, </w:t>
            </w:r>
            <w:r w:rsidRPr="00C37D44">
              <w:t xml:space="preserve">if a prospective </w:t>
            </w:r>
            <w:r>
              <w:t xml:space="preserve">shipper </w:t>
            </w:r>
            <w:r w:rsidRPr="00C37D44">
              <w:t>enter</w:t>
            </w:r>
            <w:r>
              <w:t>s</w:t>
            </w:r>
            <w:r w:rsidRPr="00C37D44">
              <w:t xml:space="preserve"> into an OTSA</w:t>
            </w:r>
            <w:r>
              <w:t xml:space="preserve"> with the transportation service provider then it will technically no longer be a single user facility and the </w:t>
            </w:r>
            <w:r w:rsidRPr="00C37D44">
              <w:t xml:space="preserve">AER </w:t>
            </w:r>
            <w:r w:rsidRPr="00E37109">
              <w:t>may</w:t>
            </w:r>
            <w:r>
              <w:t xml:space="preserve"> </w:t>
            </w:r>
            <w:r w:rsidRPr="00C37D44">
              <w:t>revoke the exemption.</w:t>
            </w:r>
            <w:r w:rsidR="00E37109" w:rsidRPr="00C37D44">
              <w:rPr>
                <w:rStyle w:val="FootnoteReference"/>
                <w:rFonts w:asciiTheme="majorHAnsi" w:hAnsiTheme="majorHAnsi" w:cstheme="majorHAnsi"/>
              </w:rPr>
              <w:footnoteReference w:id="31"/>
            </w:r>
          </w:p>
          <w:p w14:paraId="0A975719" w14:textId="77777777" w:rsidR="00E37109" w:rsidRPr="008B011F" w:rsidRDefault="00E37109" w:rsidP="00B4479F">
            <w:pPr>
              <w:pStyle w:val="TableBodyText"/>
              <w:keepNext/>
              <w:ind w:left="0"/>
            </w:pPr>
          </w:p>
        </w:tc>
      </w:tr>
    </w:tbl>
    <w:p w14:paraId="553E6252" w14:textId="0484D9BC" w:rsidR="00D32596" w:rsidRDefault="00D32596" w:rsidP="00D32596">
      <w:pPr>
        <w:pStyle w:val="Caption"/>
        <w:spacing w:after="0"/>
      </w:pPr>
      <w:bookmarkStart w:id="54" w:name="ReturnHere"/>
      <w:bookmarkEnd w:id="54"/>
      <w:r>
        <w:t xml:space="preserve">Box </w:t>
      </w:r>
      <w:r w:rsidR="00307760">
        <w:rPr>
          <w:noProof/>
        </w:rPr>
        <w:fldChar w:fldCharType="begin"/>
      </w:r>
      <w:r w:rsidR="00307760">
        <w:rPr>
          <w:noProof/>
        </w:rPr>
        <w:instrText xml:space="preserve"> STYLEREF 1 \s </w:instrText>
      </w:r>
      <w:r w:rsidR="00307760">
        <w:rPr>
          <w:noProof/>
        </w:rPr>
        <w:fldChar w:fldCharType="separate"/>
      </w:r>
      <w:r w:rsidR="0026074F">
        <w:rPr>
          <w:noProof/>
        </w:rPr>
        <w:t>4</w:t>
      </w:r>
      <w:r w:rsidR="00307760">
        <w:rPr>
          <w:noProof/>
        </w:rPr>
        <w:fldChar w:fldCharType="end"/>
      </w:r>
      <w:r>
        <w:t>.</w:t>
      </w:r>
      <w:r w:rsidR="00307760">
        <w:rPr>
          <w:noProof/>
        </w:rPr>
        <w:fldChar w:fldCharType="begin"/>
      </w:r>
      <w:r w:rsidR="00307760">
        <w:rPr>
          <w:noProof/>
        </w:rPr>
        <w:instrText xml:space="preserve"> SEQ Box \* ARABIC \s 1 </w:instrText>
      </w:r>
      <w:r w:rsidR="00307760">
        <w:rPr>
          <w:noProof/>
        </w:rPr>
        <w:fldChar w:fldCharType="separate"/>
      </w:r>
      <w:r w:rsidR="0026074F">
        <w:rPr>
          <w:noProof/>
        </w:rPr>
        <w:t>1</w:t>
      </w:r>
      <w:r w:rsidR="00307760">
        <w:rPr>
          <w:noProof/>
        </w:rPr>
        <w:fldChar w:fldCharType="end"/>
      </w:r>
      <w:r>
        <w:t>: Procedural requirements for exemptions</w:t>
      </w:r>
    </w:p>
    <w:tbl>
      <w:tblPr>
        <w:tblStyle w:val="PullOutBoxTable"/>
        <w:tblW w:w="5000" w:type="pct"/>
        <w:tblLook w:val="0600" w:firstRow="0" w:lastRow="0" w:firstColumn="0" w:lastColumn="0" w:noHBand="1" w:noVBand="1"/>
      </w:tblPr>
      <w:tblGrid>
        <w:gridCol w:w="8788"/>
      </w:tblGrid>
      <w:tr w:rsidR="00D32596" w:rsidRPr="00212859" w14:paraId="3CF83359" w14:textId="77777777" w:rsidTr="00D32596">
        <w:tc>
          <w:tcPr>
            <w:tcW w:w="5000" w:type="pct"/>
          </w:tcPr>
          <w:p w14:paraId="554EBF6D" w14:textId="77777777" w:rsidR="008C01BA" w:rsidRPr="008C01BA" w:rsidRDefault="008C01BA" w:rsidP="00212859">
            <w:pPr>
              <w:spacing w:before="80" w:after="120"/>
              <w:rPr>
                <w:rFonts w:asciiTheme="majorHAnsi" w:hAnsiTheme="majorHAnsi" w:cstheme="majorHAnsi"/>
                <w:b/>
                <w:color w:val="0099CC"/>
                <w:sz w:val="20"/>
                <w:szCs w:val="20"/>
              </w:rPr>
            </w:pPr>
            <w:r w:rsidRPr="008C01BA">
              <w:rPr>
                <w:rFonts w:asciiTheme="majorHAnsi" w:hAnsiTheme="majorHAnsi" w:cstheme="majorHAnsi"/>
                <w:b/>
                <w:color w:val="0099CC"/>
                <w:sz w:val="20"/>
                <w:szCs w:val="20"/>
              </w:rPr>
              <w:t xml:space="preserve">Standard </w:t>
            </w:r>
            <w:r>
              <w:rPr>
                <w:rFonts w:asciiTheme="majorHAnsi" w:hAnsiTheme="majorHAnsi" w:cstheme="majorHAnsi"/>
                <w:b/>
                <w:color w:val="0099CC"/>
                <w:sz w:val="20"/>
                <w:szCs w:val="20"/>
              </w:rPr>
              <w:t xml:space="preserve">Part 24 </w:t>
            </w:r>
            <w:r w:rsidRPr="008C01BA">
              <w:rPr>
                <w:rFonts w:asciiTheme="majorHAnsi" w:hAnsiTheme="majorHAnsi" w:cstheme="majorHAnsi"/>
                <w:b/>
                <w:color w:val="0099CC"/>
                <w:sz w:val="20"/>
                <w:szCs w:val="20"/>
              </w:rPr>
              <w:t>exemptions</w:t>
            </w:r>
          </w:p>
          <w:p w14:paraId="4912980E" w14:textId="77777777" w:rsidR="00D32596" w:rsidRPr="00212859" w:rsidRDefault="00D32596" w:rsidP="00212859">
            <w:pPr>
              <w:spacing w:before="80" w:after="120"/>
              <w:rPr>
                <w:rFonts w:asciiTheme="majorHAnsi" w:hAnsiTheme="majorHAnsi" w:cstheme="majorHAnsi"/>
                <w:sz w:val="20"/>
                <w:szCs w:val="20"/>
              </w:rPr>
            </w:pPr>
            <w:r w:rsidRPr="00212859">
              <w:rPr>
                <w:rFonts w:asciiTheme="majorHAnsi" w:hAnsiTheme="majorHAnsi" w:cstheme="majorHAnsi"/>
                <w:sz w:val="20"/>
                <w:szCs w:val="20"/>
              </w:rPr>
              <w:t xml:space="preserve">A </w:t>
            </w:r>
            <w:r w:rsidR="008C01BA">
              <w:rPr>
                <w:rFonts w:asciiTheme="majorHAnsi" w:hAnsiTheme="majorHAnsi" w:cstheme="majorHAnsi"/>
                <w:sz w:val="20"/>
                <w:szCs w:val="20"/>
              </w:rPr>
              <w:t xml:space="preserve">transportation </w:t>
            </w:r>
            <w:r w:rsidRPr="00212859">
              <w:rPr>
                <w:rFonts w:asciiTheme="majorHAnsi" w:hAnsiTheme="majorHAnsi" w:cstheme="majorHAnsi"/>
                <w:sz w:val="20"/>
                <w:szCs w:val="20"/>
              </w:rPr>
              <w:t>service provider of a transportation facility that is not a designated compression facility and meets one or more of the following criteria may apply to the AER for an exemption:</w:t>
            </w:r>
            <w:r w:rsidR="00383523" w:rsidRPr="00212859">
              <w:rPr>
                <w:rStyle w:val="FootnoteReference"/>
                <w:rFonts w:asciiTheme="majorHAnsi" w:hAnsiTheme="majorHAnsi" w:cstheme="majorHAnsi"/>
                <w:sz w:val="20"/>
                <w:szCs w:val="20"/>
              </w:rPr>
              <w:footnoteReference w:id="32"/>
            </w:r>
          </w:p>
          <w:p w14:paraId="69603AA8" w14:textId="77777777" w:rsidR="00D32596" w:rsidRPr="00212859" w:rsidRDefault="00D32596" w:rsidP="00212859">
            <w:pPr>
              <w:pStyle w:val="ListBullet"/>
              <w:numPr>
                <w:ilvl w:val="0"/>
                <w:numId w:val="29"/>
              </w:numPr>
              <w:spacing w:before="80"/>
              <w:rPr>
                <w:rFonts w:asciiTheme="majorHAnsi" w:hAnsiTheme="majorHAnsi" w:cstheme="majorHAnsi"/>
                <w:sz w:val="20"/>
                <w:szCs w:val="20"/>
              </w:rPr>
            </w:pPr>
            <w:r w:rsidRPr="00212859">
              <w:rPr>
                <w:rFonts w:asciiTheme="majorHAnsi" w:hAnsiTheme="majorHAnsi" w:cstheme="majorHAnsi"/>
                <w:sz w:val="20"/>
                <w:szCs w:val="20"/>
              </w:rPr>
              <w:t>the transportation facility is not providing third party access;</w:t>
            </w:r>
          </w:p>
          <w:p w14:paraId="2BB73C9D" w14:textId="77777777" w:rsidR="00D32596" w:rsidRPr="00212859" w:rsidRDefault="00D32596" w:rsidP="00212859">
            <w:pPr>
              <w:pStyle w:val="ListBullet"/>
              <w:numPr>
                <w:ilvl w:val="0"/>
                <w:numId w:val="29"/>
              </w:numPr>
              <w:spacing w:before="80"/>
              <w:rPr>
                <w:rFonts w:asciiTheme="majorHAnsi" w:hAnsiTheme="majorHAnsi" w:cstheme="majorHAnsi"/>
                <w:sz w:val="20"/>
                <w:szCs w:val="20"/>
              </w:rPr>
            </w:pPr>
            <w:r w:rsidRPr="00212859">
              <w:rPr>
                <w:rFonts w:asciiTheme="majorHAnsi" w:hAnsiTheme="majorHAnsi" w:cstheme="majorHAnsi"/>
                <w:sz w:val="20"/>
                <w:szCs w:val="20"/>
              </w:rPr>
              <w:t>the transportation facility is a single user facility; or</w:t>
            </w:r>
          </w:p>
          <w:p w14:paraId="2F9D16FF" w14:textId="66699A09" w:rsidR="00D32596" w:rsidRPr="00212859" w:rsidRDefault="00D32596" w:rsidP="00212859">
            <w:pPr>
              <w:pStyle w:val="ListBullet"/>
              <w:numPr>
                <w:ilvl w:val="0"/>
                <w:numId w:val="29"/>
              </w:numPr>
              <w:spacing w:before="80"/>
              <w:rPr>
                <w:rFonts w:asciiTheme="majorHAnsi" w:hAnsiTheme="majorHAnsi" w:cstheme="majorHAnsi"/>
                <w:sz w:val="20"/>
                <w:szCs w:val="20"/>
              </w:rPr>
            </w:pPr>
            <w:r w:rsidRPr="00212859">
              <w:rPr>
                <w:rFonts w:asciiTheme="majorHAnsi" w:hAnsiTheme="majorHAnsi" w:cstheme="majorHAnsi"/>
                <w:sz w:val="20"/>
                <w:szCs w:val="20"/>
              </w:rPr>
              <w:t xml:space="preserve">the transportation facility has a nameplate </w:t>
            </w:r>
            <w:r w:rsidR="00C855EC">
              <w:rPr>
                <w:rFonts w:asciiTheme="majorHAnsi" w:hAnsiTheme="majorHAnsi" w:cstheme="majorHAnsi"/>
                <w:sz w:val="20"/>
                <w:szCs w:val="20"/>
              </w:rPr>
              <w:t>rating</w:t>
            </w:r>
            <w:r w:rsidRPr="00212859">
              <w:rPr>
                <w:rFonts w:asciiTheme="majorHAnsi" w:hAnsiTheme="majorHAnsi" w:cstheme="majorHAnsi"/>
                <w:sz w:val="20"/>
                <w:szCs w:val="20"/>
              </w:rPr>
              <w:t xml:space="preserve"> less than 10 TJ/day.</w:t>
            </w:r>
          </w:p>
          <w:p w14:paraId="388804D0" w14:textId="77777777" w:rsidR="00C152FC" w:rsidRDefault="00D32596" w:rsidP="00212859">
            <w:pPr>
              <w:pStyle w:val="ListBullet"/>
              <w:numPr>
                <w:ilvl w:val="0"/>
                <w:numId w:val="0"/>
              </w:numPr>
              <w:spacing w:before="80"/>
              <w:rPr>
                <w:rFonts w:asciiTheme="majorHAnsi" w:hAnsiTheme="majorHAnsi" w:cstheme="majorHAnsi"/>
                <w:sz w:val="20"/>
                <w:szCs w:val="20"/>
              </w:rPr>
            </w:pPr>
            <w:r w:rsidRPr="00212859">
              <w:rPr>
                <w:rFonts w:asciiTheme="majorHAnsi" w:hAnsiTheme="majorHAnsi" w:cstheme="majorHAnsi"/>
                <w:sz w:val="20"/>
                <w:szCs w:val="20"/>
              </w:rPr>
              <w:t xml:space="preserve">The first two of these criteria are identical to the exemption criteria in Part 23 of the NGR, while the last criterion </w:t>
            </w:r>
            <w:r w:rsidR="00C152FC">
              <w:rPr>
                <w:rFonts w:asciiTheme="majorHAnsi" w:hAnsiTheme="majorHAnsi" w:cstheme="majorHAnsi"/>
                <w:sz w:val="20"/>
                <w:szCs w:val="20"/>
              </w:rPr>
              <w:t>is based on the reporting threshold adopted in Part 18 of the NGR</w:t>
            </w:r>
            <w:r w:rsidRPr="00212859">
              <w:rPr>
                <w:rFonts w:asciiTheme="majorHAnsi" w:hAnsiTheme="majorHAnsi" w:cstheme="majorHAnsi"/>
                <w:sz w:val="20"/>
                <w:szCs w:val="20"/>
              </w:rPr>
              <w:t xml:space="preserve">. </w:t>
            </w:r>
          </w:p>
          <w:p w14:paraId="552D60AD" w14:textId="77777777" w:rsidR="00D32596" w:rsidRPr="00212859" w:rsidRDefault="00D32596" w:rsidP="00212859">
            <w:pPr>
              <w:pStyle w:val="ListBullet"/>
              <w:numPr>
                <w:ilvl w:val="0"/>
                <w:numId w:val="0"/>
              </w:numPr>
              <w:spacing w:before="80"/>
              <w:rPr>
                <w:rFonts w:asciiTheme="majorHAnsi" w:hAnsiTheme="majorHAnsi" w:cstheme="majorHAnsi"/>
                <w:sz w:val="20"/>
                <w:szCs w:val="20"/>
              </w:rPr>
            </w:pPr>
            <w:r w:rsidRPr="00212859">
              <w:rPr>
                <w:rFonts w:asciiTheme="majorHAnsi" w:hAnsiTheme="majorHAnsi" w:cstheme="majorHAnsi"/>
                <w:sz w:val="20"/>
                <w:szCs w:val="20"/>
              </w:rPr>
              <w:t>The AER must, on the application of the service provider, grant an exemption in respect of the transportation facility (or a part of the facility), if:</w:t>
            </w:r>
            <w:r w:rsidR="00383523" w:rsidRPr="00212859">
              <w:rPr>
                <w:rStyle w:val="FootnoteReference"/>
                <w:rFonts w:asciiTheme="majorHAnsi" w:hAnsiTheme="majorHAnsi" w:cstheme="majorHAnsi"/>
                <w:sz w:val="20"/>
                <w:szCs w:val="20"/>
              </w:rPr>
              <w:footnoteReference w:id="33"/>
            </w:r>
          </w:p>
          <w:p w14:paraId="48E2A0C4" w14:textId="77777777" w:rsidR="00D32596" w:rsidRPr="00212859" w:rsidRDefault="00D32596" w:rsidP="00EA491F">
            <w:pPr>
              <w:pStyle w:val="ListBullet"/>
              <w:numPr>
                <w:ilvl w:val="0"/>
                <w:numId w:val="42"/>
              </w:numPr>
              <w:spacing w:before="80"/>
              <w:rPr>
                <w:rFonts w:asciiTheme="majorHAnsi" w:eastAsiaTheme="minorEastAsia" w:hAnsiTheme="majorHAnsi" w:cstheme="majorHAnsi"/>
                <w:sz w:val="20"/>
                <w:szCs w:val="20"/>
              </w:rPr>
            </w:pPr>
            <w:r w:rsidRPr="00212859">
              <w:rPr>
                <w:rFonts w:asciiTheme="majorHAnsi" w:eastAsiaTheme="minorEastAsia" w:hAnsiTheme="majorHAnsi" w:cstheme="majorHAnsi"/>
                <w:sz w:val="20"/>
                <w:szCs w:val="20"/>
              </w:rPr>
              <w:t xml:space="preserve">the service provider has demonstrated to the AER’s reasonable satisfaction that the transportation facility (or part thereof) qualifies for an exemption; </w:t>
            </w:r>
          </w:p>
          <w:p w14:paraId="393E69D4" w14:textId="77777777" w:rsidR="00D32596" w:rsidRPr="00212859" w:rsidRDefault="00D32596" w:rsidP="00EA491F">
            <w:pPr>
              <w:pStyle w:val="ListBullet"/>
              <w:numPr>
                <w:ilvl w:val="0"/>
                <w:numId w:val="42"/>
              </w:numPr>
              <w:spacing w:before="80"/>
              <w:rPr>
                <w:rFonts w:asciiTheme="majorHAnsi" w:eastAsiaTheme="minorEastAsia" w:hAnsiTheme="majorHAnsi" w:cstheme="majorHAnsi"/>
                <w:sz w:val="20"/>
                <w:szCs w:val="20"/>
              </w:rPr>
            </w:pPr>
            <w:r w:rsidRPr="00212859">
              <w:rPr>
                <w:rFonts w:asciiTheme="majorHAnsi" w:eastAsiaTheme="minorEastAsia" w:hAnsiTheme="majorHAnsi" w:cstheme="majorHAnsi"/>
                <w:sz w:val="20"/>
                <w:szCs w:val="20"/>
              </w:rPr>
              <w:t>in the case of part of a transportation facility, the grant of the exemption will not hinder access to operational transportation services on any other part of the facility; and</w:t>
            </w:r>
          </w:p>
          <w:p w14:paraId="2A6EAFB3" w14:textId="77777777" w:rsidR="00D32596" w:rsidRPr="00212859" w:rsidRDefault="00D32596" w:rsidP="00EA491F">
            <w:pPr>
              <w:pStyle w:val="ListBullet"/>
              <w:numPr>
                <w:ilvl w:val="0"/>
                <w:numId w:val="42"/>
              </w:numPr>
              <w:spacing w:before="80" w:after="160"/>
              <w:rPr>
                <w:rFonts w:asciiTheme="majorHAnsi" w:eastAsiaTheme="minorEastAsia" w:hAnsiTheme="majorHAnsi" w:cstheme="majorHAnsi"/>
                <w:sz w:val="20"/>
                <w:szCs w:val="20"/>
              </w:rPr>
            </w:pPr>
            <w:r w:rsidRPr="00212859">
              <w:rPr>
                <w:rFonts w:asciiTheme="majorHAnsi" w:eastAsiaTheme="minorEastAsia" w:hAnsiTheme="majorHAnsi" w:cstheme="majorHAnsi"/>
                <w:sz w:val="20"/>
                <w:szCs w:val="20"/>
              </w:rPr>
              <w:t>the AER is otherwise satisfied that in all the circumstances the exemption should be granted.</w:t>
            </w:r>
          </w:p>
          <w:p w14:paraId="73573D04" w14:textId="77777777" w:rsidR="00D32596" w:rsidRPr="00212859" w:rsidRDefault="00D32596" w:rsidP="00212859">
            <w:pPr>
              <w:pStyle w:val="BodyText"/>
              <w:spacing w:before="80" w:after="200"/>
              <w:rPr>
                <w:rFonts w:asciiTheme="majorHAnsi" w:eastAsiaTheme="minorEastAsia" w:hAnsiTheme="majorHAnsi" w:cstheme="majorHAnsi"/>
                <w:sz w:val="20"/>
                <w:szCs w:val="20"/>
              </w:rPr>
            </w:pPr>
            <w:r w:rsidRPr="00212859">
              <w:rPr>
                <w:rFonts w:asciiTheme="majorHAnsi" w:hAnsiTheme="majorHAnsi" w:cstheme="majorHAnsi"/>
                <w:sz w:val="20"/>
                <w:szCs w:val="20"/>
              </w:rPr>
              <w:t>The AER must decide whether to grant or refuse to grant an exemption within 40 business days after the application is made.</w:t>
            </w:r>
            <w:r w:rsidR="00383523" w:rsidRPr="00212859">
              <w:rPr>
                <w:rStyle w:val="FootnoteReference"/>
                <w:rFonts w:asciiTheme="majorHAnsi" w:hAnsiTheme="majorHAnsi" w:cstheme="majorHAnsi"/>
                <w:sz w:val="20"/>
                <w:szCs w:val="20"/>
              </w:rPr>
              <w:footnoteReference w:id="34"/>
            </w:r>
            <w:r w:rsidRPr="00212859">
              <w:rPr>
                <w:rFonts w:asciiTheme="majorHAnsi" w:hAnsiTheme="majorHAnsi" w:cstheme="majorHAnsi"/>
                <w:sz w:val="20"/>
                <w:szCs w:val="20"/>
              </w:rPr>
              <w:t xml:space="preserve"> </w:t>
            </w:r>
          </w:p>
          <w:p w14:paraId="74CCBE3B" w14:textId="77777777" w:rsidR="00D32596" w:rsidRPr="00212859" w:rsidRDefault="00D32596" w:rsidP="005F6516">
            <w:pPr>
              <w:pStyle w:val="BodyText"/>
              <w:spacing w:before="80" w:after="200"/>
              <w:rPr>
                <w:rFonts w:asciiTheme="majorHAnsi" w:hAnsiTheme="majorHAnsi" w:cstheme="majorHAnsi"/>
                <w:sz w:val="20"/>
                <w:szCs w:val="20"/>
              </w:rPr>
            </w:pPr>
            <w:r w:rsidRPr="00212859">
              <w:rPr>
                <w:rFonts w:asciiTheme="majorHAnsi" w:hAnsiTheme="majorHAnsi" w:cstheme="majorHAnsi"/>
                <w:sz w:val="20"/>
                <w:szCs w:val="20"/>
              </w:rPr>
              <w:lastRenderedPageBreak/>
              <w:t xml:space="preserve">The AER also has the power to </w:t>
            </w:r>
            <w:r w:rsidRPr="00212859">
              <w:rPr>
                <w:rFonts w:asciiTheme="majorHAnsi" w:eastAsiaTheme="minorEastAsia" w:hAnsiTheme="majorHAnsi" w:cstheme="majorHAnsi"/>
                <w:sz w:val="20"/>
                <w:szCs w:val="20"/>
              </w:rPr>
              <w:t xml:space="preserve">grant an exemption </w:t>
            </w:r>
            <w:r w:rsidR="00383523" w:rsidRPr="00212859">
              <w:rPr>
                <w:rFonts w:asciiTheme="majorHAnsi" w:eastAsiaTheme="minorEastAsia" w:hAnsiTheme="majorHAnsi" w:cstheme="majorHAnsi"/>
                <w:sz w:val="20"/>
                <w:szCs w:val="20"/>
              </w:rPr>
              <w:t xml:space="preserve">to </w:t>
            </w:r>
            <w:r w:rsidRPr="00212859">
              <w:rPr>
                <w:rFonts w:asciiTheme="majorHAnsi" w:eastAsiaTheme="minorEastAsia" w:hAnsiTheme="majorHAnsi" w:cstheme="majorHAnsi"/>
                <w:sz w:val="20"/>
                <w:szCs w:val="20"/>
              </w:rPr>
              <w:t xml:space="preserve">a class or group of transportation facilities on the application of a </w:t>
            </w:r>
            <w:r w:rsidR="00923E84">
              <w:rPr>
                <w:rFonts w:asciiTheme="majorHAnsi" w:eastAsiaTheme="minorEastAsia" w:hAnsiTheme="majorHAnsi" w:cstheme="majorHAnsi"/>
                <w:sz w:val="20"/>
                <w:szCs w:val="20"/>
              </w:rPr>
              <w:t xml:space="preserve">transportation </w:t>
            </w:r>
            <w:r w:rsidRPr="00212859">
              <w:rPr>
                <w:rFonts w:asciiTheme="majorHAnsi" w:eastAsiaTheme="minorEastAsia" w:hAnsiTheme="majorHAnsi" w:cstheme="majorHAnsi"/>
                <w:sz w:val="20"/>
                <w:szCs w:val="20"/>
              </w:rPr>
              <w:t>service provider for one or more facilities</w:t>
            </w:r>
            <w:r w:rsidR="00383523" w:rsidRPr="00212859">
              <w:rPr>
                <w:rFonts w:asciiTheme="majorHAnsi" w:eastAsiaTheme="minorEastAsia" w:hAnsiTheme="majorHAnsi" w:cstheme="majorHAnsi"/>
                <w:sz w:val="20"/>
                <w:szCs w:val="20"/>
              </w:rPr>
              <w:t>,</w:t>
            </w:r>
            <w:r w:rsidRPr="00212859">
              <w:rPr>
                <w:rFonts w:asciiTheme="majorHAnsi" w:eastAsiaTheme="minorEastAsia" w:hAnsiTheme="majorHAnsi" w:cstheme="majorHAnsi"/>
                <w:sz w:val="20"/>
                <w:szCs w:val="20"/>
              </w:rPr>
              <w:t xml:space="preserve"> or on its own initiative </w:t>
            </w:r>
            <w:r w:rsidRPr="00212859">
              <w:rPr>
                <w:rFonts w:asciiTheme="majorHAnsi" w:eastAsiaTheme="minorEastAsia" w:hAnsiTheme="majorHAnsi" w:cstheme="majorHAnsi"/>
                <w:color w:val="000000" w:themeColor="text1"/>
                <w:sz w:val="20"/>
                <w:szCs w:val="20"/>
              </w:rPr>
              <w:t>based on its understanding that a facility meets the criteria specified in the NGR.</w:t>
            </w:r>
            <w:r w:rsidR="00383523" w:rsidRPr="00212859">
              <w:rPr>
                <w:rStyle w:val="FootnoteReference"/>
                <w:rFonts w:asciiTheme="majorHAnsi" w:eastAsiaTheme="minorEastAsia" w:hAnsiTheme="majorHAnsi" w:cstheme="majorHAnsi"/>
                <w:color w:val="000000" w:themeColor="text1"/>
                <w:sz w:val="20"/>
                <w:szCs w:val="20"/>
              </w:rPr>
              <w:footnoteReference w:id="35"/>
            </w:r>
            <w:r w:rsidRPr="00212859">
              <w:rPr>
                <w:rFonts w:asciiTheme="majorHAnsi" w:eastAsiaTheme="minorEastAsia" w:hAnsiTheme="majorHAnsi" w:cstheme="majorHAnsi"/>
                <w:color w:val="000000" w:themeColor="text1"/>
                <w:sz w:val="20"/>
                <w:szCs w:val="20"/>
              </w:rPr>
              <w:t xml:space="preserve"> </w:t>
            </w:r>
            <w:r w:rsidRPr="00212859">
              <w:rPr>
                <w:rFonts w:asciiTheme="majorHAnsi" w:eastAsiaTheme="minorEastAsia" w:hAnsiTheme="majorHAnsi" w:cstheme="majorHAnsi"/>
                <w:sz w:val="20"/>
                <w:szCs w:val="20"/>
              </w:rPr>
              <w:t>The AER could, for example, grant an exemption on its own initiative to those transmission pipelines that have obtained an exemption under Part 23 of the NGR because they are not providing third party access or are a single user facility.</w:t>
            </w:r>
            <w:r w:rsidRPr="00212859">
              <w:rPr>
                <w:rStyle w:val="FootnoteReference"/>
                <w:rFonts w:asciiTheme="majorHAnsi" w:eastAsiaTheme="minorEastAsia" w:hAnsiTheme="majorHAnsi" w:cstheme="majorHAnsi"/>
                <w:sz w:val="20"/>
                <w:szCs w:val="20"/>
              </w:rPr>
              <w:footnoteReference w:id="36"/>
            </w:r>
            <w:r w:rsidRPr="00212859">
              <w:rPr>
                <w:rFonts w:asciiTheme="majorHAnsi" w:eastAsiaTheme="minorEastAsia" w:hAnsiTheme="majorHAnsi" w:cstheme="majorHAnsi"/>
                <w:sz w:val="20"/>
                <w:szCs w:val="20"/>
              </w:rPr>
              <w:t xml:space="preserve"> </w:t>
            </w:r>
          </w:p>
          <w:p w14:paraId="6DAAE055" w14:textId="77777777" w:rsidR="00D32596" w:rsidRPr="00212859" w:rsidRDefault="00D32596" w:rsidP="00212859">
            <w:pPr>
              <w:pStyle w:val="BodyText"/>
              <w:spacing w:before="80" w:after="240"/>
              <w:rPr>
                <w:rFonts w:asciiTheme="majorHAnsi" w:hAnsiTheme="majorHAnsi" w:cstheme="majorHAnsi"/>
                <w:sz w:val="20"/>
                <w:szCs w:val="20"/>
              </w:rPr>
            </w:pPr>
            <w:r w:rsidRPr="00212859">
              <w:rPr>
                <w:rFonts w:asciiTheme="majorHAnsi" w:hAnsiTheme="majorHAnsi" w:cstheme="majorHAnsi"/>
                <w:sz w:val="20"/>
                <w:szCs w:val="20"/>
              </w:rPr>
              <w:t>An exemption granted to a transportation facility (or part thereof) that is a single user facility or has a nameplate rating less than 10 TJ/day</w:t>
            </w:r>
            <w:r w:rsidR="00383523" w:rsidRPr="00212859">
              <w:rPr>
                <w:rFonts w:asciiTheme="majorHAnsi" w:hAnsiTheme="majorHAnsi" w:cstheme="majorHAnsi"/>
                <w:sz w:val="20"/>
                <w:szCs w:val="20"/>
              </w:rPr>
              <w:t>,</w:t>
            </w:r>
            <w:r w:rsidRPr="00212859">
              <w:rPr>
                <w:rFonts w:asciiTheme="majorHAnsi" w:hAnsiTheme="majorHAnsi" w:cstheme="majorHAnsi"/>
                <w:sz w:val="20"/>
                <w:szCs w:val="20"/>
              </w:rPr>
              <w:t xml:space="preserve"> </w:t>
            </w:r>
            <w:r w:rsidR="00C152FC">
              <w:rPr>
                <w:rFonts w:asciiTheme="majorHAnsi" w:hAnsiTheme="majorHAnsi" w:cstheme="majorHAnsi"/>
                <w:sz w:val="20"/>
                <w:szCs w:val="20"/>
              </w:rPr>
              <w:t xml:space="preserve">will </w:t>
            </w:r>
            <w:r w:rsidRPr="00212859">
              <w:rPr>
                <w:rFonts w:asciiTheme="majorHAnsi" w:hAnsiTheme="majorHAnsi" w:cstheme="majorHAnsi"/>
                <w:sz w:val="20"/>
                <w:szCs w:val="20"/>
              </w:rPr>
              <w:t xml:space="preserve">be subject to a condition that the </w:t>
            </w:r>
            <w:r w:rsidR="00923E84">
              <w:rPr>
                <w:rFonts w:asciiTheme="majorHAnsi" w:hAnsiTheme="majorHAnsi" w:cstheme="majorHAnsi"/>
                <w:sz w:val="20"/>
                <w:szCs w:val="20"/>
              </w:rPr>
              <w:t xml:space="preserve">transportation </w:t>
            </w:r>
            <w:r w:rsidRPr="00212859">
              <w:rPr>
                <w:rFonts w:asciiTheme="majorHAnsi" w:hAnsiTheme="majorHAnsi" w:cstheme="majorHAnsi"/>
                <w:sz w:val="20"/>
                <w:szCs w:val="20"/>
              </w:rPr>
              <w:t>service provider must, if it receives an eligible request</w:t>
            </w:r>
            <w:r w:rsidRPr="00212859">
              <w:rPr>
                <w:rStyle w:val="FootnoteReference"/>
                <w:rFonts w:asciiTheme="majorHAnsi" w:hAnsiTheme="majorHAnsi" w:cstheme="majorHAnsi"/>
                <w:sz w:val="20"/>
                <w:szCs w:val="20"/>
              </w:rPr>
              <w:footnoteReference w:id="37"/>
            </w:r>
            <w:r w:rsidRPr="00212859">
              <w:rPr>
                <w:rFonts w:asciiTheme="majorHAnsi" w:hAnsiTheme="majorHAnsi" w:cstheme="majorHAnsi"/>
                <w:sz w:val="20"/>
                <w:szCs w:val="20"/>
              </w:rPr>
              <w:t xml:space="preserve"> for an OTSA, prepare and offer to enter into such an agreement within 60 business days.</w:t>
            </w:r>
            <w:r w:rsidR="00383523" w:rsidRPr="00212859">
              <w:rPr>
                <w:rStyle w:val="FootnoteReference"/>
                <w:rFonts w:asciiTheme="majorHAnsi" w:hAnsiTheme="majorHAnsi" w:cstheme="majorHAnsi"/>
                <w:sz w:val="20"/>
                <w:szCs w:val="20"/>
              </w:rPr>
              <w:footnoteReference w:id="38"/>
            </w:r>
            <w:r w:rsidRPr="00212859">
              <w:rPr>
                <w:rFonts w:asciiTheme="majorHAnsi" w:hAnsiTheme="majorHAnsi" w:cstheme="majorHAnsi"/>
                <w:sz w:val="20"/>
                <w:szCs w:val="20"/>
              </w:rPr>
              <w:t xml:space="preserve"> The AER may </w:t>
            </w:r>
            <w:r w:rsidR="00C152FC">
              <w:rPr>
                <w:rFonts w:asciiTheme="majorHAnsi" w:hAnsiTheme="majorHAnsi" w:cstheme="majorHAnsi"/>
                <w:sz w:val="20"/>
                <w:szCs w:val="20"/>
              </w:rPr>
              <w:t xml:space="preserve">also </w:t>
            </w:r>
            <w:r w:rsidRPr="00212859">
              <w:rPr>
                <w:rFonts w:asciiTheme="majorHAnsi" w:hAnsiTheme="majorHAnsi" w:cstheme="majorHAnsi"/>
                <w:sz w:val="20"/>
                <w:szCs w:val="20"/>
              </w:rPr>
              <w:t>impose other conditions when granting an exemption, which the service provider must comply with.</w:t>
            </w:r>
            <w:r w:rsidR="00383523" w:rsidRPr="00212859">
              <w:rPr>
                <w:rStyle w:val="FootnoteReference"/>
                <w:rFonts w:asciiTheme="majorHAnsi" w:hAnsiTheme="majorHAnsi" w:cstheme="majorHAnsi"/>
                <w:sz w:val="20"/>
                <w:szCs w:val="20"/>
              </w:rPr>
              <w:footnoteReference w:id="39"/>
            </w:r>
            <w:r w:rsidR="00383523" w:rsidRPr="00212859">
              <w:rPr>
                <w:rFonts w:asciiTheme="majorHAnsi" w:hAnsiTheme="majorHAnsi" w:cstheme="majorHAnsi"/>
                <w:sz w:val="20"/>
                <w:szCs w:val="20"/>
                <w:vertAlign w:val="superscript"/>
              </w:rPr>
              <w:t>,</w:t>
            </w:r>
            <w:r w:rsidRPr="00212859">
              <w:rPr>
                <w:rStyle w:val="FootnoteReference"/>
                <w:rFonts w:asciiTheme="majorHAnsi" w:hAnsiTheme="majorHAnsi" w:cstheme="majorHAnsi"/>
                <w:sz w:val="20"/>
                <w:szCs w:val="20"/>
              </w:rPr>
              <w:footnoteReference w:id="40"/>
            </w:r>
            <w:r w:rsidRPr="00212859">
              <w:rPr>
                <w:rFonts w:asciiTheme="majorHAnsi" w:hAnsiTheme="majorHAnsi" w:cstheme="majorHAnsi"/>
                <w:sz w:val="20"/>
                <w:szCs w:val="20"/>
              </w:rPr>
              <w:t xml:space="preserve"> </w:t>
            </w:r>
          </w:p>
          <w:p w14:paraId="4F6D034E" w14:textId="77777777" w:rsidR="00D32596" w:rsidRPr="00212859" w:rsidRDefault="00D32596" w:rsidP="00212859">
            <w:pPr>
              <w:pStyle w:val="BodyText"/>
              <w:spacing w:before="80" w:after="240"/>
              <w:rPr>
                <w:rFonts w:asciiTheme="majorHAnsi" w:hAnsiTheme="majorHAnsi" w:cstheme="majorHAnsi"/>
                <w:sz w:val="20"/>
                <w:szCs w:val="20"/>
              </w:rPr>
            </w:pPr>
            <w:r w:rsidRPr="00212859">
              <w:rPr>
                <w:rFonts w:asciiTheme="majorHAnsi" w:eastAsiaTheme="minorEastAsia" w:hAnsiTheme="majorHAnsi" w:cstheme="majorHAnsi"/>
                <w:sz w:val="20"/>
                <w:szCs w:val="20"/>
              </w:rPr>
              <w:t xml:space="preserve">If circumstances change, such that the transportation facility (or part thereof) no longer qualifies for an exemption, the </w:t>
            </w:r>
            <w:r w:rsidR="00C152FC">
              <w:rPr>
                <w:rFonts w:asciiTheme="majorHAnsi" w:eastAsiaTheme="minorEastAsia" w:hAnsiTheme="majorHAnsi" w:cstheme="majorHAnsi"/>
                <w:sz w:val="20"/>
                <w:szCs w:val="20"/>
              </w:rPr>
              <w:t xml:space="preserve">transportation </w:t>
            </w:r>
            <w:r w:rsidRPr="00212859">
              <w:rPr>
                <w:rFonts w:asciiTheme="majorHAnsi" w:eastAsiaTheme="minorEastAsia" w:hAnsiTheme="majorHAnsi" w:cstheme="majorHAnsi"/>
                <w:sz w:val="20"/>
                <w:szCs w:val="20"/>
              </w:rPr>
              <w:t>service provider must notify the AER without delay.</w:t>
            </w:r>
            <w:r w:rsidR="00383523" w:rsidRPr="00212859">
              <w:rPr>
                <w:rStyle w:val="FootnoteReference"/>
                <w:rFonts w:asciiTheme="majorHAnsi" w:eastAsiaTheme="minorEastAsia" w:hAnsiTheme="majorHAnsi" w:cstheme="majorHAnsi"/>
                <w:sz w:val="20"/>
                <w:szCs w:val="20"/>
              </w:rPr>
              <w:footnoteReference w:id="41"/>
            </w:r>
            <w:r w:rsidRPr="00212859">
              <w:rPr>
                <w:rFonts w:asciiTheme="majorHAnsi" w:eastAsiaTheme="minorEastAsia" w:hAnsiTheme="majorHAnsi" w:cstheme="majorHAnsi"/>
                <w:sz w:val="20"/>
                <w:szCs w:val="20"/>
              </w:rPr>
              <w:t xml:space="preserve"> The exemption may then be revoked by the AER.</w:t>
            </w:r>
            <w:r w:rsidR="00383523" w:rsidRPr="00212859">
              <w:rPr>
                <w:rStyle w:val="FootnoteReference"/>
                <w:rFonts w:asciiTheme="majorHAnsi" w:eastAsiaTheme="minorEastAsia" w:hAnsiTheme="majorHAnsi" w:cstheme="majorHAnsi"/>
                <w:sz w:val="20"/>
                <w:szCs w:val="20"/>
              </w:rPr>
              <w:footnoteReference w:id="42"/>
            </w:r>
            <w:r w:rsidRPr="00212859">
              <w:rPr>
                <w:rFonts w:asciiTheme="majorHAnsi" w:eastAsiaTheme="minorEastAsia" w:hAnsiTheme="majorHAnsi" w:cstheme="majorHAnsi"/>
                <w:sz w:val="20"/>
                <w:szCs w:val="20"/>
              </w:rPr>
              <w:t xml:space="preserve"> The AER may also revoke the exemption on its own initiative or following an application made by any person</w:t>
            </w:r>
            <w:r w:rsidR="00383523" w:rsidRPr="00212859">
              <w:rPr>
                <w:rStyle w:val="FootnoteReference"/>
                <w:rFonts w:asciiTheme="majorHAnsi" w:eastAsiaTheme="minorEastAsia" w:hAnsiTheme="majorHAnsi" w:cstheme="majorHAnsi"/>
                <w:sz w:val="20"/>
                <w:szCs w:val="20"/>
              </w:rPr>
              <w:footnoteReference w:id="43"/>
            </w:r>
            <w:r w:rsidRPr="00212859">
              <w:rPr>
                <w:rFonts w:asciiTheme="majorHAnsi" w:eastAsiaTheme="minorEastAsia" w:hAnsiTheme="majorHAnsi" w:cstheme="majorHAnsi"/>
                <w:sz w:val="20"/>
                <w:szCs w:val="20"/>
              </w:rPr>
              <w:t xml:space="preserve">. </w:t>
            </w:r>
            <w:r w:rsidRPr="00212859">
              <w:rPr>
                <w:rFonts w:asciiTheme="majorHAnsi" w:hAnsiTheme="majorHAnsi" w:cstheme="majorHAnsi"/>
                <w:sz w:val="20"/>
                <w:szCs w:val="20"/>
              </w:rPr>
              <w:t xml:space="preserve">If the AER proposes to vary or revoke an exemption other than on application of the </w:t>
            </w:r>
            <w:r w:rsidR="00923E84">
              <w:rPr>
                <w:rFonts w:asciiTheme="majorHAnsi" w:hAnsiTheme="majorHAnsi" w:cstheme="majorHAnsi"/>
                <w:sz w:val="20"/>
                <w:szCs w:val="20"/>
              </w:rPr>
              <w:t xml:space="preserve">transportation </w:t>
            </w:r>
            <w:r w:rsidRPr="00212859">
              <w:rPr>
                <w:rFonts w:asciiTheme="majorHAnsi" w:hAnsiTheme="majorHAnsi" w:cstheme="majorHAnsi"/>
                <w:sz w:val="20"/>
                <w:szCs w:val="20"/>
              </w:rPr>
              <w:t>service provider concerned,</w:t>
            </w:r>
            <w:r w:rsidRPr="00212859">
              <w:rPr>
                <w:rStyle w:val="FootnoteReference"/>
                <w:rFonts w:asciiTheme="majorHAnsi" w:hAnsiTheme="majorHAnsi" w:cstheme="majorHAnsi"/>
                <w:sz w:val="20"/>
                <w:szCs w:val="20"/>
              </w:rPr>
              <w:footnoteReference w:id="44"/>
            </w:r>
            <w:r w:rsidRPr="00212859">
              <w:rPr>
                <w:rFonts w:asciiTheme="majorHAnsi" w:hAnsiTheme="majorHAnsi" w:cstheme="majorHAnsi"/>
                <w:sz w:val="20"/>
                <w:szCs w:val="20"/>
              </w:rPr>
              <w:t xml:space="preserve"> it must notify the </w:t>
            </w:r>
            <w:r w:rsidR="00C152FC">
              <w:rPr>
                <w:rFonts w:asciiTheme="majorHAnsi" w:hAnsiTheme="majorHAnsi" w:cstheme="majorHAnsi"/>
                <w:sz w:val="20"/>
                <w:szCs w:val="20"/>
              </w:rPr>
              <w:t xml:space="preserve">transportation </w:t>
            </w:r>
            <w:r w:rsidRPr="00212859">
              <w:rPr>
                <w:rFonts w:asciiTheme="majorHAnsi" w:hAnsiTheme="majorHAnsi" w:cstheme="majorHAnsi"/>
                <w:sz w:val="20"/>
                <w:szCs w:val="20"/>
              </w:rPr>
              <w:t>service provider and invite it to make submissions about the proposal.</w:t>
            </w:r>
            <w:r w:rsidR="00383523" w:rsidRPr="00212859">
              <w:rPr>
                <w:rStyle w:val="FootnoteReference"/>
                <w:rFonts w:asciiTheme="majorHAnsi" w:hAnsiTheme="majorHAnsi" w:cstheme="majorHAnsi"/>
                <w:sz w:val="20"/>
                <w:szCs w:val="20"/>
              </w:rPr>
              <w:footnoteReference w:id="45"/>
            </w:r>
            <w:r w:rsidRPr="00212859">
              <w:rPr>
                <w:rFonts w:asciiTheme="majorHAnsi" w:hAnsiTheme="majorHAnsi" w:cstheme="majorHAnsi"/>
                <w:sz w:val="20"/>
                <w:szCs w:val="20"/>
              </w:rPr>
              <w:t xml:space="preserve"> If the AER varies or revokes an exemption it must give the </w:t>
            </w:r>
            <w:r w:rsidR="00C152FC">
              <w:rPr>
                <w:rFonts w:asciiTheme="majorHAnsi" w:hAnsiTheme="majorHAnsi" w:cstheme="majorHAnsi"/>
                <w:sz w:val="20"/>
                <w:szCs w:val="20"/>
              </w:rPr>
              <w:t xml:space="preserve">transportation </w:t>
            </w:r>
            <w:r w:rsidRPr="00212859">
              <w:rPr>
                <w:rFonts w:asciiTheme="majorHAnsi" w:hAnsiTheme="majorHAnsi" w:cstheme="majorHAnsi"/>
                <w:sz w:val="20"/>
                <w:szCs w:val="20"/>
              </w:rPr>
              <w:t>service provider written reasons for its decision.</w:t>
            </w:r>
            <w:r w:rsidR="00383523" w:rsidRPr="00212859">
              <w:rPr>
                <w:rStyle w:val="FootnoteReference"/>
                <w:rFonts w:asciiTheme="majorHAnsi" w:hAnsiTheme="majorHAnsi" w:cstheme="majorHAnsi"/>
                <w:sz w:val="20"/>
                <w:szCs w:val="20"/>
              </w:rPr>
              <w:footnoteReference w:id="46"/>
            </w:r>
          </w:p>
          <w:p w14:paraId="2424ACDE" w14:textId="77777777" w:rsidR="00D32596" w:rsidRPr="00212859" w:rsidRDefault="00D32596" w:rsidP="00212859">
            <w:pPr>
              <w:pStyle w:val="BodyText"/>
              <w:spacing w:before="80" w:after="240"/>
              <w:rPr>
                <w:rFonts w:asciiTheme="majorHAnsi" w:hAnsiTheme="majorHAnsi" w:cstheme="majorHAnsi"/>
                <w:sz w:val="20"/>
                <w:szCs w:val="20"/>
              </w:rPr>
            </w:pPr>
            <w:r w:rsidRPr="00212859">
              <w:rPr>
                <w:rFonts w:asciiTheme="majorHAnsi" w:hAnsiTheme="majorHAnsi" w:cstheme="majorHAnsi"/>
                <w:sz w:val="20"/>
                <w:szCs w:val="20"/>
              </w:rPr>
              <w:t>An application for an exemption, variation of an exemption</w:t>
            </w:r>
            <w:r w:rsidR="00C152FC">
              <w:rPr>
                <w:rFonts w:asciiTheme="majorHAnsi" w:hAnsiTheme="majorHAnsi" w:cstheme="majorHAnsi"/>
                <w:sz w:val="20"/>
                <w:szCs w:val="20"/>
              </w:rPr>
              <w:t>,</w:t>
            </w:r>
            <w:r w:rsidRPr="00212859">
              <w:rPr>
                <w:rFonts w:asciiTheme="majorHAnsi" w:hAnsiTheme="majorHAnsi" w:cstheme="majorHAnsi"/>
                <w:sz w:val="20"/>
                <w:szCs w:val="20"/>
              </w:rPr>
              <w:t xml:space="preserve"> or revocation of an exemption must be in the form, and contain the information, specified in any AER-issued guidelines.</w:t>
            </w:r>
            <w:r w:rsidR="00383523" w:rsidRPr="00212859">
              <w:rPr>
                <w:rStyle w:val="FootnoteReference"/>
                <w:rFonts w:asciiTheme="majorHAnsi" w:hAnsiTheme="majorHAnsi" w:cstheme="majorHAnsi"/>
                <w:sz w:val="20"/>
                <w:szCs w:val="20"/>
              </w:rPr>
              <w:footnoteReference w:id="47"/>
            </w:r>
            <w:r w:rsidRPr="00212859">
              <w:rPr>
                <w:rFonts w:asciiTheme="majorHAnsi" w:hAnsiTheme="majorHAnsi" w:cstheme="majorHAnsi"/>
                <w:sz w:val="20"/>
                <w:szCs w:val="20"/>
              </w:rPr>
              <w:t xml:space="preserve"> The AER may</w:t>
            </w:r>
            <w:r w:rsidR="00212859" w:rsidRPr="00212859">
              <w:rPr>
                <w:rFonts w:asciiTheme="majorHAnsi" w:hAnsiTheme="majorHAnsi" w:cstheme="majorHAnsi"/>
                <w:sz w:val="20"/>
                <w:szCs w:val="20"/>
              </w:rPr>
              <w:t xml:space="preserve"> also</w:t>
            </w:r>
            <w:r w:rsidRPr="00212859">
              <w:rPr>
                <w:rFonts w:asciiTheme="majorHAnsi" w:hAnsiTheme="majorHAnsi" w:cstheme="majorHAnsi"/>
                <w:sz w:val="20"/>
                <w:szCs w:val="20"/>
              </w:rPr>
              <w:t xml:space="preserve"> ask the applicant to provide further information or clarification in support of an application if the AER considers the application is incomplete or requires clarification.</w:t>
            </w:r>
            <w:r w:rsidR="00383523" w:rsidRPr="00212859">
              <w:rPr>
                <w:rStyle w:val="FootnoteReference"/>
                <w:rFonts w:asciiTheme="majorHAnsi" w:hAnsiTheme="majorHAnsi" w:cstheme="majorHAnsi"/>
                <w:sz w:val="20"/>
                <w:szCs w:val="20"/>
              </w:rPr>
              <w:footnoteReference w:id="48"/>
            </w:r>
            <w:r w:rsidRPr="00212859">
              <w:rPr>
                <w:rFonts w:asciiTheme="majorHAnsi" w:hAnsiTheme="majorHAnsi" w:cstheme="majorHAnsi"/>
                <w:sz w:val="20"/>
                <w:szCs w:val="20"/>
              </w:rPr>
              <w:t xml:space="preserve"> </w:t>
            </w:r>
          </w:p>
          <w:p w14:paraId="2E0878D9" w14:textId="77777777" w:rsidR="00383523" w:rsidRPr="00212859" w:rsidRDefault="00383523" w:rsidP="00212859">
            <w:pPr>
              <w:pStyle w:val="BodyText"/>
              <w:spacing w:before="80" w:after="240"/>
              <w:rPr>
                <w:rFonts w:asciiTheme="majorHAnsi" w:hAnsiTheme="majorHAnsi" w:cstheme="majorHAnsi"/>
                <w:sz w:val="20"/>
                <w:szCs w:val="20"/>
              </w:rPr>
            </w:pPr>
            <w:r w:rsidRPr="00212859">
              <w:rPr>
                <w:rFonts w:asciiTheme="majorHAnsi" w:hAnsiTheme="majorHAnsi" w:cstheme="majorHAnsi"/>
                <w:sz w:val="20"/>
                <w:szCs w:val="20"/>
              </w:rPr>
              <w:t>The AER is required by the NGR to publish and maintain a register of exemptions and revocations and must also notify AEMO when an exemption is granted or revoked.</w:t>
            </w:r>
            <w:r w:rsidRPr="00212859">
              <w:rPr>
                <w:rStyle w:val="FootnoteReference"/>
                <w:rFonts w:asciiTheme="majorHAnsi" w:hAnsiTheme="majorHAnsi" w:cstheme="majorHAnsi"/>
                <w:sz w:val="20"/>
                <w:szCs w:val="20"/>
              </w:rPr>
              <w:footnoteReference w:id="49"/>
            </w:r>
            <w:r w:rsidRPr="00212859">
              <w:rPr>
                <w:rFonts w:asciiTheme="majorHAnsi" w:hAnsiTheme="majorHAnsi" w:cstheme="majorHAnsi"/>
                <w:sz w:val="20"/>
                <w:szCs w:val="20"/>
              </w:rPr>
              <w:t xml:space="preserve"> </w:t>
            </w:r>
          </w:p>
          <w:p w14:paraId="1610D927" w14:textId="77777777" w:rsidR="00D32596" w:rsidRPr="008C01BA" w:rsidRDefault="00D32596" w:rsidP="00212859">
            <w:pPr>
              <w:pStyle w:val="BodyText"/>
              <w:keepNext/>
              <w:spacing w:before="80"/>
              <w:rPr>
                <w:rFonts w:asciiTheme="majorHAnsi" w:hAnsiTheme="majorHAnsi" w:cstheme="majorHAnsi"/>
                <w:b/>
                <w:color w:val="0099CC"/>
                <w:sz w:val="20"/>
                <w:szCs w:val="20"/>
              </w:rPr>
            </w:pPr>
            <w:r w:rsidRPr="008C01BA">
              <w:rPr>
                <w:rFonts w:asciiTheme="majorHAnsi" w:hAnsiTheme="majorHAnsi" w:cstheme="majorHAnsi"/>
                <w:b/>
                <w:color w:val="0099CC"/>
                <w:sz w:val="20"/>
                <w:szCs w:val="20"/>
              </w:rPr>
              <w:t xml:space="preserve">Transitional </w:t>
            </w:r>
            <w:r w:rsidR="008C01BA" w:rsidRPr="008C01BA">
              <w:rPr>
                <w:rFonts w:asciiTheme="majorHAnsi" w:hAnsiTheme="majorHAnsi" w:cstheme="majorHAnsi"/>
                <w:b/>
                <w:color w:val="0099CC"/>
                <w:sz w:val="20"/>
                <w:szCs w:val="20"/>
              </w:rPr>
              <w:t xml:space="preserve">Part 24 </w:t>
            </w:r>
            <w:r w:rsidRPr="008C01BA">
              <w:rPr>
                <w:rFonts w:asciiTheme="majorHAnsi" w:hAnsiTheme="majorHAnsi" w:cstheme="majorHAnsi"/>
                <w:b/>
                <w:color w:val="0099CC"/>
                <w:sz w:val="20"/>
                <w:szCs w:val="20"/>
              </w:rPr>
              <w:t>exemptions</w:t>
            </w:r>
          </w:p>
          <w:p w14:paraId="1F67691D" w14:textId="77777777" w:rsidR="00ED2162" w:rsidRPr="00212859" w:rsidRDefault="00D32596" w:rsidP="00212859">
            <w:pPr>
              <w:pStyle w:val="BodyText"/>
              <w:keepNext/>
              <w:spacing w:before="80" w:after="240"/>
              <w:rPr>
                <w:rFonts w:asciiTheme="majorHAnsi" w:hAnsiTheme="majorHAnsi" w:cstheme="majorHAnsi"/>
                <w:sz w:val="20"/>
                <w:szCs w:val="20"/>
              </w:rPr>
            </w:pPr>
            <w:r w:rsidRPr="00212859">
              <w:rPr>
                <w:rFonts w:asciiTheme="majorHAnsi" w:hAnsiTheme="majorHAnsi" w:cstheme="majorHAnsi"/>
                <w:sz w:val="20"/>
                <w:szCs w:val="20"/>
              </w:rPr>
              <w:t xml:space="preserve">The obligation to register an existing facility </w:t>
            </w:r>
            <w:r w:rsidR="00C152FC">
              <w:rPr>
                <w:rFonts w:asciiTheme="majorHAnsi" w:hAnsiTheme="majorHAnsi" w:cstheme="majorHAnsi"/>
                <w:sz w:val="20"/>
                <w:szCs w:val="20"/>
              </w:rPr>
              <w:t xml:space="preserve">and </w:t>
            </w:r>
            <w:r w:rsidRPr="00212859">
              <w:rPr>
                <w:rFonts w:asciiTheme="majorHAnsi" w:hAnsiTheme="majorHAnsi" w:cstheme="majorHAnsi"/>
                <w:sz w:val="20"/>
                <w:szCs w:val="20"/>
              </w:rPr>
              <w:t xml:space="preserve">to comply with </w:t>
            </w:r>
            <w:r w:rsidR="00C152FC">
              <w:rPr>
                <w:rFonts w:asciiTheme="majorHAnsi" w:hAnsiTheme="majorHAnsi" w:cstheme="majorHAnsi"/>
                <w:sz w:val="20"/>
                <w:szCs w:val="20"/>
              </w:rPr>
              <w:t xml:space="preserve">a number of </w:t>
            </w:r>
            <w:r w:rsidRPr="00212859">
              <w:rPr>
                <w:rFonts w:asciiTheme="majorHAnsi" w:hAnsiTheme="majorHAnsi" w:cstheme="majorHAnsi"/>
                <w:sz w:val="20"/>
                <w:szCs w:val="20"/>
              </w:rPr>
              <w:t>other obligations will commence when the amendments to the NGR start</w:t>
            </w:r>
            <w:r w:rsidR="00C152FC">
              <w:rPr>
                <w:rFonts w:asciiTheme="majorHAnsi" w:hAnsiTheme="majorHAnsi" w:cstheme="majorHAnsi"/>
                <w:sz w:val="20"/>
                <w:szCs w:val="20"/>
              </w:rPr>
              <w:t>,</w:t>
            </w:r>
            <w:r w:rsidRPr="00212859">
              <w:rPr>
                <w:rFonts w:asciiTheme="majorHAnsi" w:hAnsiTheme="majorHAnsi" w:cstheme="majorHAnsi"/>
                <w:sz w:val="20"/>
                <w:szCs w:val="20"/>
              </w:rPr>
              <w:t xml:space="preserve"> or shortly thereafter.</w:t>
            </w:r>
            <w:r w:rsidR="00813075" w:rsidRPr="00212859">
              <w:rPr>
                <w:rFonts w:asciiTheme="majorHAnsi" w:hAnsiTheme="majorHAnsi" w:cstheme="majorHAnsi"/>
                <w:sz w:val="20"/>
                <w:szCs w:val="20"/>
              </w:rPr>
              <w:t xml:space="preserve"> Provision has therefore been made for the AER to issue transitional exemptions up until the </w:t>
            </w:r>
            <w:r w:rsidRPr="00212859">
              <w:rPr>
                <w:rFonts w:asciiTheme="majorHAnsi" w:hAnsiTheme="majorHAnsi" w:cstheme="majorHAnsi"/>
                <w:sz w:val="20"/>
                <w:szCs w:val="20"/>
              </w:rPr>
              <w:t>auction commencement date.</w:t>
            </w:r>
            <w:r w:rsidR="00212859" w:rsidRPr="00212859">
              <w:rPr>
                <w:rStyle w:val="FootnoteReference"/>
                <w:rFonts w:asciiTheme="majorHAnsi" w:hAnsiTheme="majorHAnsi" w:cstheme="majorHAnsi"/>
                <w:sz w:val="20"/>
                <w:szCs w:val="20"/>
              </w:rPr>
              <w:footnoteReference w:id="50"/>
            </w:r>
            <w:r w:rsidR="00212859" w:rsidRPr="00212859">
              <w:rPr>
                <w:rFonts w:asciiTheme="majorHAnsi" w:hAnsiTheme="majorHAnsi" w:cstheme="majorHAnsi"/>
                <w:sz w:val="20"/>
                <w:szCs w:val="20"/>
                <w:vertAlign w:val="superscript"/>
              </w:rPr>
              <w:t>,</w:t>
            </w:r>
            <w:r w:rsidR="00813075" w:rsidRPr="00212859">
              <w:rPr>
                <w:rStyle w:val="FootnoteReference"/>
                <w:rFonts w:asciiTheme="majorHAnsi" w:hAnsiTheme="majorHAnsi" w:cstheme="majorHAnsi"/>
                <w:sz w:val="20"/>
                <w:szCs w:val="20"/>
              </w:rPr>
              <w:footnoteReference w:id="51"/>
            </w:r>
            <w:r w:rsidRPr="00212859">
              <w:rPr>
                <w:rFonts w:asciiTheme="majorHAnsi" w:hAnsiTheme="majorHAnsi" w:cstheme="majorHAnsi"/>
                <w:sz w:val="20"/>
                <w:szCs w:val="20"/>
              </w:rPr>
              <w:t xml:space="preserve"> During this period, the AER may, on the application of a </w:t>
            </w:r>
            <w:r w:rsidR="00C152FC">
              <w:rPr>
                <w:rFonts w:asciiTheme="majorHAnsi" w:hAnsiTheme="majorHAnsi" w:cstheme="majorHAnsi"/>
                <w:sz w:val="20"/>
                <w:szCs w:val="20"/>
              </w:rPr>
              <w:t xml:space="preserve">transportation </w:t>
            </w:r>
            <w:r w:rsidRPr="00212859">
              <w:rPr>
                <w:rFonts w:asciiTheme="majorHAnsi" w:hAnsiTheme="majorHAnsi" w:cstheme="majorHAnsi"/>
                <w:sz w:val="20"/>
                <w:szCs w:val="20"/>
              </w:rPr>
              <w:t>service provider</w:t>
            </w:r>
            <w:r w:rsidRPr="00212859">
              <w:rPr>
                <w:rStyle w:val="FootnoteReference"/>
                <w:rFonts w:asciiTheme="majorHAnsi" w:hAnsiTheme="majorHAnsi" w:cstheme="majorHAnsi"/>
                <w:sz w:val="20"/>
                <w:szCs w:val="20"/>
              </w:rPr>
              <w:footnoteReference w:id="52"/>
            </w:r>
            <w:r w:rsidRPr="00212859">
              <w:rPr>
                <w:rFonts w:asciiTheme="majorHAnsi" w:hAnsiTheme="majorHAnsi" w:cstheme="majorHAnsi"/>
                <w:sz w:val="20"/>
                <w:szCs w:val="20"/>
              </w:rPr>
              <w:t xml:space="preserve"> or on its own initiative, grant a transitional exemption to a </w:t>
            </w:r>
            <w:r w:rsidR="00C152FC">
              <w:rPr>
                <w:rFonts w:asciiTheme="majorHAnsi" w:hAnsiTheme="majorHAnsi" w:cstheme="majorHAnsi"/>
                <w:sz w:val="20"/>
                <w:szCs w:val="20"/>
              </w:rPr>
              <w:t xml:space="preserve">transportation </w:t>
            </w:r>
            <w:r w:rsidRPr="00212859">
              <w:rPr>
                <w:rFonts w:asciiTheme="majorHAnsi" w:hAnsiTheme="majorHAnsi" w:cstheme="majorHAnsi"/>
                <w:sz w:val="20"/>
                <w:szCs w:val="20"/>
              </w:rPr>
              <w:t xml:space="preserve">facility (or part thereof). The AER may do so if it is satisfied, having regard to any </w:t>
            </w:r>
            <w:r w:rsidRPr="00212859">
              <w:rPr>
                <w:rFonts w:asciiTheme="majorHAnsi" w:hAnsiTheme="majorHAnsi" w:cstheme="majorHAnsi"/>
                <w:sz w:val="20"/>
                <w:szCs w:val="20"/>
              </w:rPr>
              <w:lastRenderedPageBreak/>
              <w:t>matter it considers relevant, the transitional exemption should be granted.</w:t>
            </w:r>
            <w:r w:rsidR="00212859" w:rsidRPr="00212859">
              <w:rPr>
                <w:rStyle w:val="FootnoteReference"/>
                <w:rFonts w:asciiTheme="majorHAnsi" w:hAnsiTheme="majorHAnsi" w:cstheme="majorHAnsi"/>
                <w:sz w:val="20"/>
                <w:szCs w:val="20"/>
              </w:rPr>
              <w:footnoteReference w:id="53"/>
            </w:r>
            <w:r w:rsidRPr="00212859">
              <w:rPr>
                <w:rFonts w:asciiTheme="majorHAnsi" w:hAnsiTheme="majorHAnsi" w:cstheme="majorHAnsi"/>
                <w:sz w:val="20"/>
                <w:szCs w:val="20"/>
              </w:rPr>
              <w:t xml:space="preserve"> A transportation facility granted a transitional exemption will be exempt from the obligation to register with AEMO</w:t>
            </w:r>
            <w:r w:rsidR="00C152FC">
              <w:rPr>
                <w:rFonts w:asciiTheme="majorHAnsi" w:hAnsiTheme="majorHAnsi" w:cstheme="majorHAnsi"/>
                <w:sz w:val="20"/>
                <w:szCs w:val="20"/>
              </w:rPr>
              <w:t xml:space="preserve"> and other obligations for the duration of the exemption</w:t>
            </w:r>
            <w:r w:rsidRPr="00212859">
              <w:rPr>
                <w:rFonts w:asciiTheme="majorHAnsi" w:hAnsiTheme="majorHAnsi" w:cstheme="majorHAnsi"/>
                <w:sz w:val="20"/>
                <w:szCs w:val="20"/>
              </w:rPr>
              <w:t xml:space="preserve">. </w:t>
            </w:r>
          </w:p>
          <w:p w14:paraId="5D383CFF" w14:textId="77777777" w:rsidR="00ED2162" w:rsidRPr="00212859" w:rsidRDefault="00ED2162" w:rsidP="00212859">
            <w:pPr>
              <w:keepNext/>
              <w:spacing w:before="80" w:after="240"/>
              <w:rPr>
                <w:rFonts w:asciiTheme="majorHAnsi" w:eastAsiaTheme="minorEastAsia" w:hAnsiTheme="majorHAnsi" w:cstheme="majorHAnsi"/>
                <w:sz w:val="20"/>
                <w:szCs w:val="20"/>
              </w:rPr>
            </w:pPr>
            <w:r w:rsidRPr="00212859">
              <w:rPr>
                <w:rFonts w:asciiTheme="majorHAnsi" w:hAnsiTheme="majorHAnsi" w:cstheme="majorHAnsi"/>
                <w:sz w:val="20"/>
                <w:szCs w:val="20"/>
              </w:rPr>
              <w:t>When granting a transitional exemption, the AER can determine if any conditions will apply.</w:t>
            </w:r>
            <w:r w:rsidR="00212859" w:rsidRPr="00212859">
              <w:rPr>
                <w:rStyle w:val="FootnoteReference"/>
                <w:rFonts w:asciiTheme="majorHAnsi" w:hAnsiTheme="majorHAnsi" w:cstheme="majorHAnsi"/>
                <w:sz w:val="20"/>
                <w:szCs w:val="20"/>
              </w:rPr>
              <w:footnoteReference w:id="54"/>
            </w:r>
            <w:r w:rsidRPr="00212859">
              <w:rPr>
                <w:rFonts w:asciiTheme="majorHAnsi" w:hAnsiTheme="majorHAnsi" w:cstheme="majorHAnsi"/>
                <w:sz w:val="20"/>
                <w:szCs w:val="20"/>
              </w:rPr>
              <w:t xml:space="preserve"> For example, if a facility is only likely to be eligible for a conditional exemption (i.e. because it services a single user), the AER could determine that the facility should be subject to the same obligations that a conditionally exempt facility would be subject to for the period of the transitional exemption</w:t>
            </w:r>
            <w:r w:rsidRPr="00212859">
              <w:rPr>
                <w:rFonts w:asciiTheme="majorHAnsi" w:eastAsiaTheme="minorEastAsia" w:hAnsiTheme="majorHAnsi" w:cstheme="majorHAnsi"/>
                <w:sz w:val="20"/>
                <w:szCs w:val="20"/>
              </w:rPr>
              <w:t>.</w:t>
            </w:r>
          </w:p>
          <w:p w14:paraId="5188FD12" w14:textId="77777777" w:rsidR="00D32596" w:rsidRPr="00212859" w:rsidRDefault="00D32596" w:rsidP="00212859">
            <w:pPr>
              <w:pStyle w:val="BodyText"/>
              <w:spacing w:before="80"/>
              <w:ind w:left="357" w:hanging="357"/>
              <w:rPr>
                <w:rFonts w:asciiTheme="majorHAnsi" w:hAnsiTheme="majorHAnsi" w:cstheme="majorHAnsi"/>
                <w:sz w:val="20"/>
                <w:szCs w:val="20"/>
              </w:rPr>
            </w:pPr>
            <w:r w:rsidRPr="00212859">
              <w:rPr>
                <w:rFonts w:asciiTheme="majorHAnsi" w:hAnsiTheme="majorHAnsi" w:cstheme="majorHAnsi"/>
                <w:sz w:val="20"/>
                <w:szCs w:val="20"/>
              </w:rPr>
              <w:t>Any transitional exemption granted by the AER will automatically expire on the earlier of:</w:t>
            </w:r>
            <w:r w:rsidR="00212859" w:rsidRPr="00212859">
              <w:rPr>
                <w:rStyle w:val="FootnoteReference"/>
                <w:rFonts w:asciiTheme="majorHAnsi" w:hAnsiTheme="majorHAnsi" w:cstheme="majorHAnsi"/>
                <w:sz w:val="20"/>
                <w:szCs w:val="20"/>
              </w:rPr>
              <w:footnoteReference w:id="55"/>
            </w:r>
          </w:p>
          <w:p w14:paraId="0F616DBD" w14:textId="77777777" w:rsidR="00D32596" w:rsidRPr="00212859" w:rsidRDefault="00D32596" w:rsidP="00EA491F">
            <w:pPr>
              <w:pStyle w:val="ListBullet"/>
              <w:numPr>
                <w:ilvl w:val="0"/>
                <w:numId w:val="42"/>
              </w:numPr>
              <w:spacing w:before="80"/>
              <w:rPr>
                <w:rFonts w:asciiTheme="majorHAnsi" w:eastAsiaTheme="minorEastAsia" w:hAnsiTheme="majorHAnsi" w:cstheme="majorHAnsi"/>
                <w:sz w:val="20"/>
                <w:szCs w:val="20"/>
              </w:rPr>
            </w:pPr>
            <w:r w:rsidRPr="00212859">
              <w:rPr>
                <w:rFonts w:asciiTheme="majorHAnsi" w:eastAsiaTheme="minorEastAsia" w:hAnsiTheme="majorHAnsi" w:cstheme="majorHAnsi"/>
                <w:sz w:val="20"/>
                <w:szCs w:val="20"/>
              </w:rPr>
              <w:t>a date specified by the AER when it grants the transitional exemption;</w:t>
            </w:r>
          </w:p>
          <w:p w14:paraId="27BBA91A" w14:textId="77777777" w:rsidR="00D32596" w:rsidRPr="00212859" w:rsidRDefault="00D32596" w:rsidP="00EA491F">
            <w:pPr>
              <w:pStyle w:val="ListBullet"/>
              <w:numPr>
                <w:ilvl w:val="0"/>
                <w:numId w:val="42"/>
              </w:numPr>
              <w:spacing w:before="80"/>
              <w:rPr>
                <w:rFonts w:asciiTheme="majorHAnsi" w:eastAsiaTheme="minorEastAsia" w:hAnsiTheme="majorHAnsi" w:cstheme="majorHAnsi"/>
                <w:sz w:val="20"/>
                <w:szCs w:val="20"/>
              </w:rPr>
            </w:pPr>
            <w:r w:rsidRPr="00212859">
              <w:rPr>
                <w:rFonts w:asciiTheme="majorHAnsi" w:eastAsiaTheme="minorEastAsia" w:hAnsiTheme="majorHAnsi" w:cstheme="majorHAnsi"/>
                <w:sz w:val="20"/>
                <w:szCs w:val="20"/>
              </w:rPr>
              <w:t xml:space="preserve">the effective date of a standard exemption granted by the AER for the transportation facility (or part thereof) that is the subject of the transitional exemption; and </w:t>
            </w:r>
          </w:p>
          <w:p w14:paraId="6553222F" w14:textId="77777777" w:rsidR="00D32596" w:rsidRPr="00212859" w:rsidRDefault="00D32596" w:rsidP="00EA491F">
            <w:pPr>
              <w:pStyle w:val="ListBullet"/>
              <w:numPr>
                <w:ilvl w:val="0"/>
                <w:numId w:val="42"/>
              </w:numPr>
              <w:spacing w:before="80"/>
              <w:rPr>
                <w:rFonts w:asciiTheme="majorHAnsi" w:eastAsiaTheme="minorEastAsia" w:hAnsiTheme="majorHAnsi" w:cstheme="majorHAnsi"/>
                <w:sz w:val="20"/>
                <w:szCs w:val="20"/>
              </w:rPr>
            </w:pPr>
            <w:r w:rsidRPr="00212859">
              <w:rPr>
                <w:rFonts w:asciiTheme="majorHAnsi" w:eastAsiaTheme="minorEastAsia" w:hAnsiTheme="majorHAnsi" w:cstheme="majorHAnsi"/>
                <w:sz w:val="20"/>
                <w:szCs w:val="20"/>
              </w:rPr>
              <w:t>the day after the commencement of the auction (i.e. 1 March 2019).</w:t>
            </w:r>
          </w:p>
          <w:p w14:paraId="415359D0" w14:textId="77777777" w:rsidR="00D32596" w:rsidRDefault="00D32596" w:rsidP="00212859">
            <w:pPr>
              <w:pStyle w:val="PullOutBoxBodyText"/>
              <w:spacing w:before="80" w:after="120"/>
              <w:rPr>
                <w:rFonts w:asciiTheme="majorHAnsi" w:hAnsiTheme="majorHAnsi" w:cstheme="majorHAnsi"/>
                <w:sz w:val="20"/>
                <w:szCs w:val="20"/>
              </w:rPr>
            </w:pPr>
            <w:r w:rsidRPr="00212859">
              <w:rPr>
                <w:rFonts w:asciiTheme="majorHAnsi" w:hAnsiTheme="majorHAnsi" w:cstheme="majorHAnsi"/>
                <w:sz w:val="20"/>
                <w:szCs w:val="20"/>
              </w:rPr>
              <w:t xml:space="preserve">The AER may revoke a transitional exemption by giving not less than 10 business days’ written notice to the </w:t>
            </w:r>
            <w:r w:rsidR="00923E84">
              <w:rPr>
                <w:rFonts w:asciiTheme="majorHAnsi" w:hAnsiTheme="majorHAnsi" w:cstheme="majorHAnsi"/>
                <w:sz w:val="20"/>
                <w:szCs w:val="20"/>
              </w:rPr>
              <w:t xml:space="preserve">transportation </w:t>
            </w:r>
            <w:r w:rsidRPr="00212859">
              <w:rPr>
                <w:rFonts w:asciiTheme="majorHAnsi" w:hAnsiTheme="majorHAnsi" w:cstheme="majorHAnsi"/>
                <w:sz w:val="20"/>
                <w:szCs w:val="20"/>
              </w:rPr>
              <w:t>service provider.</w:t>
            </w:r>
            <w:r w:rsidR="00212859" w:rsidRPr="00212859">
              <w:rPr>
                <w:rStyle w:val="FootnoteReference"/>
                <w:rFonts w:asciiTheme="majorHAnsi" w:hAnsiTheme="majorHAnsi" w:cstheme="majorHAnsi"/>
                <w:sz w:val="20"/>
                <w:szCs w:val="20"/>
              </w:rPr>
              <w:footnoteReference w:id="56"/>
            </w:r>
          </w:p>
          <w:p w14:paraId="35A95A41" w14:textId="77777777" w:rsidR="00C152FC" w:rsidRPr="00212859" w:rsidRDefault="00C152FC" w:rsidP="00212859">
            <w:pPr>
              <w:pStyle w:val="PullOutBoxBodyText"/>
              <w:spacing w:before="80" w:after="120"/>
              <w:rPr>
                <w:rFonts w:asciiTheme="majorHAnsi" w:hAnsiTheme="majorHAnsi" w:cstheme="majorHAnsi"/>
                <w:sz w:val="20"/>
                <w:szCs w:val="20"/>
              </w:rPr>
            </w:pPr>
            <w:r>
              <w:rPr>
                <w:rFonts w:asciiTheme="majorHAnsi" w:hAnsiTheme="majorHAnsi" w:cstheme="majorHAnsi"/>
                <w:sz w:val="20"/>
                <w:szCs w:val="20"/>
              </w:rPr>
              <w:t xml:space="preserve">If a standard exemption is not obtained by the time the transitional exemption lapses, the transportation facility </w:t>
            </w:r>
            <w:r w:rsidR="009C77EE">
              <w:rPr>
                <w:rFonts w:asciiTheme="majorHAnsi" w:hAnsiTheme="majorHAnsi" w:cstheme="majorHAnsi"/>
                <w:sz w:val="20"/>
                <w:szCs w:val="20"/>
              </w:rPr>
              <w:t xml:space="preserve">and transportation service provider </w:t>
            </w:r>
            <w:r>
              <w:rPr>
                <w:rFonts w:asciiTheme="majorHAnsi" w:hAnsiTheme="majorHAnsi" w:cstheme="majorHAnsi"/>
                <w:sz w:val="20"/>
                <w:szCs w:val="20"/>
              </w:rPr>
              <w:t xml:space="preserve">will need to register </w:t>
            </w:r>
            <w:r w:rsidR="009C77EE">
              <w:rPr>
                <w:rFonts w:asciiTheme="majorHAnsi" w:hAnsiTheme="majorHAnsi" w:cstheme="majorHAnsi"/>
                <w:sz w:val="20"/>
                <w:szCs w:val="20"/>
              </w:rPr>
              <w:t xml:space="preserve">with AEMO and will become subject to the reforms. </w:t>
            </w:r>
          </w:p>
        </w:tc>
      </w:tr>
    </w:tbl>
    <w:p w14:paraId="18D6BEF7" w14:textId="77777777" w:rsidR="00813075" w:rsidRDefault="00165081" w:rsidP="00813075">
      <w:pPr>
        <w:pStyle w:val="Heading2"/>
      </w:pPr>
      <w:bookmarkStart w:id="55" w:name="_Toc530546463"/>
      <w:r>
        <w:lastRenderedPageBreak/>
        <w:t>Overview of r</w:t>
      </w:r>
      <w:r w:rsidR="00813075">
        <w:t>egistration requirements</w:t>
      </w:r>
      <w:bookmarkEnd w:id="55"/>
    </w:p>
    <w:p w14:paraId="0168D736" w14:textId="77777777" w:rsidR="0011427B" w:rsidRDefault="00D32596" w:rsidP="0011427B">
      <w:pPr>
        <w:pStyle w:val="BodyText"/>
        <w:rPr>
          <w:rFonts w:asciiTheme="majorHAnsi" w:hAnsiTheme="majorHAnsi" w:cstheme="majorHAnsi"/>
        </w:rPr>
      </w:pPr>
      <w:r>
        <w:t xml:space="preserve">If a transportation facility </w:t>
      </w:r>
      <w:r w:rsidR="009B43B8">
        <w:t>does not qualify for</w:t>
      </w:r>
      <w:r>
        <w:rPr>
          <w:rFonts w:asciiTheme="majorHAnsi" w:hAnsiTheme="majorHAnsi" w:cstheme="majorHAnsi"/>
          <w:szCs w:val="18"/>
        </w:rPr>
        <w:t xml:space="preserve"> an exemption</w:t>
      </w:r>
      <w:r w:rsidR="005E60C8">
        <w:rPr>
          <w:rFonts w:asciiTheme="majorHAnsi" w:hAnsiTheme="majorHAnsi" w:cstheme="majorHAnsi"/>
          <w:szCs w:val="18"/>
        </w:rPr>
        <w:t xml:space="preserve"> then it will be considered a </w:t>
      </w:r>
      <w:r w:rsidR="005E60C8" w:rsidRPr="005E60C8">
        <w:rPr>
          <w:rFonts w:asciiTheme="majorHAnsi" w:hAnsiTheme="majorHAnsi" w:cstheme="majorHAnsi"/>
          <w:b/>
          <w:szCs w:val="18"/>
        </w:rPr>
        <w:t>Part 24 facility</w:t>
      </w:r>
      <w:r w:rsidR="005E60C8">
        <w:rPr>
          <w:rFonts w:asciiTheme="majorHAnsi" w:hAnsiTheme="majorHAnsi" w:cstheme="majorHAnsi"/>
          <w:szCs w:val="18"/>
        </w:rPr>
        <w:t>. T</w:t>
      </w:r>
      <w:r>
        <w:rPr>
          <w:rFonts w:asciiTheme="majorHAnsi" w:hAnsiTheme="majorHAnsi" w:cstheme="majorHAnsi"/>
          <w:szCs w:val="18"/>
        </w:rPr>
        <w:t xml:space="preserve">he </w:t>
      </w:r>
      <w:r w:rsidR="00923E84">
        <w:rPr>
          <w:rFonts w:asciiTheme="majorHAnsi" w:hAnsiTheme="majorHAnsi" w:cstheme="majorHAnsi"/>
          <w:szCs w:val="18"/>
        </w:rPr>
        <w:t xml:space="preserve">transportation </w:t>
      </w:r>
      <w:r>
        <w:rPr>
          <w:rFonts w:asciiTheme="majorHAnsi" w:hAnsiTheme="majorHAnsi" w:cstheme="majorHAnsi"/>
          <w:szCs w:val="18"/>
        </w:rPr>
        <w:t xml:space="preserve">service provider </w:t>
      </w:r>
      <w:r w:rsidR="005E60C8">
        <w:rPr>
          <w:rFonts w:asciiTheme="majorHAnsi" w:hAnsiTheme="majorHAnsi" w:cstheme="majorHAnsi"/>
          <w:szCs w:val="18"/>
        </w:rPr>
        <w:t xml:space="preserve">for such a facility </w:t>
      </w:r>
      <w:r>
        <w:rPr>
          <w:rFonts w:asciiTheme="majorHAnsi" w:hAnsiTheme="majorHAnsi" w:cstheme="majorHAnsi"/>
          <w:szCs w:val="18"/>
        </w:rPr>
        <w:t xml:space="preserve">must </w:t>
      </w:r>
      <w:r w:rsidR="0011427B">
        <w:rPr>
          <w:rFonts w:asciiTheme="majorHAnsi" w:hAnsiTheme="majorHAnsi" w:cstheme="majorHAnsi"/>
        </w:rPr>
        <w:t>apply to AEMO to:</w:t>
      </w:r>
      <w:r w:rsidR="0011427B">
        <w:rPr>
          <w:rStyle w:val="FootnoteReference"/>
          <w:rFonts w:asciiTheme="majorHAnsi" w:hAnsiTheme="majorHAnsi" w:cstheme="majorHAnsi"/>
        </w:rPr>
        <w:footnoteReference w:id="57"/>
      </w:r>
    </w:p>
    <w:p w14:paraId="2E14DF0D" w14:textId="77777777" w:rsidR="0011427B" w:rsidRDefault="0011427B" w:rsidP="0011427B">
      <w:pPr>
        <w:pStyle w:val="ListBullet"/>
        <w:numPr>
          <w:ilvl w:val="0"/>
          <w:numId w:val="29"/>
        </w:numPr>
      </w:pPr>
      <w:r>
        <w:t>register the transportation facility; and</w:t>
      </w:r>
    </w:p>
    <w:p w14:paraId="71BDC48C" w14:textId="77777777" w:rsidR="0011427B" w:rsidRDefault="0011427B" w:rsidP="0011427B">
      <w:pPr>
        <w:pStyle w:val="ListBullet"/>
        <w:numPr>
          <w:ilvl w:val="0"/>
          <w:numId w:val="29"/>
        </w:numPr>
        <w:rPr>
          <w:rFonts w:asciiTheme="majorHAnsi" w:hAnsiTheme="majorHAnsi" w:cstheme="majorHAnsi"/>
          <w:szCs w:val="18"/>
        </w:rPr>
      </w:pPr>
      <w:r>
        <w:t>register as the facility operator f</w:t>
      </w:r>
      <w:r w:rsidR="001C0945">
        <w:t>or that transportation facility</w:t>
      </w:r>
      <w:r>
        <w:rPr>
          <w:rFonts w:asciiTheme="majorHAnsi" w:hAnsiTheme="majorHAnsi" w:cstheme="majorHAnsi"/>
          <w:szCs w:val="18"/>
        </w:rPr>
        <w:t>.</w:t>
      </w:r>
    </w:p>
    <w:p w14:paraId="182A1780" w14:textId="77777777" w:rsidR="0011427B" w:rsidRDefault="0011427B" w:rsidP="00813075">
      <w:pPr>
        <w:pStyle w:val="BodyText"/>
        <w:rPr>
          <w:rFonts w:asciiTheme="majorHAnsi" w:hAnsiTheme="majorHAnsi" w:cstheme="majorHAnsi"/>
          <w:szCs w:val="18"/>
        </w:rPr>
      </w:pPr>
      <w:r w:rsidRPr="007D47A3">
        <w:t xml:space="preserve">Where there are multiple </w:t>
      </w:r>
      <w:r>
        <w:t xml:space="preserve">transportation </w:t>
      </w:r>
      <w:r w:rsidRPr="007D47A3">
        <w:t xml:space="preserve">service providers for a </w:t>
      </w:r>
      <w:r>
        <w:t xml:space="preserve">Part 24 </w:t>
      </w:r>
      <w:r w:rsidRPr="007D47A3">
        <w:t>facility, each service provider will be taken to be a member of a transportation service provider group.</w:t>
      </w:r>
      <w:r>
        <w:rPr>
          <w:rStyle w:val="FootnoteReference"/>
        </w:rPr>
        <w:footnoteReference w:id="58"/>
      </w:r>
      <w:r w:rsidRPr="007D47A3">
        <w:t xml:space="preserve"> The members of this group must appoint one of their members as the ‘responsible transportation service provider’</w:t>
      </w:r>
      <w:r>
        <w:t xml:space="preserve"> </w:t>
      </w:r>
      <w:r w:rsidRPr="007D47A3">
        <w:t>(see Box 4.</w:t>
      </w:r>
      <w:r>
        <w:t>2</w:t>
      </w:r>
      <w:r w:rsidRPr="007D47A3">
        <w:t xml:space="preserve"> for more detail)</w:t>
      </w:r>
      <w:r>
        <w:t>.</w:t>
      </w:r>
      <w:r>
        <w:rPr>
          <w:rStyle w:val="FootnoteReference"/>
        </w:rPr>
        <w:footnoteReference w:id="59"/>
      </w:r>
      <w:r>
        <w:t xml:space="preserve"> The </w:t>
      </w:r>
      <w:r w:rsidRPr="007D47A3">
        <w:t xml:space="preserve">responsible </w:t>
      </w:r>
      <w:r>
        <w:t>transportation service provider must apply to AEMO to register the transportation facility and be registered as the facility operator for it.</w:t>
      </w:r>
    </w:p>
    <w:p w14:paraId="21D44346" w14:textId="7F5F1809" w:rsidR="0011427B" w:rsidRDefault="0011427B" w:rsidP="00813075">
      <w:pPr>
        <w:pStyle w:val="BodyText"/>
        <w:rPr>
          <w:rFonts w:asciiTheme="majorHAnsi" w:hAnsiTheme="majorHAnsi" w:cstheme="majorHAnsi"/>
        </w:rPr>
      </w:pPr>
      <w:r>
        <w:rPr>
          <w:rFonts w:asciiTheme="majorHAnsi" w:hAnsiTheme="majorHAnsi" w:cstheme="majorHAnsi"/>
          <w:szCs w:val="18"/>
        </w:rPr>
        <w:t xml:space="preserve">The facility operator for a Part 24 facility is responsible for the facility for the purposes of the </w:t>
      </w:r>
      <w:r w:rsidR="00813075">
        <w:rPr>
          <w:rFonts w:asciiTheme="majorHAnsi" w:hAnsiTheme="majorHAnsi" w:cstheme="majorHAnsi"/>
        </w:rPr>
        <w:t xml:space="preserve">transaction support arrangements and day-ahead auction provisions in the NGR and </w:t>
      </w:r>
      <w:r w:rsidR="00201550">
        <w:rPr>
          <w:rFonts w:asciiTheme="majorHAnsi" w:hAnsiTheme="majorHAnsi" w:cstheme="majorHAnsi"/>
        </w:rPr>
        <w:t>CT&amp;A Procedures</w:t>
      </w:r>
      <w:r w:rsidR="00813075">
        <w:rPr>
          <w:rFonts w:asciiTheme="majorHAnsi" w:hAnsiTheme="majorHAnsi" w:cstheme="majorHAnsi"/>
        </w:rPr>
        <w:t xml:space="preserve">. </w:t>
      </w:r>
    </w:p>
    <w:p w14:paraId="672589A0" w14:textId="0ED400BE" w:rsidR="00813075" w:rsidRDefault="00813075" w:rsidP="00813075">
      <w:pPr>
        <w:pStyle w:val="BodyText"/>
        <w:rPr>
          <w:rFonts w:eastAsiaTheme="minorEastAsia"/>
        </w:rPr>
      </w:pPr>
      <w:r>
        <w:lastRenderedPageBreak/>
        <w:t xml:space="preserve">An application to register must be made no later than 20 business days after the person becomes a </w:t>
      </w:r>
      <w:r w:rsidR="00D25422">
        <w:t xml:space="preserve">transportation </w:t>
      </w:r>
      <w:r>
        <w:t xml:space="preserve">service provider for a </w:t>
      </w:r>
      <w:r w:rsidR="00D25422">
        <w:t xml:space="preserve">Part 24 </w:t>
      </w:r>
      <w:r>
        <w:t>facility.</w:t>
      </w:r>
      <w:r w:rsidR="005F6516">
        <w:rPr>
          <w:rStyle w:val="FootnoteReference"/>
        </w:rPr>
        <w:footnoteReference w:id="60"/>
      </w:r>
      <w:r w:rsidR="005F6516" w:rsidRPr="005F6516">
        <w:rPr>
          <w:vertAlign w:val="superscript"/>
        </w:rPr>
        <w:t>,</w:t>
      </w:r>
      <w:r>
        <w:rPr>
          <w:rStyle w:val="FootnoteReference"/>
        </w:rPr>
        <w:footnoteReference w:id="61"/>
      </w:r>
      <w:r>
        <w:t xml:space="preserve"> The application</w:t>
      </w:r>
      <w:r>
        <w:rPr>
          <w:rStyle w:val="FootnoteReference"/>
          <w:rFonts w:eastAsiaTheme="minorEastAsia"/>
        </w:rPr>
        <w:footnoteReference w:id="62"/>
      </w:r>
      <w:r>
        <w:t xml:space="preserve"> must </w:t>
      </w:r>
      <w:r w:rsidRPr="00B21E03">
        <w:rPr>
          <w:rFonts w:eastAsiaTheme="minorEastAsia"/>
        </w:rPr>
        <w:t xml:space="preserve">be in the form </w:t>
      </w:r>
      <w:r>
        <w:rPr>
          <w:rFonts w:eastAsiaTheme="minorEastAsia"/>
        </w:rPr>
        <w:t xml:space="preserve">and contain the information </w:t>
      </w:r>
      <w:r w:rsidRPr="00B21E03">
        <w:rPr>
          <w:rFonts w:eastAsiaTheme="minorEastAsia"/>
        </w:rPr>
        <w:t xml:space="preserve">specified in the </w:t>
      </w:r>
      <w:r>
        <w:rPr>
          <w:rFonts w:eastAsiaTheme="minorEastAsia"/>
        </w:rPr>
        <w:t xml:space="preserve">CT&amp;A </w:t>
      </w:r>
      <w:r w:rsidRPr="00B21E03">
        <w:rPr>
          <w:rFonts w:eastAsiaTheme="minorEastAsia"/>
        </w:rPr>
        <w:t>Procedures</w:t>
      </w:r>
      <w:r>
        <w:rPr>
          <w:rFonts w:eastAsiaTheme="minorEastAsia"/>
        </w:rPr>
        <w:t xml:space="preserve"> and must also contain </w:t>
      </w:r>
      <w:r w:rsidRPr="00B21E03">
        <w:rPr>
          <w:rFonts w:eastAsiaTheme="minorEastAsia"/>
        </w:rPr>
        <w:t>a description of the transportation facility and</w:t>
      </w:r>
      <w:r>
        <w:rPr>
          <w:rFonts w:eastAsiaTheme="minorEastAsia"/>
        </w:rPr>
        <w:t xml:space="preserve">, unless the information is already provided under Part 18 of the NGR, </w:t>
      </w:r>
      <w:r w:rsidRPr="00B21E03">
        <w:rPr>
          <w:rFonts w:eastAsiaTheme="minorEastAsia"/>
        </w:rPr>
        <w:t xml:space="preserve">the </w:t>
      </w:r>
      <w:r>
        <w:rPr>
          <w:rFonts w:eastAsiaTheme="minorEastAsia"/>
        </w:rPr>
        <w:t xml:space="preserve">facility’s </w:t>
      </w:r>
      <w:r w:rsidRPr="00B21E03">
        <w:rPr>
          <w:rFonts w:eastAsiaTheme="minorEastAsia"/>
        </w:rPr>
        <w:t xml:space="preserve">nameplate </w:t>
      </w:r>
      <w:r w:rsidR="00C855EC">
        <w:rPr>
          <w:rFonts w:eastAsiaTheme="minorEastAsia"/>
        </w:rPr>
        <w:t>rating</w:t>
      </w:r>
      <w:r w:rsidRPr="00B21E03">
        <w:rPr>
          <w:rFonts w:eastAsiaTheme="minorEastAsia"/>
        </w:rPr>
        <w:t>.</w:t>
      </w:r>
      <w:r w:rsidR="005F6516">
        <w:rPr>
          <w:rStyle w:val="FootnoteReference"/>
          <w:rFonts w:eastAsiaTheme="minorEastAsia"/>
        </w:rPr>
        <w:footnoteReference w:id="63"/>
      </w:r>
      <w:r>
        <w:rPr>
          <w:rFonts w:eastAsiaTheme="minorEastAsia"/>
        </w:rPr>
        <w:t xml:space="preserve"> If the application is made by a responsible transportation service provider on behalf of a service provider group, the application must also contain information about the service provider group specified in the CT&amp;A Procedures.</w:t>
      </w:r>
      <w:r w:rsidR="005F6516">
        <w:rPr>
          <w:rStyle w:val="FootnoteReference"/>
          <w:rFonts w:eastAsiaTheme="minorEastAsia"/>
        </w:rPr>
        <w:footnoteReference w:id="64"/>
      </w:r>
      <w:r>
        <w:rPr>
          <w:rFonts w:eastAsiaTheme="minorEastAsia"/>
        </w:rPr>
        <w:t xml:space="preserve"> </w:t>
      </w:r>
    </w:p>
    <w:p w14:paraId="261DBDFB" w14:textId="1696D69F" w:rsidR="00813075" w:rsidRPr="009963D5" w:rsidRDefault="00813075" w:rsidP="00813075">
      <w:pPr>
        <w:pStyle w:val="BodyText"/>
        <w:rPr>
          <w:rFonts w:eastAsiaTheme="minorEastAsia"/>
        </w:rPr>
      </w:pPr>
      <w:r>
        <w:rPr>
          <w:rFonts w:eastAsiaTheme="minorEastAsia"/>
        </w:rPr>
        <w:t>Within 10 business days of receiving an application, AEMO may ask the applicant to provide further information or clarification, which the applicant must respond to within 10 business days.</w:t>
      </w:r>
      <w:r w:rsidR="005F6516">
        <w:rPr>
          <w:rStyle w:val="FootnoteReference"/>
          <w:rFonts w:eastAsiaTheme="minorEastAsia"/>
        </w:rPr>
        <w:footnoteReference w:id="65"/>
      </w:r>
      <w:r w:rsidR="005F6516" w:rsidRPr="005F6516">
        <w:rPr>
          <w:rFonts w:eastAsiaTheme="minorEastAsia"/>
          <w:vertAlign w:val="superscript"/>
        </w:rPr>
        <w:t>,</w:t>
      </w:r>
      <w:r>
        <w:rPr>
          <w:rStyle w:val="FootnoteReference"/>
          <w:rFonts w:eastAsiaTheme="minorEastAsia"/>
        </w:rPr>
        <w:footnoteReference w:id="66"/>
      </w:r>
      <w:r>
        <w:rPr>
          <w:rFonts w:eastAsiaTheme="minorEastAsia"/>
          <w:vertAlign w:val="superscript"/>
        </w:rPr>
        <w:t xml:space="preserve"> </w:t>
      </w:r>
      <w:r w:rsidRPr="009963D5">
        <w:rPr>
          <w:rFonts w:eastAsiaTheme="minorEastAsia"/>
        </w:rPr>
        <w:t>If any of the information provided to AEMO in the original application or in response to a request by AEMO</w:t>
      </w:r>
      <w:r w:rsidR="00D25422">
        <w:rPr>
          <w:rFonts w:eastAsiaTheme="minorEastAsia"/>
        </w:rPr>
        <w:t>,</w:t>
      </w:r>
      <w:r w:rsidRPr="009963D5">
        <w:rPr>
          <w:rFonts w:eastAsiaTheme="minorEastAsia"/>
        </w:rPr>
        <w:t xml:space="preserve"> changes or otherwise becomes inaccurate, the facility operator must update the information as soon as practicable.</w:t>
      </w:r>
      <w:r w:rsidR="005F6516">
        <w:rPr>
          <w:rStyle w:val="FootnoteReference"/>
          <w:rFonts w:eastAsiaTheme="minorEastAsia"/>
        </w:rPr>
        <w:footnoteReference w:id="67"/>
      </w:r>
    </w:p>
    <w:p w14:paraId="5E0E0D84" w14:textId="77777777" w:rsidR="005F6516" w:rsidRDefault="00813075" w:rsidP="00813075">
      <w:pPr>
        <w:pStyle w:val="BodyText"/>
      </w:pPr>
      <w:r>
        <w:t>If the application is made in accordance with the NGR, AEMO must register the applicant as the facility operator and must also register the transportation facility.</w:t>
      </w:r>
      <w:r w:rsidR="005F6516">
        <w:rPr>
          <w:rStyle w:val="FootnoteReference"/>
        </w:rPr>
        <w:footnoteReference w:id="68"/>
      </w:r>
      <w:r w:rsidR="005F6516" w:rsidRPr="005F6516">
        <w:rPr>
          <w:vertAlign w:val="superscript"/>
        </w:rPr>
        <w:t>,</w:t>
      </w:r>
      <w:r>
        <w:rPr>
          <w:rStyle w:val="FootnoteReference"/>
        </w:rPr>
        <w:footnoteReference w:id="69"/>
      </w:r>
      <w:r>
        <w:t xml:space="preserve"> </w:t>
      </w:r>
    </w:p>
    <w:p w14:paraId="5C2957CB" w14:textId="77777777" w:rsidR="005F6516" w:rsidRDefault="005F6516" w:rsidP="005F6516">
      <w:pPr>
        <w:pStyle w:val="BodyText"/>
        <w:rPr>
          <w:lang w:eastAsia="fr-CA"/>
        </w:rPr>
      </w:pPr>
      <w:r>
        <w:rPr>
          <w:lang w:eastAsia="fr-CA"/>
        </w:rPr>
        <w:t>I</w:t>
      </w:r>
      <w:r w:rsidRPr="000F32BE">
        <w:rPr>
          <w:lang w:eastAsia="fr-CA"/>
        </w:rPr>
        <w:t xml:space="preserve">f the identity of the </w:t>
      </w:r>
      <w:r w:rsidR="00D25422">
        <w:rPr>
          <w:lang w:eastAsia="fr-CA"/>
        </w:rPr>
        <w:t xml:space="preserve">transportation </w:t>
      </w:r>
      <w:r w:rsidRPr="000F32BE">
        <w:rPr>
          <w:lang w:eastAsia="fr-CA"/>
        </w:rPr>
        <w:t xml:space="preserve">service provider </w:t>
      </w:r>
      <w:r>
        <w:rPr>
          <w:lang w:eastAsia="fr-CA"/>
        </w:rPr>
        <w:t xml:space="preserve">or </w:t>
      </w:r>
      <w:r w:rsidRPr="000F32BE">
        <w:rPr>
          <w:lang w:eastAsia="fr-CA"/>
        </w:rPr>
        <w:t>responsible transportation service provider changes, the outgoing facility operator must notify AEMO of the change and the new</w:t>
      </w:r>
      <w:r w:rsidR="00D25422">
        <w:rPr>
          <w:lang w:eastAsia="fr-CA"/>
        </w:rPr>
        <w:t xml:space="preserve"> transportation</w:t>
      </w:r>
      <w:r w:rsidRPr="000F32BE">
        <w:rPr>
          <w:lang w:eastAsia="fr-CA"/>
        </w:rPr>
        <w:t xml:space="preserve"> service provider must apply to register as the facility operator</w:t>
      </w:r>
      <w:r>
        <w:rPr>
          <w:lang w:eastAsia="fr-CA"/>
        </w:rPr>
        <w:t>.</w:t>
      </w:r>
      <w:r w:rsidR="00F74318">
        <w:rPr>
          <w:rStyle w:val="FootnoteReference"/>
          <w:lang w:eastAsia="fr-CA"/>
        </w:rPr>
        <w:footnoteReference w:id="70"/>
      </w:r>
      <w:r>
        <w:rPr>
          <w:lang w:eastAsia="fr-CA"/>
        </w:rPr>
        <w:t xml:space="preserve"> The notification and registration application must be made no later than five business days after the change takes effect.</w:t>
      </w:r>
      <w:r>
        <w:rPr>
          <w:rStyle w:val="FootnoteReference"/>
          <w:lang w:eastAsia="fr-CA"/>
        </w:rPr>
        <w:footnoteReference w:id="71"/>
      </w:r>
      <w:r>
        <w:rPr>
          <w:lang w:eastAsia="fr-CA"/>
        </w:rPr>
        <w:t xml:space="preserve"> If, on the other hand, a facility operator and/or a transportation facility is no longer required to be registered, the facility operator must apply to AEMO to revoke the registration.</w:t>
      </w:r>
      <w:r>
        <w:rPr>
          <w:rStyle w:val="FootnoteReference"/>
          <w:lang w:eastAsia="fr-CA"/>
        </w:rPr>
        <w:footnoteReference w:id="72"/>
      </w:r>
      <w:r>
        <w:rPr>
          <w:lang w:eastAsia="fr-CA"/>
        </w:rPr>
        <w:t xml:space="preserve"> The application must be in the form specified in the CT&amp;A Procedures and contain the information specified by AEMO. </w:t>
      </w:r>
      <w:r w:rsidR="00F74318">
        <w:rPr>
          <w:rStyle w:val="FootnoteReference"/>
          <w:lang w:eastAsia="fr-CA"/>
        </w:rPr>
        <w:footnoteReference w:id="73"/>
      </w:r>
    </w:p>
    <w:p w14:paraId="3919F497" w14:textId="77777777" w:rsidR="00813075" w:rsidRDefault="005F6516" w:rsidP="00D25422">
      <w:pPr>
        <w:pStyle w:val="BodyText"/>
        <w:rPr>
          <w:rFonts w:eastAsiaTheme="minorEastAsia"/>
        </w:rPr>
      </w:pPr>
      <w:r>
        <w:t>In addition to these requirements, provision has been made in the NGR for</w:t>
      </w:r>
      <w:r w:rsidR="00D25422">
        <w:t xml:space="preserve"> </w:t>
      </w:r>
      <w:r w:rsidR="00813075">
        <w:t xml:space="preserve">AEMO </w:t>
      </w:r>
      <w:r>
        <w:t xml:space="preserve">to </w:t>
      </w:r>
      <w:r w:rsidR="00813075">
        <w:t xml:space="preserve">register a pipeline that is the subject of multiple pipeline licences as a </w:t>
      </w:r>
      <w:r w:rsidR="00813075" w:rsidRPr="00AE6A00">
        <w:rPr>
          <w:rFonts w:eastAsiaTheme="minorEastAsia"/>
        </w:rPr>
        <w:t xml:space="preserve">single </w:t>
      </w:r>
      <w:r w:rsidR="00813075">
        <w:rPr>
          <w:rFonts w:eastAsiaTheme="minorEastAsia"/>
        </w:rPr>
        <w:t xml:space="preserve">transportation </w:t>
      </w:r>
      <w:r w:rsidR="00813075" w:rsidRPr="00AE6A00">
        <w:rPr>
          <w:rFonts w:eastAsiaTheme="minorEastAsia"/>
        </w:rPr>
        <w:lastRenderedPageBreak/>
        <w:t xml:space="preserve">facility and may require </w:t>
      </w:r>
      <w:r w:rsidR="00813075">
        <w:rPr>
          <w:rFonts w:eastAsiaTheme="minorEastAsia"/>
        </w:rPr>
        <w:t xml:space="preserve">the registration </w:t>
      </w:r>
      <w:r w:rsidR="00813075" w:rsidRPr="00AE6A00">
        <w:rPr>
          <w:rFonts w:eastAsiaTheme="minorEastAsia"/>
        </w:rPr>
        <w:t>applications to be consolidated for that purpose</w:t>
      </w:r>
      <w:r w:rsidR="00D25422">
        <w:rPr>
          <w:rFonts w:eastAsiaTheme="minorEastAsia"/>
        </w:rPr>
        <w:t>.</w:t>
      </w:r>
      <w:r w:rsidR="00096281" w:rsidRPr="00096281">
        <w:rPr>
          <w:rStyle w:val="FootnoteReference"/>
        </w:rPr>
        <w:t xml:space="preserve"> </w:t>
      </w:r>
      <w:r w:rsidR="00096281">
        <w:rPr>
          <w:rStyle w:val="FootnoteReference"/>
        </w:rPr>
        <w:footnoteReference w:id="74"/>
      </w:r>
      <w:r w:rsidR="00D25422">
        <w:rPr>
          <w:rStyle w:val="FootnoteReference"/>
        </w:rPr>
        <w:t xml:space="preserve"> </w:t>
      </w:r>
      <w:r w:rsidR="00D25422">
        <w:t xml:space="preserve">AEMO may also, </w:t>
      </w:r>
      <w:r w:rsidR="00813075">
        <w:rPr>
          <w:rFonts w:eastAsiaTheme="minorEastAsia"/>
        </w:rPr>
        <w:t>on the application of a facility operator:</w:t>
      </w:r>
      <w:r w:rsidR="00096281">
        <w:rPr>
          <w:rStyle w:val="FootnoteReference"/>
          <w:rFonts w:eastAsiaTheme="minorEastAsia"/>
        </w:rPr>
        <w:footnoteReference w:id="75"/>
      </w:r>
      <w:r w:rsidR="00096281" w:rsidRPr="00096281">
        <w:rPr>
          <w:rFonts w:eastAsiaTheme="minorEastAsia"/>
          <w:vertAlign w:val="superscript"/>
        </w:rPr>
        <w:t>,</w:t>
      </w:r>
      <w:r w:rsidR="00813075">
        <w:rPr>
          <w:rStyle w:val="FootnoteReference"/>
          <w:rFonts w:eastAsiaTheme="minorEastAsia"/>
        </w:rPr>
        <w:footnoteReference w:id="76"/>
      </w:r>
      <w:r w:rsidR="00813075">
        <w:rPr>
          <w:rFonts w:eastAsiaTheme="minorEastAsia"/>
        </w:rPr>
        <w:t xml:space="preserve"> </w:t>
      </w:r>
    </w:p>
    <w:p w14:paraId="33C929A3" w14:textId="77777777" w:rsidR="00813075" w:rsidRPr="00141498" w:rsidRDefault="00813075" w:rsidP="00D25422">
      <w:pPr>
        <w:pStyle w:val="ListBullet"/>
        <w:rPr>
          <w:lang w:eastAsia="fr-CA"/>
        </w:rPr>
      </w:pPr>
      <w:r w:rsidRPr="00141498">
        <w:rPr>
          <w:lang w:eastAsia="fr-CA"/>
        </w:rPr>
        <w:t xml:space="preserve">register </w:t>
      </w:r>
      <w:r w:rsidR="00D25422">
        <w:rPr>
          <w:lang w:eastAsia="fr-CA"/>
        </w:rPr>
        <w:t>a</w:t>
      </w:r>
      <w:r w:rsidRPr="00141498">
        <w:rPr>
          <w:lang w:eastAsia="fr-CA"/>
        </w:rPr>
        <w:t xml:space="preserve"> transportation facility, together with one or more other facilities in respect of which an application is made, as a single transportation facility; or</w:t>
      </w:r>
    </w:p>
    <w:p w14:paraId="474F1174" w14:textId="77777777" w:rsidR="00813075" w:rsidRPr="00141498" w:rsidRDefault="00813075" w:rsidP="00D25422">
      <w:pPr>
        <w:pStyle w:val="ListBullet"/>
        <w:rPr>
          <w:lang w:eastAsia="fr-CA"/>
        </w:rPr>
      </w:pPr>
      <w:r w:rsidRPr="00141498">
        <w:rPr>
          <w:lang w:eastAsia="fr-CA"/>
        </w:rPr>
        <w:t>register a part (or parts) of a transportation facility as a separate transportation facility.</w:t>
      </w:r>
    </w:p>
    <w:p w14:paraId="3F5D74AB" w14:textId="77777777" w:rsidR="00813075" w:rsidRDefault="00813075" w:rsidP="00D25422">
      <w:pPr>
        <w:pStyle w:val="BodyText"/>
        <w:rPr>
          <w:rFonts w:asciiTheme="majorHAnsi" w:eastAsiaTheme="minorEastAsia" w:hAnsiTheme="majorHAnsi" w:cstheme="majorHAnsi"/>
        </w:rPr>
      </w:pPr>
      <w:r>
        <w:t>Before doing so, AEMO must be reasonably satisfied, having regard to the information provided by the facility operator and any other matter it considers appropriate, that such registration is not likely to hinder access to one or more operational transportation services</w:t>
      </w:r>
      <w:r>
        <w:rPr>
          <w:rFonts w:asciiTheme="majorHAnsi" w:eastAsiaTheme="minorEastAsia" w:hAnsiTheme="majorHAnsi" w:cstheme="majorHAnsi"/>
        </w:rPr>
        <w:t>.</w:t>
      </w:r>
    </w:p>
    <w:p w14:paraId="7F51A2AD" w14:textId="23FF2902" w:rsidR="00813075" w:rsidRPr="005E3AC3" w:rsidRDefault="00813075" w:rsidP="00813075">
      <w:pPr>
        <w:pStyle w:val="Caption"/>
        <w:spacing w:after="0"/>
        <w:rPr>
          <w:rFonts w:asciiTheme="majorHAnsi" w:hAnsiTheme="majorHAnsi" w:cstheme="majorHAnsi"/>
          <w:sz w:val="20"/>
          <w:szCs w:val="20"/>
        </w:rPr>
      </w:pPr>
      <w:r w:rsidRPr="005E3AC3">
        <w:rPr>
          <w:rFonts w:asciiTheme="majorHAnsi" w:hAnsiTheme="majorHAnsi" w:cstheme="majorHAnsi"/>
          <w:sz w:val="20"/>
          <w:szCs w:val="20"/>
        </w:rPr>
        <w:t xml:space="preserve">Box </w:t>
      </w:r>
      <w:r w:rsidRPr="005E3AC3">
        <w:rPr>
          <w:rFonts w:asciiTheme="majorHAnsi" w:hAnsiTheme="majorHAnsi" w:cstheme="majorHAnsi"/>
          <w:sz w:val="20"/>
          <w:szCs w:val="20"/>
        </w:rPr>
        <w:fldChar w:fldCharType="begin"/>
      </w:r>
      <w:r w:rsidRPr="005E3AC3">
        <w:rPr>
          <w:rFonts w:asciiTheme="majorHAnsi" w:hAnsiTheme="majorHAnsi" w:cstheme="majorHAnsi"/>
          <w:sz w:val="20"/>
          <w:szCs w:val="20"/>
        </w:rPr>
        <w:instrText xml:space="preserve"> STYLEREF 1 \s </w:instrText>
      </w:r>
      <w:r w:rsidRPr="005E3AC3">
        <w:rPr>
          <w:rFonts w:asciiTheme="majorHAnsi" w:hAnsiTheme="majorHAnsi" w:cstheme="majorHAnsi"/>
          <w:sz w:val="20"/>
          <w:szCs w:val="20"/>
        </w:rPr>
        <w:fldChar w:fldCharType="separate"/>
      </w:r>
      <w:r w:rsidR="0026074F">
        <w:rPr>
          <w:rFonts w:asciiTheme="majorHAnsi" w:hAnsiTheme="majorHAnsi" w:cstheme="majorHAnsi"/>
          <w:noProof/>
          <w:sz w:val="20"/>
          <w:szCs w:val="20"/>
        </w:rPr>
        <w:t>4</w:t>
      </w:r>
      <w:r w:rsidRPr="005E3AC3">
        <w:rPr>
          <w:rFonts w:asciiTheme="majorHAnsi" w:hAnsiTheme="majorHAnsi" w:cstheme="majorHAnsi"/>
          <w:sz w:val="20"/>
          <w:szCs w:val="20"/>
        </w:rPr>
        <w:fldChar w:fldCharType="end"/>
      </w:r>
      <w:r w:rsidRPr="005E3AC3">
        <w:rPr>
          <w:rFonts w:asciiTheme="majorHAnsi" w:hAnsiTheme="majorHAnsi" w:cstheme="majorHAnsi"/>
          <w:sz w:val="20"/>
          <w:szCs w:val="20"/>
        </w:rPr>
        <w:t>.</w:t>
      </w:r>
      <w:r w:rsidRPr="005E3AC3">
        <w:rPr>
          <w:rFonts w:asciiTheme="majorHAnsi" w:hAnsiTheme="majorHAnsi" w:cstheme="majorHAnsi"/>
          <w:sz w:val="20"/>
          <w:szCs w:val="20"/>
        </w:rPr>
        <w:fldChar w:fldCharType="begin"/>
      </w:r>
      <w:r w:rsidRPr="005E3AC3">
        <w:rPr>
          <w:rFonts w:asciiTheme="majorHAnsi" w:hAnsiTheme="majorHAnsi" w:cstheme="majorHAnsi"/>
          <w:sz w:val="20"/>
          <w:szCs w:val="20"/>
        </w:rPr>
        <w:instrText xml:space="preserve"> SEQ Box \* ARABIC \s 1 </w:instrText>
      </w:r>
      <w:r w:rsidRPr="005E3AC3">
        <w:rPr>
          <w:rFonts w:asciiTheme="majorHAnsi" w:hAnsiTheme="majorHAnsi" w:cstheme="majorHAnsi"/>
          <w:sz w:val="20"/>
          <w:szCs w:val="20"/>
        </w:rPr>
        <w:fldChar w:fldCharType="separate"/>
      </w:r>
      <w:r w:rsidR="0026074F">
        <w:rPr>
          <w:rFonts w:asciiTheme="majorHAnsi" w:hAnsiTheme="majorHAnsi" w:cstheme="majorHAnsi"/>
          <w:noProof/>
          <w:sz w:val="20"/>
          <w:szCs w:val="20"/>
        </w:rPr>
        <w:t>2</w:t>
      </w:r>
      <w:r w:rsidRPr="005E3AC3">
        <w:rPr>
          <w:rFonts w:asciiTheme="majorHAnsi" w:hAnsiTheme="majorHAnsi" w:cstheme="majorHAnsi"/>
          <w:sz w:val="20"/>
          <w:szCs w:val="20"/>
        </w:rPr>
        <w:fldChar w:fldCharType="end"/>
      </w:r>
      <w:r w:rsidRPr="005E3AC3">
        <w:rPr>
          <w:rFonts w:asciiTheme="majorHAnsi" w:hAnsiTheme="majorHAnsi" w:cstheme="majorHAnsi"/>
          <w:sz w:val="20"/>
          <w:szCs w:val="20"/>
        </w:rPr>
        <w:t xml:space="preserve">: </w:t>
      </w:r>
      <w:r>
        <w:rPr>
          <w:rFonts w:asciiTheme="majorHAnsi" w:hAnsiTheme="majorHAnsi" w:cstheme="majorHAnsi"/>
          <w:sz w:val="20"/>
          <w:szCs w:val="20"/>
        </w:rPr>
        <w:t xml:space="preserve">Effect of appointing </w:t>
      </w:r>
      <w:r w:rsidRPr="005E3AC3">
        <w:rPr>
          <w:rFonts w:asciiTheme="majorHAnsi" w:hAnsiTheme="majorHAnsi" w:cstheme="majorHAnsi"/>
          <w:sz w:val="20"/>
          <w:szCs w:val="20"/>
        </w:rPr>
        <w:t>a responsible transportation service provider</w:t>
      </w:r>
    </w:p>
    <w:tbl>
      <w:tblPr>
        <w:tblStyle w:val="PullOutBoxTable"/>
        <w:tblW w:w="5000" w:type="pct"/>
        <w:tblLook w:val="0600" w:firstRow="0" w:lastRow="0" w:firstColumn="0" w:lastColumn="0" w:noHBand="1" w:noVBand="1"/>
      </w:tblPr>
      <w:tblGrid>
        <w:gridCol w:w="8788"/>
      </w:tblGrid>
      <w:tr w:rsidR="00813075" w14:paraId="1FBA1E21" w14:textId="77777777" w:rsidTr="00724B17">
        <w:tc>
          <w:tcPr>
            <w:tcW w:w="5000" w:type="pct"/>
          </w:tcPr>
          <w:p w14:paraId="79DACFE3" w14:textId="77777777" w:rsidR="00813075" w:rsidRDefault="00813075" w:rsidP="005E60C8">
            <w:pPr>
              <w:pStyle w:val="BodyText"/>
              <w:keepNext/>
              <w:spacing w:before="120" w:after="240"/>
              <w:rPr>
                <w:rFonts w:asciiTheme="majorHAnsi" w:eastAsiaTheme="minorEastAsia" w:hAnsiTheme="majorHAnsi" w:cstheme="majorHAnsi"/>
                <w:sz w:val="20"/>
                <w:szCs w:val="20"/>
              </w:rPr>
            </w:pPr>
            <w:r>
              <w:rPr>
                <w:sz w:val="20"/>
                <w:szCs w:val="20"/>
              </w:rPr>
              <w:t xml:space="preserve">If a </w:t>
            </w:r>
            <w:r w:rsidR="00D25422">
              <w:rPr>
                <w:sz w:val="20"/>
                <w:szCs w:val="20"/>
              </w:rPr>
              <w:t xml:space="preserve">transportation </w:t>
            </w:r>
            <w:r w:rsidRPr="005E3AC3">
              <w:rPr>
                <w:sz w:val="20"/>
                <w:szCs w:val="20"/>
              </w:rPr>
              <w:t xml:space="preserve">service provider </w:t>
            </w:r>
            <w:r>
              <w:rPr>
                <w:sz w:val="20"/>
                <w:szCs w:val="20"/>
              </w:rPr>
              <w:t>is appointed by a service provider group as the ‘responsible transportation service provider’</w:t>
            </w:r>
            <w:r w:rsidR="0011427B">
              <w:rPr>
                <w:sz w:val="20"/>
                <w:szCs w:val="20"/>
              </w:rPr>
              <w:t xml:space="preserve"> for a facility</w:t>
            </w:r>
            <w:r>
              <w:rPr>
                <w:sz w:val="20"/>
                <w:szCs w:val="20"/>
              </w:rPr>
              <w:t xml:space="preserve">, then the members of the service provider </w:t>
            </w:r>
            <w:r w:rsidRPr="005E3AC3">
              <w:rPr>
                <w:rFonts w:asciiTheme="majorHAnsi" w:eastAsiaTheme="minorEastAsia" w:hAnsiTheme="majorHAnsi" w:cstheme="majorHAnsi"/>
                <w:sz w:val="20"/>
                <w:szCs w:val="20"/>
              </w:rPr>
              <w:t xml:space="preserve">group </w:t>
            </w:r>
            <w:r>
              <w:rPr>
                <w:rFonts w:asciiTheme="majorHAnsi" w:eastAsiaTheme="minorEastAsia" w:hAnsiTheme="majorHAnsi" w:cstheme="majorHAnsi"/>
                <w:sz w:val="20"/>
                <w:szCs w:val="20"/>
              </w:rPr>
              <w:t xml:space="preserve">will be taken to have authorised the responsible transportation service provider to </w:t>
            </w:r>
            <w:r w:rsidRPr="005E3AC3">
              <w:rPr>
                <w:rFonts w:asciiTheme="majorHAnsi" w:eastAsiaTheme="minorEastAsia" w:hAnsiTheme="majorHAnsi" w:cstheme="majorHAnsi"/>
                <w:sz w:val="20"/>
                <w:szCs w:val="20"/>
              </w:rPr>
              <w:t xml:space="preserve">perform the obligations and exercise the rights of facility operator </w:t>
            </w:r>
            <w:r w:rsidR="0011427B">
              <w:rPr>
                <w:rFonts w:asciiTheme="majorHAnsi" w:eastAsiaTheme="minorEastAsia" w:hAnsiTheme="majorHAnsi" w:cstheme="majorHAnsi"/>
                <w:sz w:val="20"/>
                <w:szCs w:val="20"/>
              </w:rPr>
              <w:t xml:space="preserve">for that facility </w:t>
            </w:r>
            <w:r>
              <w:rPr>
                <w:rFonts w:asciiTheme="majorHAnsi" w:eastAsiaTheme="minorEastAsia" w:hAnsiTheme="majorHAnsi" w:cstheme="majorHAnsi"/>
                <w:sz w:val="20"/>
                <w:szCs w:val="20"/>
              </w:rPr>
              <w:t>under the transaction support arrangements and day-ahead auction provisions in the NGR and the CT&amp;A Procedures (including any right to receive payment from AEMO).</w:t>
            </w:r>
            <w:r w:rsidR="00096281">
              <w:rPr>
                <w:rStyle w:val="FootnoteReference"/>
                <w:rFonts w:asciiTheme="majorHAnsi" w:eastAsiaTheme="minorEastAsia" w:hAnsiTheme="majorHAnsi" w:cstheme="majorHAnsi"/>
                <w:sz w:val="20"/>
                <w:szCs w:val="20"/>
              </w:rPr>
              <w:footnoteReference w:id="77"/>
            </w:r>
            <w:r>
              <w:rPr>
                <w:rFonts w:asciiTheme="majorHAnsi" w:eastAsiaTheme="minorEastAsia" w:hAnsiTheme="majorHAnsi" w:cstheme="majorHAnsi"/>
                <w:sz w:val="20"/>
                <w:szCs w:val="20"/>
              </w:rPr>
              <w:t xml:space="preserve"> </w:t>
            </w:r>
          </w:p>
          <w:p w14:paraId="5A664035" w14:textId="77777777" w:rsidR="00813075" w:rsidRPr="009963D5" w:rsidRDefault="00813075" w:rsidP="005E60C8">
            <w:pPr>
              <w:pStyle w:val="ListBullet"/>
              <w:numPr>
                <w:ilvl w:val="0"/>
                <w:numId w:val="0"/>
              </w:numPr>
              <w:rPr>
                <w:rFonts w:asciiTheme="majorHAnsi" w:eastAsiaTheme="minorEastAsia" w:hAnsiTheme="majorHAnsi" w:cstheme="majorHAnsi"/>
                <w:sz w:val="20"/>
                <w:szCs w:val="20"/>
              </w:rPr>
            </w:pPr>
            <w:r w:rsidRPr="009963D5">
              <w:rPr>
                <w:sz w:val="20"/>
                <w:szCs w:val="20"/>
                <w:lang w:eastAsia="fr-CA"/>
              </w:rPr>
              <w:t>While the responsible transportation service provider will be required to perform the obligations and exercise the rights of a facility operator</w:t>
            </w:r>
            <w:r>
              <w:rPr>
                <w:sz w:val="20"/>
                <w:szCs w:val="20"/>
                <w:lang w:eastAsia="fr-CA"/>
              </w:rPr>
              <w:t xml:space="preserve"> under the NGR and </w:t>
            </w:r>
            <w:r>
              <w:rPr>
                <w:rFonts w:asciiTheme="majorHAnsi" w:eastAsiaTheme="minorEastAsia" w:hAnsiTheme="majorHAnsi" w:cstheme="majorHAnsi"/>
                <w:sz w:val="20"/>
                <w:szCs w:val="20"/>
              </w:rPr>
              <w:t xml:space="preserve">CT&amp;A </w:t>
            </w:r>
            <w:r>
              <w:rPr>
                <w:sz w:val="20"/>
                <w:szCs w:val="20"/>
                <w:lang w:eastAsia="fr-CA"/>
              </w:rPr>
              <w:t>Procedures</w:t>
            </w:r>
            <w:r w:rsidRPr="009963D5">
              <w:rPr>
                <w:sz w:val="20"/>
                <w:szCs w:val="20"/>
                <w:lang w:eastAsia="fr-CA"/>
              </w:rPr>
              <w:t>, another</w:t>
            </w:r>
            <w:r w:rsidR="00D25422">
              <w:rPr>
                <w:sz w:val="20"/>
                <w:szCs w:val="20"/>
                <w:lang w:eastAsia="fr-CA"/>
              </w:rPr>
              <w:t xml:space="preserve"> transportation </w:t>
            </w:r>
            <w:r w:rsidRPr="009963D5">
              <w:rPr>
                <w:sz w:val="20"/>
                <w:szCs w:val="20"/>
                <w:lang w:eastAsia="fr-CA"/>
              </w:rPr>
              <w:t>service provider</w:t>
            </w:r>
            <w:r>
              <w:rPr>
                <w:sz w:val="20"/>
                <w:szCs w:val="20"/>
                <w:lang w:eastAsia="fr-CA"/>
              </w:rPr>
              <w:t xml:space="preserve"> </w:t>
            </w:r>
            <w:r w:rsidRPr="009963D5">
              <w:rPr>
                <w:sz w:val="20"/>
                <w:szCs w:val="20"/>
                <w:lang w:eastAsia="fr-CA"/>
              </w:rPr>
              <w:t xml:space="preserve">may be responsible for some of the other obligations in the NGR. For example, another service provider may be responsible for </w:t>
            </w:r>
            <w:r w:rsidRPr="009963D5">
              <w:rPr>
                <w:rFonts w:asciiTheme="majorHAnsi" w:hAnsiTheme="majorHAnsi" w:cstheme="majorHAnsi"/>
                <w:sz w:val="20"/>
                <w:szCs w:val="20"/>
              </w:rPr>
              <w:t xml:space="preserve">publishing and offering to enter into a standard OTSA, amending existing facility agreements in response to a request by a shipper or carrying out other functions in the NGR or CT&amp;A Procedures that are not related to the </w:t>
            </w:r>
            <w:r>
              <w:rPr>
                <w:rFonts w:asciiTheme="majorHAnsi" w:hAnsiTheme="majorHAnsi" w:cstheme="majorHAnsi"/>
                <w:sz w:val="20"/>
                <w:szCs w:val="20"/>
              </w:rPr>
              <w:t>capacity trading platform</w:t>
            </w:r>
            <w:r w:rsidRPr="009963D5">
              <w:rPr>
                <w:rFonts w:asciiTheme="majorHAnsi" w:hAnsiTheme="majorHAnsi" w:cstheme="majorHAnsi"/>
                <w:sz w:val="20"/>
                <w:szCs w:val="20"/>
              </w:rPr>
              <w:t xml:space="preserve"> or day-ahead auction.</w:t>
            </w:r>
            <w:r w:rsidR="00C152FC">
              <w:rPr>
                <w:rFonts w:asciiTheme="majorHAnsi" w:hAnsiTheme="majorHAnsi" w:cstheme="majorHAnsi"/>
                <w:sz w:val="20"/>
                <w:szCs w:val="20"/>
              </w:rPr>
              <w:t xml:space="preserve"> It is for this reason that provisions in Part 24 of the NGR refer to both facility operators and transmission service providers.</w:t>
            </w:r>
          </w:p>
        </w:tc>
      </w:tr>
    </w:tbl>
    <w:p w14:paraId="4222888B" w14:textId="77777777" w:rsidR="006544E6" w:rsidRDefault="006544E6" w:rsidP="006544E6">
      <w:pPr>
        <w:pStyle w:val="Heading2"/>
      </w:pPr>
      <w:bookmarkStart w:id="56" w:name="_Toc530546464"/>
      <w:r>
        <w:t>Legal and regulatory framework</w:t>
      </w:r>
      <w:bookmarkEnd w:id="56"/>
      <w:r>
        <w:t xml:space="preserve"> </w:t>
      </w:r>
    </w:p>
    <w:p w14:paraId="41DD0AF2" w14:textId="77777777" w:rsidR="006544E6" w:rsidRDefault="006544E6" w:rsidP="006544E6">
      <w:pPr>
        <w:pStyle w:val="BodyText"/>
      </w:pPr>
      <w:r>
        <w:t xml:space="preserve">To implement the exemptions and registration frameworks outlined above, a number of changes have been made to the NGL, the Regulations and the NGR. Further detail on the amendments that have been made to these instruments is provided below. </w:t>
      </w:r>
    </w:p>
    <w:p w14:paraId="57F9C692" w14:textId="77777777" w:rsidR="005F6769" w:rsidRPr="006C5D0F" w:rsidRDefault="005F6769" w:rsidP="006544E6">
      <w:pPr>
        <w:pStyle w:val="Heading3"/>
      </w:pPr>
      <w:r w:rsidRPr="006C5D0F">
        <w:t>Changes to the NGL</w:t>
      </w:r>
    </w:p>
    <w:p w14:paraId="2443B505" w14:textId="77777777" w:rsidR="00F74318" w:rsidRPr="00F74318" w:rsidRDefault="00F74318" w:rsidP="006B5985">
      <w:pPr>
        <w:pStyle w:val="BodyText"/>
        <w:keepNext/>
        <w:rPr>
          <w:b/>
          <w:color w:val="0099CC"/>
        </w:rPr>
      </w:pPr>
      <w:r w:rsidRPr="00F74318">
        <w:rPr>
          <w:b/>
          <w:color w:val="0099CC"/>
        </w:rPr>
        <w:t>Exemptions framework</w:t>
      </w:r>
    </w:p>
    <w:p w14:paraId="54843C75" w14:textId="77777777" w:rsidR="006C5D0F" w:rsidRDefault="00F74318" w:rsidP="00F74318">
      <w:pPr>
        <w:pStyle w:val="BodyText"/>
      </w:pPr>
      <w:r>
        <w:t xml:space="preserve">To give effect to the exemptions framework, provision has been made in the NGL </w:t>
      </w:r>
      <w:r w:rsidR="006C5D0F">
        <w:t>for</w:t>
      </w:r>
      <w:r>
        <w:t xml:space="preserve"> transportation s</w:t>
      </w:r>
      <w:r w:rsidR="006C5D0F">
        <w:t xml:space="preserve">ervice providers to request </w:t>
      </w:r>
      <w:r>
        <w:t xml:space="preserve">that </w:t>
      </w:r>
      <w:r w:rsidR="006C5D0F">
        <w:t xml:space="preserve">the AER grant an exemption (with any such request to be made in accordance with the NGR) </w:t>
      </w:r>
      <w:r>
        <w:t xml:space="preserve">to its transportation facility </w:t>
      </w:r>
      <w:r w:rsidR="006C5D0F">
        <w:t>from the following obligations in respect of that transportation facility:</w:t>
      </w:r>
    </w:p>
    <w:p w14:paraId="701044D2" w14:textId="77777777" w:rsidR="00120FD8" w:rsidRDefault="00C628C5" w:rsidP="00F74318">
      <w:pPr>
        <w:pStyle w:val="ListBullet"/>
      </w:pPr>
      <w:r>
        <w:t xml:space="preserve">the obligation to </w:t>
      </w:r>
      <w:r w:rsidR="00120FD8">
        <w:t>prepare</w:t>
      </w:r>
      <w:r>
        <w:t xml:space="preserve"> and </w:t>
      </w:r>
      <w:r w:rsidR="00120FD8">
        <w:t>publish a standard OTSA</w:t>
      </w:r>
      <w:r>
        <w:t>;</w:t>
      </w:r>
      <w:r w:rsidR="006C5D0F" w:rsidRPr="006C5D0F">
        <w:rPr>
          <w:rStyle w:val="FootnoteReference"/>
        </w:rPr>
        <w:t xml:space="preserve"> </w:t>
      </w:r>
      <w:r w:rsidR="006C5D0F">
        <w:rPr>
          <w:rStyle w:val="FootnoteReference"/>
        </w:rPr>
        <w:footnoteReference w:id="78"/>
      </w:r>
      <w:r w:rsidR="00120FD8">
        <w:t xml:space="preserve"> </w:t>
      </w:r>
    </w:p>
    <w:p w14:paraId="3B2D10D8" w14:textId="77777777" w:rsidR="00120FD8" w:rsidRDefault="00C628C5" w:rsidP="00F74318">
      <w:pPr>
        <w:pStyle w:val="ListBullet"/>
      </w:pPr>
      <w:r>
        <w:lastRenderedPageBreak/>
        <w:t xml:space="preserve">the obligation to offer to enter into a </w:t>
      </w:r>
      <w:r w:rsidR="006C5D0F">
        <w:t>standard OTSA and, if the offer is accepted, to enter into the agreement</w:t>
      </w:r>
      <w:r w:rsidR="00F74318">
        <w:t>;</w:t>
      </w:r>
      <w:r w:rsidR="006C5D0F" w:rsidRPr="006C5D0F">
        <w:rPr>
          <w:rStyle w:val="FootnoteReference"/>
        </w:rPr>
        <w:t xml:space="preserve"> </w:t>
      </w:r>
      <w:r w:rsidR="006C5D0F">
        <w:rPr>
          <w:rStyle w:val="FootnoteReference"/>
        </w:rPr>
        <w:footnoteReference w:id="79"/>
      </w:r>
      <w:r w:rsidR="00F74318">
        <w:rPr>
          <w:rStyle w:val="FootnoteReference"/>
        </w:rPr>
        <w:t xml:space="preserve"> </w:t>
      </w:r>
      <w:r w:rsidR="00F74318">
        <w:t>and</w:t>
      </w:r>
    </w:p>
    <w:p w14:paraId="4AEBFF51" w14:textId="77777777" w:rsidR="00F74318" w:rsidRDefault="00F74318" w:rsidP="00F74318">
      <w:pPr>
        <w:pStyle w:val="ListBullet"/>
      </w:pPr>
      <w:r>
        <w:t>the obligation to register.</w:t>
      </w:r>
      <w:r>
        <w:rPr>
          <w:rStyle w:val="FootnoteReference"/>
        </w:rPr>
        <w:footnoteReference w:id="80"/>
      </w:r>
      <w:r>
        <w:t xml:space="preserve"> </w:t>
      </w:r>
    </w:p>
    <w:p w14:paraId="5AAE9FE4" w14:textId="77777777" w:rsidR="006C5D0F" w:rsidRDefault="006B5985" w:rsidP="00F74318">
      <w:pPr>
        <w:pStyle w:val="BodyText"/>
      </w:pPr>
      <w:r>
        <w:t xml:space="preserve">Provision has also been made for the AER </w:t>
      </w:r>
      <w:r w:rsidR="00F74318">
        <w:t>to grant exemption</w:t>
      </w:r>
      <w:r>
        <w:t>s</w:t>
      </w:r>
      <w:r w:rsidR="00F74318">
        <w:t xml:space="preserve"> and for a</w:t>
      </w:r>
      <w:r w:rsidR="006C5D0F">
        <w:t>ny exemption</w:t>
      </w:r>
      <w:r>
        <w:t>s</w:t>
      </w:r>
      <w:r w:rsidR="006C5D0F">
        <w:t xml:space="preserve"> </w:t>
      </w:r>
      <w:r>
        <w:t xml:space="preserve">that are </w:t>
      </w:r>
      <w:r w:rsidR="006C5D0F">
        <w:t xml:space="preserve">granted </w:t>
      </w:r>
      <w:r w:rsidR="00F74318">
        <w:t xml:space="preserve">to </w:t>
      </w:r>
      <w:r w:rsidR="006C5D0F">
        <w:t>be subject to terms and conditions required by the NGR, or as the AER considers appropriate</w:t>
      </w:r>
      <w:r w:rsidR="008B6EDA">
        <w:t>,</w:t>
      </w:r>
      <w:r w:rsidR="006C5D0F">
        <w:t xml:space="preserve"> in accordance with the NGR.</w:t>
      </w:r>
      <w:r w:rsidR="006C5D0F" w:rsidRPr="006C5D0F">
        <w:rPr>
          <w:rStyle w:val="FootnoteReference"/>
        </w:rPr>
        <w:t xml:space="preserve"> </w:t>
      </w:r>
      <w:r w:rsidR="006C5D0F">
        <w:rPr>
          <w:rStyle w:val="FootnoteReference"/>
        </w:rPr>
        <w:footnoteReference w:id="81"/>
      </w:r>
    </w:p>
    <w:p w14:paraId="7838C305" w14:textId="77777777" w:rsidR="00120FD8" w:rsidRDefault="00F74318" w:rsidP="00F74318">
      <w:pPr>
        <w:pStyle w:val="BodyText"/>
      </w:pPr>
      <w:r>
        <w:t>In addition to these provisions, the NGL has been amended to extend t</w:t>
      </w:r>
      <w:r w:rsidR="006C5D0F">
        <w:t xml:space="preserve">he </w:t>
      </w:r>
      <w:r w:rsidR="00120FD8">
        <w:t>subject matter of the NGR and the scope of the AEMC’s rule making functions to include exemptions in connection with a standard OTSA or auction.</w:t>
      </w:r>
      <w:r w:rsidR="00120FD8">
        <w:rPr>
          <w:rStyle w:val="FootnoteReference"/>
        </w:rPr>
        <w:footnoteReference w:id="82"/>
      </w:r>
    </w:p>
    <w:p w14:paraId="349E84D0" w14:textId="77777777" w:rsidR="00F74318" w:rsidRPr="00F74318" w:rsidRDefault="00F74318" w:rsidP="006B5985">
      <w:pPr>
        <w:pStyle w:val="BodyText"/>
        <w:keepNext/>
        <w:rPr>
          <w:b/>
          <w:color w:val="0099CC"/>
        </w:rPr>
      </w:pPr>
      <w:r>
        <w:rPr>
          <w:b/>
          <w:color w:val="0099CC"/>
        </w:rPr>
        <w:t xml:space="preserve">Registration </w:t>
      </w:r>
      <w:r w:rsidRPr="00F74318">
        <w:rPr>
          <w:b/>
          <w:color w:val="0099CC"/>
        </w:rPr>
        <w:t>framework</w:t>
      </w:r>
    </w:p>
    <w:p w14:paraId="4059EBEA" w14:textId="77777777" w:rsidR="00B339A4" w:rsidRDefault="006B5985" w:rsidP="006B5985">
      <w:pPr>
        <w:pStyle w:val="BodyText"/>
      </w:pPr>
      <w:r>
        <w:t>To give effect to the registration framework, provision has been made in the NGL for transportation s</w:t>
      </w:r>
      <w:r w:rsidR="00CD6E20">
        <w:t xml:space="preserve">ervice providers </w:t>
      </w:r>
      <w:r w:rsidR="00B339A4">
        <w:t>(excluding AEMO) to register</w:t>
      </w:r>
      <w:r w:rsidR="00120FD8">
        <w:t xml:space="preserve"> unless they are exempt from doing so under the NGR</w:t>
      </w:r>
      <w:r w:rsidR="00B339A4">
        <w:t>:</w:t>
      </w:r>
      <w:r w:rsidR="00120FD8" w:rsidRPr="00120FD8">
        <w:rPr>
          <w:rStyle w:val="FootnoteReference"/>
        </w:rPr>
        <w:t xml:space="preserve"> </w:t>
      </w:r>
      <w:r w:rsidR="00120FD8">
        <w:rPr>
          <w:rStyle w:val="FootnoteReference"/>
        </w:rPr>
        <w:footnoteReference w:id="83"/>
      </w:r>
      <w:r w:rsidR="00B339A4">
        <w:t xml:space="preserve"> </w:t>
      </w:r>
    </w:p>
    <w:p w14:paraId="54BC4D5E" w14:textId="77777777" w:rsidR="00B339A4" w:rsidRDefault="00B339A4" w:rsidP="006B5985">
      <w:pPr>
        <w:pStyle w:val="ListBullet"/>
      </w:pPr>
      <w:r>
        <w:t xml:space="preserve">their transportation facility; and </w:t>
      </w:r>
    </w:p>
    <w:p w14:paraId="56F0F56D" w14:textId="77777777" w:rsidR="00B339A4" w:rsidRDefault="00B339A4" w:rsidP="006B5985">
      <w:pPr>
        <w:pStyle w:val="ListBullet"/>
      </w:pPr>
      <w:r>
        <w:t>as the transportation service provider for that facility.</w:t>
      </w:r>
    </w:p>
    <w:p w14:paraId="75042E1C" w14:textId="77777777" w:rsidR="00120FD8" w:rsidRDefault="008B6EDA" w:rsidP="006B5985">
      <w:pPr>
        <w:pStyle w:val="ListBullet"/>
        <w:numPr>
          <w:ilvl w:val="0"/>
          <w:numId w:val="0"/>
        </w:numPr>
      </w:pPr>
      <w:r>
        <w:t>T</w:t>
      </w:r>
      <w:r w:rsidR="006B5985">
        <w:t xml:space="preserve">he NGL </w:t>
      </w:r>
      <w:r>
        <w:t xml:space="preserve">also sets out </w:t>
      </w:r>
      <w:r w:rsidR="006B5985">
        <w:t>for t</w:t>
      </w:r>
      <w:r w:rsidR="00120FD8">
        <w:t>he certification requirements for registration and exemptions from registration.</w:t>
      </w:r>
      <w:r w:rsidR="00120FD8">
        <w:rPr>
          <w:rStyle w:val="FootnoteReference"/>
        </w:rPr>
        <w:footnoteReference w:id="84"/>
      </w:r>
    </w:p>
    <w:p w14:paraId="3C69EE5E" w14:textId="77777777" w:rsidR="00AA0CD8" w:rsidRDefault="006B5985" w:rsidP="006B5985">
      <w:pPr>
        <w:pStyle w:val="ListBullet"/>
        <w:numPr>
          <w:ilvl w:val="0"/>
          <w:numId w:val="0"/>
        </w:numPr>
      </w:pPr>
      <w:r>
        <w:t xml:space="preserve">In addition to these provisions, the NGL has been amended to extend the </w:t>
      </w:r>
      <w:r w:rsidR="00AA0CD8">
        <w:t xml:space="preserve">subject matter of the NGR and the scope of the AEMC’s rule making functions to </w:t>
      </w:r>
      <w:r w:rsidR="006C5D0F">
        <w:t xml:space="preserve">include </w:t>
      </w:r>
      <w:r w:rsidR="00120FD8">
        <w:t xml:space="preserve">a </w:t>
      </w:r>
      <w:r w:rsidR="00AA0CD8" w:rsidRPr="00AA0CD8">
        <w:t xml:space="preserve">registration scheme to be administered by AEMO for </w:t>
      </w:r>
      <w:r w:rsidR="00120FD8">
        <w:t xml:space="preserve">the </w:t>
      </w:r>
      <w:r w:rsidR="00AA0CD8" w:rsidRPr="00AA0CD8">
        <w:t xml:space="preserve">registration of </w:t>
      </w:r>
      <w:r>
        <w:t xml:space="preserve">transportation </w:t>
      </w:r>
      <w:r w:rsidR="00AA0CD8" w:rsidRPr="00AA0CD8">
        <w:t>service provider</w:t>
      </w:r>
      <w:r w:rsidR="00AA0CD8">
        <w:t>s and transportation facilities</w:t>
      </w:r>
      <w:r w:rsidR="00120FD8">
        <w:t>.</w:t>
      </w:r>
      <w:r w:rsidR="00AA0CD8">
        <w:rPr>
          <w:rStyle w:val="FootnoteReference"/>
        </w:rPr>
        <w:footnoteReference w:id="85"/>
      </w:r>
      <w:r w:rsidR="00AA0CD8" w:rsidRPr="00AA0CD8">
        <w:t xml:space="preserve"> </w:t>
      </w:r>
    </w:p>
    <w:p w14:paraId="46EA7247" w14:textId="77777777" w:rsidR="005F6769" w:rsidRDefault="005F6769" w:rsidP="00F22CD8">
      <w:pPr>
        <w:pStyle w:val="Heading3"/>
      </w:pPr>
      <w:r w:rsidRPr="00F22CD8">
        <w:t>Changes to the NGR</w:t>
      </w:r>
    </w:p>
    <w:p w14:paraId="2B2ED760" w14:textId="77777777" w:rsidR="006B5985" w:rsidRPr="00F74318" w:rsidRDefault="006B5985" w:rsidP="006B5985">
      <w:pPr>
        <w:pStyle w:val="BodyText"/>
        <w:keepNext/>
        <w:rPr>
          <w:b/>
          <w:color w:val="0099CC"/>
        </w:rPr>
      </w:pPr>
      <w:r w:rsidRPr="00F74318">
        <w:rPr>
          <w:b/>
          <w:color w:val="0099CC"/>
        </w:rPr>
        <w:t>Exemptions framework</w:t>
      </w:r>
    </w:p>
    <w:p w14:paraId="3F093F96" w14:textId="77777777" w:rsidR="00CD6E20" w:rsidRDefault="006C5D0F" w:rsidP="00CD6E20">
      <w:pPr>
        <w:pStyle w:val="BodyText"/>
        <w:rPr>
          <w:lang w:eastAsia="fr-CA"/>
        </w:rPr>
      </w:pPr>
      <w:r>
        <w:rPr>
          <w:lang w:eastAsia="fr-CA"/>
        </w:rPr>
        <w:t xml:space="preserve">Subdivision 3.1 </w:t>
      </w:r>
      <w:r w:rsidR="00CD6E20">
        <w:rPr>
          <w:lang w:eastAsia="fr-CA"/>
        </w:rPr>
        <w:t>of Part 24</w:t>
      </w:r>
      <w:r w:rsidR="006B5985">
        <w:rPr>
          <w:lang w:eastAsia="fr-CA"/>
        </w:rPr>
        <w:t xml:space="preserve"> of the NGR</w:t>
      </w:r>
      <w:r w:rsidR="00F22CD8">
        <w:rPr>
          <w:lang w:eastAsia="fr-CA"/>
        </w:rPr>
        <w:t xml:space="preserve"> </w:t>
      </w:r>
      <w:r>
        <w:rPr>
          <w:lang w:eastAsia="fr-CA"/>
        </w:rPr>
        <w:t xml:space="preserve">contains further detail on </w:t>
      </w:r>
      <w:r w:rsidR="00CD6E20">
        <w:rPr>
          <w:lang w:eastAsia="fr-CA"/>
        </w:rPr>
        <w:t>the exemption</w:t>
      </w:r>
      <w:r w:rsidR="008B6EDA">
        <w:rPr>
          <w:lang w:eastAsia="fr-CA"/>
        </w:rPr>
        <w:t>s</w:t>
      </w:r>
      <w:r w:rsidR="00CD6E20">
        <w:rPr>
          <w:lang w:eastAsia="fr-CA"/>
        </w:rPr>
        <w:t xml:space="preserve"> framework</w:t>
      </w:r>
      <w:r w:rsidR="00F22CD8">
        <w:rPr>
          <w:lang w:eastAsia="fr-CA"/>
        </w:rPr>
        <w:t xml:space="preserve"> and, in particular, </w:t>
      </w:r>
      <w:r w:rsidR="00A2025F">
        <w:rPr>
          <w:lang w:eastAsia="fr-CA"/>
        </w:rPr>
        <w:t>sets out</w:t>
      </w:r>
      <w:r w:rsidR="00CD6E20">
        <w:rPr>
          <w:lang w:eastAsia="fr-CA"/>
        </w:rPr>
        <w:t xml:space="preserve">: </w:t>
      </w:r>
    </w:p>
    <w:p w14:paraId="60D942CB" w14:textId="77777777" w:rsidR="00C20880" w:rsidRDefault="00A2025F" w:rsidP="00CB0E55">
      <w:pPr>
        <w:pStyle w:val="ListBullet"/>
        <w:numPr>
          <w:ilvl w:val="0"/>
          <w:numId w:val="22"/>
        </w:numPr>
        <w:rPr>
          <w:lang w:eastAsia="fr-CA"/>
        </w:rPr>
      </w:pPr>
      <w:r>
        <w:rPr>
          <w:lang w:eastAsia="fr-CA"/>
        </w:rPr>
        <w:t>T</w:t>
      </w:r>
      <w:r w:rsidR="00C20880">
        <w:rPr>
          <w:lang w:eastAsia="fr-CA"/>
        </w:rPr>
        <w:t xml:space="preserve">he automatic exemptions that are available to </w:t>
      </w:r>
      <w:r w:rsidR="00C97D17">
        <w:rPr>
          <w:lang w:eastAsia="fr-CA"/>
        </w:rPr>
        <w:t>distribution pipelines</w:t>
      </w:r>
      <w:r w:rsidR="00F22CD8">
        <w:rPr>
          <w:lang w:eastAsia="fr-CA"/>
        </w:rPr>
        <w:t xml:space="preserve">, </w:t>
      </w:r>
      <w:r w:rsidR="00C97D17">
        <w:rPr>
          <w:lang w:eastAsia="fr-CA"/>
        </w:rPr>
        <w:t>transportation facilities that form part of the DTS</w:t>
      </w:r>
      <w:r w:rsidR="00F22CD8">
        <w:rPr>
          <w:lang w:eastAsia="fr-CA"/>
        </w:rPr>
        <w:t xml:space="preserve"> and </w:t>
      </w:r>
      <w:r w:rsidR="00C97D17" w:rsidRPr="00F22CD8">
        <w:rPr>
          <w:rFonts w:asciiTheme="majorHAnsi" w:eastAsiaTheme="minorEastAsia" w:hAnsiTheme="majorHAnsi" w:cstheme="majorHAnsi"/>
        </w:rPr>
        <w:t xml:space="preserve">compression facilities that are not designated </w:t>
      </w:r>
      <w:r w:rsidR="00C97D17" w:rsidRPr="00F22CD8">
        <w:rPr>
          <w:rFonts w:asciiTheme="majorHAnsi" w:hAnsiTheme="majorHAnsi" w:cstheme="majorHAnsi"/>
          <w:lang w:eastAsia="fr-CA"/>
        </w:rPr>
        <w:t>in the Regulations or are not stand-alone facilities</w:t>
      </w:r>
      <w:r w:rsidR="00C20880">
        <w:rPr>
          <w:lang w:eastAsia="fr-CA"/>
        </w:rPr>
        <w:t>.</w:t>
      </w:r>
      <w:r w:rsidR="00C20880">
        <w:rPr>
          <w:rStyle w:val="FootnoteReference"/>
        </w:rPr>
        <w:footnoteReference w:id="86"/>
      </w:r>
      <w:r w:rsidR="00C20880">
        <w:rPr>
          <w:lang w:eastAsia="fr-CA"/>
        </w:rPr>
        <w:t xml:space="preserve"> </w:t>
      </w:r>
    </w:p>
    <w:p w14:paraId="09E455C4" w14:textId="762D33EA" w:rsidR="00C97D17" w:rsidRDefault="00C97D17" w:rsidP="00C20880">
      <w:pPr>
        <w:pStyle w:val="ListBullet"/>
        <w:numPr>
          <w:ilvl w:val="0"/>
          <w:numId w:val="22"/>
        </w:numPr>
        <w:rPr>
          <w:lang w:eastAsia="fr-CA"/>
        </w:rPr>
      </w:pPr>
      <w:r>
        <w:rPr>
          <w:lang w:eastAsia="fr-CA"/>
        </w:rPr>
        <w:t>The exemptions that are available</w:t>
      </w:r>
      <w:r w:rsidR="00F22CD8">
        <w:rPr>
          <w:lang w:eastAsia="fr-CA"/>
        </w:rPr>
        <w:t>,</w:t>
      </w:r>
      <w:r>
        <w:rPr>
          <w:lang w:eastAsia="fr-CA"/>
        </w:rPr>
        <w:t xml:space="preserve"> </w:t>
      </w:r>
      <w:r w:rsidR="00F22CD8">
        <w:rPr>
          <w:lang w:eastAsia="fr-CA"/>
        </w:rPr>
        <w:t xml:space="preserve">on application to the AER, to </w:t>
      </w:r>
      <w:r>
        <w:rPr>
          <w:lang w:eastAsia="fr-CA"/>
        </w:rPr>
        <w:t>transportation facilities</w:t>
      </w:r>
      <w:r w:rsidR="00F22CD8">
        <w:rPr>
          <w:lang w:eastAsia="fr-CA"/>
        </w:rPr>
        <w:t xml:space="preserve"> that are: not providing third party access; servicing a single user facility; or have a nameplate rating less than 10 TJ/day.</w:t>
      </w:r>
      <w:r>
        <w:rPr>
          <w:rStyle w:val="FootnoteReference"/>
          <w:lang w:eastAsia="fr-CA"/>
        </w:rPr>
        <w:footnoteReference w:id="87"/>
      </w:r>
      <w:r w:rsidR="00C20880">
        <w:rPr>
          <w:lang w:eastAsia="fr-CA"/>
        </w:rPr>
        <w:t xml:space="preserve"> </w:t>
      </w:r>
    </w:p>
    <w:p w14:paraId="17BB08E3" w14:textId="3F2D8F5E" w:rsidR="00C20880" w:rsidRDefault="00F22CD8" w:rsidP="00F22CD8">
      <w:pPr>
        <w:pStyle w:val="ListBullet"/>
        <w:numPr>
          <w:ilvl w:val="0"/>
          <w:numId w:val="22"/>
        </w:numPr>
        <w:rPr>
          <w:lang w:eastAsia="fr-CA"/>
        </w:rPr>
      </w:pPr>
      <w:r>
        <w:rPr>
          <w:lang w:eastAsia="fr-CA"/>
        </w:rPr>
        <w:lastRenderedPageBreak/>
        <w:t xml:space="preserve">The </w:t>
      </w:r>
      <w:r w:rsidR="00527AB7">
        <w:rPr>
          <w:lang w:eastAsia="fr-CA"/>
        </w:rPr>
        <w:t xml:space="preserve">requirement for any </w:t>
      </w:r>
      <w:r>
        <w:rPr>
          <w:lang w:eastAsia="fr-CA"/>
        </w:rPr>
        <w:t xml:space="preserve">exemption granted to </w:t>
      </w:r>
      <w:r w:rsidR="00527AB7">
        <w:rPr>
          <w:lang w:eastAsia="fr-CA"/>
        </w:rPr>
        <w:t xml:space="preserve">a </w:t>
      </w:r>
      <w:r>
        <w:rPr>
          <w:lang w:eastAsia="fr-CA"/>
        </w:rPr>
        <w:t xml:space="preserve">transportation facility that is a single user facility or </w:t>
      </w:r>
      <w:r w:rsidR="00527AB7">
        <w:rPr>
          <w:lang w:eastAsia="fr-CA"/>
        </w:rPr>
        <w:t xml:space="preserve">that </w:t>
      </w:r>
      <w:r>
        <w:rPr>
          <w:lang w:eastAsia="fr-CA"/>
        </w:rPr>
        <w:t>has a nameplate less than 10 TJ/day</w:t>
      </w:r>
      <w:r w:rsidR="008B6EDA">
        <w:rPr>
          <w:lang w:eastAsia="fr-CA"/>
        </w:rPr>
        <w:t>,</w:t>
      </w:r>
      <w:r>
        <w:rPr>
          <w:lang w:eastAsia="fr-CA"/>
        </w:rPr>
        <w:t xml:space="preserve"> </w:t>
      </w:r>
      <w:r w:rsidR="00527AB7">
        <w:rPr>
          <w:lang w:eastAsia="fr-CA"/>
        </w:rPr>
        <w:t xml:space="preserve">to be subject to a condition that the </w:t>
      </w:r>
      <w:r w:rsidR="008B6EDA">
        <w:rPr>
          <w:lang w:eastAsia="fr-CA"/>
        </w:rPr>
        <w:t xml:space="preserve">transportation </w:t>
      </w:r>
      <w:r w:rsidR="00527AB7">
        <w:rPr>
          <w:lang w:eastAsia="fr-CA"/>
        </w:rPr>
        <w:t xml:space="preserve">service provider must </w:t>
      </w:r>
      <w:r w:rsidR="00C20880">
        <w:rPr>
          <w:lang w:eastAsia="fr-CA"/>
        </w:rPr>
        <w:t xml:space="preserve">prepare and offer to enter into a standard OTSA </w:t>
      </w:r>
      <w:r w:rsidR="00527AB7">
        <w:rPr>
          <w:lang w:eastAsia="fr-CA"/>
        </w:rPr>
        <w:t xml:space="preserve">within 60 business days </w:t>
      </w:r>
      <w:r w:rsidR="00C20880">
        <w:rPr>
          <w:lang w:eastAsia="fr-CA"/>
        </w:rPr>
        <w:t>if it receives an eligible request.</w:t>
      </w:r>
      <w:r w:rsidR="00C20880">
        <w:rPr>
          <w:rStyle w:val="FootnoteReference"/>
          <w:lang w:eastAsia="fr-CA"/>
        </w:rPr>
        <w:footnoteReference w:id="88"/>
      </w:r>
    </w:p>
    <w:p w14:paraId="7D50A748" w14:textId="77777777" w:rsidR="00C20880" w:rsidRDefault="00F22CD8" w:rsidP="00C20880">
      <w:pPr>
        <w:pStyle w:val="ListBullet"/>
        <w:numPr>
          <w:ilvl w:val="0"/>
          <w:numId w:val="22"/>
        </w:numPr>
        <w:rPr>
          <w:lang w:eastAsia="fr-CA"/>
        </w:rPr>
      </w:pPr>
      <w:r>
        <w:rPr>
          <w:lang w:eastAsia="fr-CA"/>
        </w:rPr>
        <w:t xml:space="preserve">The power the AER has to impose </w:t>
      </w:r>
      <w:r w:rsidR="006B5985">
        <w:rPr>
          <w:lang w:eastAsia="fr-CA"/>
        </w:rPr>
        <w:t xml:space="preserve">any </w:t>
      </w:r>
      <w:r>
        <w:rPr>
          <w:lang w:eastAsia="fr-CA"/>
        </w:rPr>
        <w:t xml:space="preserve">other conditions on an exemption </w:t>
      </w:r>
      <w:r w:rsidR="006B5985">
        <w:rPr>
          <w:lang w:eastAsia="fr-CA"/>
        </w:rPr>
        <w:t xml:space="preserve">that it considers reasonable </w:t>
      </w:r>
      <w:r>
        <w:rPr>
          <w:lang w:eastAsia="fr-CA"/>
        </w:rPr>
        <w:t>and the obligation that service providers have to comply with these conditions</w:t>
      </w:r>
      <w:r w:rsidR="00C20880">
        <w:rPr>
          <w:lang w:eastAsia="fr-CA"/>
        </w:rPr>
        <w:t>.</w:t>
      </w:r>
      <w:r w:rsidR="00C20880">
        <w:rPr>
          <w:rStyle w:val="FootnoteReference"/>
          <w:lang w:eastAsia="fr-CA"/>
        </w:rPr>
        <w:footnoteReference w:id="89"/>
      </w:r>
    </w:p>
    <w:p w14:paraId="1A2E658D" w14:textId="77777777" w:rsidR="00C20880" w:rsidRDefault="00F22CD8" w:rsidP="00C20880">
      <w:pPr>
        <w:pStyle w:val="ListBullet"/>
        <w:numPr>
          <w:ilvl w:val="0"/>
          <w:numId w:val="22"/>
        </w:numPr>
        <w:rPr>
          <w:lang w:eastAsia="fr-CA"/>
        </w:rPr>
      </w:pPr>
      <w:r>
        <w:rPr>
          <w:lang w:eastAsia="fr-CA"/>
        </w:rPr>
        <w:t xml:space="preserve">The power the </w:t>
      </w:r>
      <w:r w:rsidR="00C20880">
        <w:rPr>
          <w:lang w:eastAsia="fr-CA"/>
        </w:rPr>
        <w:t xml:space="preserve">AER </w:t>
      </w:r>
      <w:r>
        <w:rPr>
          <w:lang w:eastAsia="fr-CA"/>
        </w:rPr>
        <w:t xml:space="preserve">has </w:t>
      </w:r>
      <w:r w:rsidR="00C20880">
        <w:rPr>
          <w:lang w:eastAsia="fr-CA"/>
        </w:rPr>
        <w:t>to vary or revoke an exemption.</w:t>
      </w:r>
      <w:r w:rsidR="00C20880">
        <w:rPr>
          <w:rStyle w:val="FootnoteReference"/>
          <w:lang w:eastAsia="fr-CA"/>
        </w:rPr>
        <w:footnoteReference w:id="90"/>
      </w:r>
    </w:p>
    <w:p w14:paraId="00FA9763" w14:textId="77777777" w:rsidR="00C20880" w:rsidRDefault="00F22CD8" w:rsidP="00C20880">
      <w:pPr>
        <w:pStyle w:val="ListBullet"/>
        <w:numPr>
          <w:ilvl w:val="0"/>
          <w:numId w:val="22"/>
        </w:numPr>
        <w:rPr>
          <w:lang w:eastAsia="fr-CA"/>
        </w:rPr>
      </w:pPr>
      <w:r>
        <w:rPr>
          <w:lang w:eastAsia="fr-CA"/>
        </w:rPr>
        <w:t>T</w:t>
      </w:r>
      <w:r w:rsidR="00C20880">
        <w:rPr>
          <w:lang w:eastAsia="fr-CA"/>
        </w:rPr>
        <w:t xml:space="preserve">he </w:t>
      </w:r>
      <w:r w:rsidR="00527AB7">
        <w:rPr>
          <w:lang w:eastAsia="fr-CA"/>
        </w:rPr>
        <w:t xml:space="preserve">requirements </w:t>
      </w:r>
      <w:r w:rsidR="00C20880">
        <w:rPr>
          <w:lang w:eastAsia="fr-CA"/>
        </w:rPr>
        <w:t xml:space="preserve">for applying for an exemption </w:t>
      </w:r>
      <w:r w:rsidR="00527AB7">
        <w:rPr>
          <w:lang w:eastAsia="fr-CA"/>
        </w:rPr>
        <w:t xml:space="preserve">or revocation </w:t>
      </w:r>
      <w:r w:rsidR="00C20880">
        <w:rPr>
          <w:lang w:eastAsia="fr-CA"/>
        </w:rPr>
        <w:t xml:space="preserve">and </w:t>
      </w:r>
      <w:r w:rsidR="00527AB7">
        <w:rPr>
          <w:lang w:eastAsia="fr-CA"/>
        </w:rPr>
        <w:t xml:space="preserve">the matters </w:t>
      </w:r>
      <w:r w:rsidR="00C20880">
        <w:rPr>
          <w:lang w:eastAsia="fr-CA"/>
        </w:rPr>
        <w:t xml:space="preserve">the AER </w:t>
      </w:r>
      <w:r w:rsidR="00527AB7">
        <w:rPr>
          <w:lang w:eastAsia="fr-CA"/>
        </w:rPr>
        <w:t>must consider</w:t>
      </w:r>
      <w:r w:rsidR="008B6EDA">
        <w:rPr>
          <w:lang w:eastAsia="fr-CA"/>
        </w:rPr>
        <w:t xml:space="preserve"> when</w:t>
      </w:r>
      <w:r w:rsidR="00527AB7">
        <w:rPr>
          <w:lang w:eastAsia="fr-CA"/>
        </w:rPr>
        <w:t xml:space="preserve"> </w:t>
      </w:r>
      <w:r w:rsidR="00C20880">
        <w:rPr>
          <w:lang w:eastAsia="fr-CA"/>
        </w:rPr>
        <w:t>making a decision on whether to grant, vary o</w:t>
      </w:r>
      <w:r w:rsidR="008B6EDA">
        <w:rPr>
          <w:lang w:eastAsia="fr-CA"/>
        </w:rPr>
        <w:t>r</w:t>
      </w:r>
      <w:r w:rsidR="00C20880">
        <w:rPr>
          <w:lang w:eastAsia="fr-CA"/>
        </w:rPr>
        <w:t xml:space="preserve"> revoke an exemption</w:t>
      </w:r>
      <w:r w:rsidR="00527AB7">
        <w:rPr>
          <w:lang w:eastAsia="fr-CA"/>
        </w:rPr>
        <w:t xml:space="preserve"> and the time within which a decision must be made</w:t>
      </w:r>
      <w:r w:rsidR="00C20880">
        <w:rPr>
          <w:lang w:eastAsia="fr-CA"/>
        </w:rPr>
        <w:t>.</w:t>
      </w:r>
      <w:r w:rsidR="00C20880">
        <w:rPr>
          <w:rStyle w:val="FootnoteReference"/>
        </w:rPr>
        <w:footnoteReference w:id="91"/>
      </w:r>
      <w:r w:rsidR="00C20880">
        <w:rPr>
          <w:lang w:eastAsia="fr-CA"/>
        </w:rPr>
        <w:t xml:space="preserve"> </w:t>
      </w:r>
    </w:p>
    <w:p w14:paraId="288E572E" w14:textId="77777777" w:rsidR="00F9685D" w:rsidRDefault="00F9685D" w:rsidP="00F9685D">
      <w:pPr>
        <w:pStyle w:val="ListBullet"/>
        <w:numPr>
          <w:ilvl w:val="0"/>
          <w:numId w:val="0"/>
        </w:numPr>
        <w:rPr>
          <w:lang w:eastAsia="fr-CA"/>
        </w:rPr>
      </w:pPr>
      <w:r>
        <w:rPr>
          <w:lang w:eastAsia="fr-CA"/>
        </w:rPr>
        <w:t>The transitional rules in Schedule 5, Part 3 of the NGR also set out the power the AER has to grant transitional exemptions</w:t>
      </w:r>
      <w:r w:rsidR="003274C6">
        <w:rPr>
          <w:lang w:eastAsia="fr-CA"/>
        </w:rPr>
        <w:t xml:space="preserve"> and the period over which these exemptions can be granted</w:t>
      </w:r>
      <w:r>
        <w:rPr>
          <w:lang w:eastAsia="fr-CA"/>
        </w:rPr>
        <w:t>.</w:t>
      </w:r>
      <w:r>
        <w:rPr>
          <w:rStyle w:val="FootnoteReference"/>
          <w:lang w:eastAsia="fr-CA"/>
        </w:rPr>
        <w:footnoteReference w:id="92"/>
      </w:r>
      <w:r>
        <w:rPr>
          <w:lang w:eastAsia="fr-CA"/>
        </w:rPr>
        <w:t xml:space="preserve"> </w:t>
      </w:r>
    </w:p>
    <w:p w14:paraId="77B34B9D" w14:textId="77777777" w:rsidR="00527AB7" w:rsidRPr="00F74318" w:rsidRDefault="00527AB7" w:rsidP="00527AB7">
      <w:pPr>
        <w:pStyle w:val="BodyText"/>
        <w:keepNext/>
        <w:rPr>
          <w:b/>
          <w:color w:val="0099CC"/>
        </w:rPr>
      </w:pPr>
      <w:r>
        <w:rPr>
          <w:b/>
          <w:color w:val="0099CC"/>
        </w:rPr>
        <w:t xml:space="preserve">Registration </w:t>
      </w:r>
      <w:r w:rsidRPr="00F74318">
        <w:rPr>
          <w:b/>
          <w:color w:val="0099CC"/>
        </w:rPr>
        <w:t>framework</w:t>
      </w:r>
    </w:p>
    <w:p w14:paraId="3468AB74" w14:textId="77777777" w:rsidR="006C5D0F" w:rsidRDefault="006C5D0F" w:rsidP="006C5D0F">
      <w:pPr>
        <w:pStyle w:val="BodyText"/>
        <w:rPr>
          <w:lang w:eastAsia="fr-CA"/>
        </w:rPr>
      </w:pPr>
      <w:r>
        <w:rPr>
          <w:lang w:eastAsia="fr-CA"/>
        </w:rPr>
        <w:t>Subdivision 3.2 of Part 24</w:t>
      </w:r>
      <w:r w:rsidR="00527AB7">
        <w:rPr>
          <w:lang w:eastAsia="fr-CA"/>
        </w:rPr>
        <w:t xml:space="preserve"> of the NGR</w:t>
      </w:r>
      <w:r>
        <w:rPr>
          <w:lang w:eastAsia="fr-CA"/>
        </w:rPr>
        <w:t xml:space="preserve"> contains further detail on the registration </w:t>
      </w:r>
      <w:r w:rsidR="00527AB7">
        <w:rPr>
          <w:lang w:eastAsia="fr-CA"/>
        </w:rPr>
        <w:t xml:space="preserve">framework and, in particular, </w:t>
      </w:r>
      <w:r w:rsidR="00C20880">
        <w:rPr>
          <w:lang w:eastAsia="fr-CA"/>
        </w:rPr>
        <w:t>set</w:t>
      </w:r>
      <w:r w:rsidR="00527AB7">
        <w:rPr>
          <w:lang w:eastAsia="fr-CA"/>
        </w:rPr>
        <w:t>s</w:t>
      </w:r>
      <w:r w:rsidR="00C20880">
        <w:rPr>
          <w:lang w:eastAsia="fr-CA"/>
        </w:rPr>
        <w:t xml:space="preserve"> out</w:t>
      </w:r>
      <w:r w:rsidR="00527AB7">
        <w:rPr>
          <w:lang w:eastAsia="fr-CA"/>
        </w:rPr>
        <w:t xml:space="preserve">: </w:t>
      </w:r>
    </w:p>
    <w:p w14:paraId="2E86421B" w14:textId="77777777" w:rsidR="00A2025F" w:rsidRDefault="00527AB7" w:rsidP="006C5D0F">
      <w:pPr>
        <w:pStyle w:val="ListBullet"/>
        <w:numPr>
          <w:ilvl w:val="0"/>
          <w:numId w:val="22"/>
        </w:numPr>
        <w:rPr>
          <w:lang w:eastAsia="fr-CA"/>
        </w:rPr>
      </w:pPr>
      <w:r>
        <w:rPr>
          <w:lang w:eastAsia="fr-CA"/>
        </w:rPr>
        <w:t xml:space="preserve">The obligations </w:t>
      </w:r>
      <w:r w:rsidR="006C5D0F">
        <w:rPr>
          <w:lang w:eastAsia="fr-CA"/>
        </w:rPr>
        <w:t xml:space="preserve">AEMO </w:t>
      </w:r>
      <w:r w:rsidR="00C20880">
        <w:rPr>
          <w:lang w:eastAsia="fr-CA"/>
        </w:rPr>
        <w:t xml:space="preserve">has </w:t>
      </w:r>
      <w:r w:rsidR="006C5D0F">
        <w:rPr>
          <w:lang w:eastAsia="fr-CA"/>
        </w:rPr>
        <w:t>to</w:t>
      </w:r>
      <w:r w:rsidR="00A2025F">
        <w:rPr>
          <w:lang w:eastAsia="fr-CA"/>
        </w:rPr>
        <w:t>:</w:t>
      </w:r>
      <w:r w:rsidR="006C5D0F">
        <w:rPr>
          <w:lang w:eastAsia="fr-CA"/>
        </w:rPr>
        <w:t xml:space="preserve"> </w:t>
      </w:r>
    </w:p>
    <w:p w14:paraId="6FA2CBCA" w14:textId="77777777" w:rsidR="00A2025F" w:rsidRDefault="006C5D0F" w:rsidP="00A2025F">
      <w:pPr>
        <w:pStyle w:val="ListBullet2"/>
        <w:rPr>
          <w:lang w:eastAsia="fr-CA"/>
        </w:rPr>
      </w:pPr>
      <w:r>
        <w:rPr>
          <w:lang w:eastAsia="fr-CA"/>
        </w:rPr>
        <w:t xml:space="preserve">establish, maintain and publish a register of facility operators and </w:t>
      </w:r>
      <w:r w:rsidR="00C20880">
        <w:rPr>
          <w:lang w:eastAsia="fr-CA"/>
        </w:rPr>
        <w:t xml:space="preserve">transportation </w:t>
      </w:r>
      <w:r>
        <w:rPr>
          <w:lang w:eastAsia="fr-CA"/>
        </w:rPr>
        <w:t>facilities registered under Part 24</w:t>
      </w:r>
      <w:r w:rsidR="008B6EDA">
        <w:rPr>
          <w:lang w:eastAsia="fr-CA"/>
        </w:rPr>
        <w:t xml:space="preserve"> of the NGR</w:t>
      </w:r>
      <w:r w:rsidR="00A2025F">
        <w:rPr>
          <w:lang w:eastAsia="fr-CA"/>
        </w:rPr>
        <w:t>;</w:t>
      </w:r>
      <w:r w:rsidR="00C20880" w:rsidRPr="00C20880">
        <w:rPr>
          <w:rStyle w:val="FootnoteReference"/>
          <w:lang w:eastAsia="fr-CA"/>
        </w:rPr>
        <w:t xml:space="preserve"> </w:t>
      </w:r>
      <w:r w:rsidR="00C20880">
        <w:rPr>
          <w:rStyle w:val="FootnoteReference"/>
          <w:lang w:eastAsia="fr-CA"/>
        </w:rPr>
        <w:footnoteReference w:id="93"/>
      </w:r>
      <w:r w:rsidR="00A2025F">
        <w:rPr>
          <w:lang w:eastAsia="fr-CA"/>
        </w:rPr>
        <w:t xml:space="preserve"> </w:t>
      </w:r>
    </w:p>
    <w:p w14:paraId="5370F73F" w14:textId="77777777" w:rsidR="008B6EDA" w:rsidRDefault="00527AB7" w:rsidP="00A2025F">
      <w:pPr>
        <w:pStyle w:val="ListBullet2"/>
        <w:rPr>
          <w:lang w:eastAsia="fr-CA"/>
        </w:rPr>
      </w:pPr>
      <w:r>
        <w:rPr>
          <w:lang w:eastAsia="fr-CA"/>
        </w:rPr>
        <w:t xml:space="preserve">develop and </w:t>
      </w:r>
      <w:r w:rsidR="006C5D0F">
        <w:rPr>
          <w:lang w:eastAsia="fr-CA"/>
        </w:rPr>
        <w:t xml:space="preserve">publish a guide about </w:t>
      </w:r>
      <w:r w:rsidR="00C20880">
        <w:rPr>
          <w:lang w:eastAsia="fr-CA"/>
        </w:rPr>
        <w:t>the process and timing for registration</w:t>
      </w:r>
      <w:r w:rsidR="008B6EDA">
        <w:rPr>
          <w:lang w:eastAsia="fr-CA"/>
        </w:rPr>
        <w:t xml:space="preserve"> and</w:t>
      </w:r>
      <w:r w:rsidR="00C20880">
        <w:rPr>
          <w:lang w:eastAsia="fr-CA"/>
        </w:rPr>
        <w:t xml:space="preserve"> the functions of</w:t>
      </w:r>
      <w:r w:rsidR="008B6EDA">
        <w:rPr>
          <w:lang w:eastAsia="fr-CA"/>
        </w:rPr>
        <w:t>:</w:t>
      </w:r>
      <w:r w:rsidR="00C20880">
        <w:rPr>
          <w:lang w:eastAsia="fr-CA"/>
        </w:rPr>
        <w:t xml:space="preserve"> </w:t>
      </w:r>
    </w:p>
    <w:p w14:paraId="2FCA1743" w14:textId="77777777" w:rsidR="008B6EDA" w:rsidRDefault="00C20880" w:rsidP="00EA491F">
      <w:pPr>
        <w:pStyle w:val="ListNumber"/>
        <w:numPr>
          <w:ilvl w:val="0"/>
          <w:numId w:val="46"/>
        </w:numPr>
        <w:ind w:left="1071" w:hanging="357"/>
        <w:rPr>
          <w:lang w:eastAsia="fr-CA"/>
        </w:rPr>
      </w:pPr>
      <w:r>
        <w:rPr>
          <w:lang w:eastAsia="fr-CA"/>
        </w:rPr>
        <w:t>facility operators</w:t>
      </w:r>
      <w:r w:rsidR="008B6EDA">
        <w:rPr>
          <w:lang w:eastAsia="fr-CA"/>
        </w:rPr>
        <w:t xml:space="preserve"> under Parts 24 and 25 of the NGR and the CT&amp;A Procedures; and</w:t>
      </w:r>
    </w:p>
    <w:p w14:paraId="76EB23FA" w14:textId="77777777" w:rsidR="006C5D0F" w:rsidRDefault="008B6EDA" w:rsidP="00EA491F">
      <w:pPr>
        <w:pStyle w:val="ListNumber"/>
        <w:numPr>
          <w:ilvl w:val="0"/>
          <w:numId w:val="46"/>
        </w:numPr>
        <w:ind w:left="1071" w:hanging="357"/>
        <w:rPr>
          <w:lang w:eastAsia="fr-CA"/>
        </w:rPr>
      </w:pPr>
      <w:r>
        <w:rPr>
          <w:lang w:eastAsia="fr-CA"/>
        </w:rPr>
        <w:t xml:space="preserve">transportation </w:t>
      </w:r>
      <w:r w:rsidR="00C20880">
        <w:rPr>
          <w:lang w:eastAsia="fr-CA"/>
        </w:rPr>
        <w:t xml:space="preserve">service providers under Part 24 </w:t>
      </w:r>
      <w:r>
        <w:rPr>
          <w:lang w:eastAsia="fr-CA"/>
        </w:rPr>
        <w:t xml:space="preserve">of the NGR </w:t>
      </w:r>
      <w:r w:rsidR="00C20880">
        <w:rPr>
          <w:lang w:eastAsia="fr-CA"/>
        </w:rPr>
        <w:t>(even if not registered as facility operator)</w:t>
      </w:r>
      <w:r w:rsidR="00A2025F">
        <w:rPr>
          <w:lang w:eastAsia="fr-CA"/>
        </w:rPr>
        <w:t>;</w:t>
      </w:r>
      <w:r w:rsidR="006C5D0F">
        <w:rPr>
          <w:rStyle w:val="FootnoteReference"/>
          <w:lang w:eastAsia="fr-CA"/>
        </w:rPr>
        <w:footnoteReference w:id="94"/>
      </w:r>
      <w:r w:rsidR="00527AB7">
        <w:rPr>
          <w:lang w:eastAsia="fr-CA"/>
        </w:rPr>
        <w:t xml:space="preserve"> and</w:t>
      </w:r>
    </w:p>
    <w:p w14:paraId="35D02854" w14:textId="77777777" w:rsidR="00A2025F" w:rsidRDefault="00A2025F" w:rsidP="00CB0E55">
      <w:pPr>
        <w:pStyle w:val="ListBullet2"/>
        <w:rPr>
          <w:lang w:eastAsia="fr-CA"/>
        </w:rPr>
      </w:pPr>
      <w:r>
        <w:rPr>
          <w:lang w:eastAsia="fr-CA"/>
        </w:rPr>
        <w:t>register applicants and their facilities in accordance with the NGR</w:t>
      </w:r>
      <w:r>
        <w:rPr>
          <w:rStyle w:val="FootnoteReference"/>
          <w:lang w:eastAsia="fr-CA"/>
        </w:rPr>
        <w:footnoteReference w:id="95"/>
      </w:r>
      <w:r>
        <w:rPr>
          <w:lang w:eastAsia="fr-CA"/>
        </w:rPr>
        <w:t xml:space="preserve"> and </w:t>
      </w:r>
      <w:r w:rsidR="00527AB7">
        <w:rPr>
          <w:lang w:eastAsia="fr-CA"/>
        </w:rPr>
        <w:t xml:space="preserve">to </w:t>
      </w:r>
      <w:r>
        <w:rPr>
          <w:lang w:eastAsia="fr-CA"/>
        </w:rPr>
        <w:t>revoke a registration if it is satisfied the facility is no longer required to be registered.</w:t>
      </w:r>
      <w:r>
        <w:rPr>
          <w:rStyle w:val="FootnoteReference"/>
          <w:lang w:eastAsia="fr-CA"/>
        </w:rPr>
        <w:footnoteReference w:id="96"/>
      </w:r>
      <w:r>
        <w:rPr>
          <w:lang w:eastAsia="fr-CA"/>
        </w:rPr>
        <w:t xml:space="preserve"> </w:t>
      </w:r>
    </w:p>
    <w:p w14:paraId="0DA7F7C2" w14:textId="77777777" w:rsidR="00A2025F" w:rsidRDefault="00527AB7" w:rsidP="006C5D0F">
      <w:pPr>
        <w:pStyle w:val="ListBullet"/>
        <w:numPr>
          <w:ilvl w:val="0"/>
          <w:numId w:val="22"/>
        </w:numPr>
        <w:rPr>
          <w:lang w:eastAsia="fr-CA"/>
        </w:rPr>
      </w:pPr>
      <w:r>
        <w:rPr>
          <w:lang w:eastAsia="fr-CA"/>
        </w:rPr>
        <w:t xml:space="preserve">The obligations that transportation </w:t>
      </w:r>
      <w:r w:rsidR="00C20880">
        <w:rPr>
          <w:lang w:eastAsia="fr-CA"/>
        </w:rPr>
        <w:t>s</w:t>
      </w:r>
      <w:r w:rsidR="006C5D0F">
        <w:rPr>
          <w:lang w:eastAsia="fr-CA"/>
        </w:rPr>
        <w:t>ervice provider</w:t>
      </w:r>
      <w:r w:rsidR="00C20880">
        <w:rPr>
          <w:lang w:eastAsia="fr-CA"/>
        </w:rPr>
        <w:t>s</w:t>
      </w:r>
      <w:r w:rsidR="006C5D0F">
        <w:rPr>
          <w:lang w:eastAsia="fr-CA"/>
        </w:rPr>
        <w:t xml:space="preserve"> </w:t>
      </w:r>
      <w:r w:rsidR="00C20880">
        <w:rPr>
          <w:lang w:eastAsia="fr-CA"/>
        </w:rPr>
        <w:t xml:space="preserve">have </w:t>
      </w:r>
      <w:r w:rsidR="006C5D0F">
        <w:rPr>
          <w:lang w:eastAsia="fr-CA"/>
        </w:rPr>
        <w:t>to</w:t>
      </w:r>
      <w:r w:rsidR="00A2025F">
        <w:rPr>
          <w:lang w:eastAsia="fr-CA"/>
        </w:rPr>
        <w:t xml:space="preserve"> apply to register</w:t>
      </w:r>
      <w:r>
        <w:rPr>
          <w:lang w:eastAsia="fr-CA"/>
        </w:rPr>
        <w:t xml:space="preserve"> with AEMO</w:t>
      </w:r>
      <w:r w:rsidR="00A2025F">
        <w:rPr>
          <w:lang w:eastAsia="fr-CA"/>
        </w:rPr>
        <w:t>:</w:t>
      </w:r>
    </w:p>
    <w:p w14:paraId="7FD88DC3" w14:textId="77777777" w:rsidR="006C5D0F" w:rsidRDefault="00C20880" w:rsidP="00A2025F">
      <w:pPr>
        <w:pStyle w:val="ListBullet2"/>
        <w:rPr>
          <w:lang w:eastAsia="fr-CA"/>
        </w:rPr>
      </w:pPr>
      <w:r>
        <w:rPr>
          <w:lang w:eastAsia="fr-CA"/>
        </w:rPr>
        <w:t xml:space="preserve">as a </w:t>
      </w:r>
      <w:r w:rsidR="006C5D0F">
        <w:rPr>
          <w:lang w:eastAsia="fr-CA"/>
        </w:rPr>
        <w:t xml:space="preserve">facility operator if any of its transportation facilities are </w:t>
      </w:r>
      <w:r w:rsidR="00527AB7">
        <w:rPr>
          <w:lang w:eastAsia="fr-CA"/>
        </w:rPr>
        <w:t xml:space="preserve">Part 24 </w:t>
      </w:r>
      <w:r>
        <w:rPr>
          <w:lang w:eastAsia="fr-CA"/>
        </w:rPr>
        <w:t xml:space="preserve">facilities </w:t>
      </w:r>
      <w:r w:rsidR="006C5D0F">
        <w:rPr>
          <w:lang w:eastAsia="fr-CA"/>
        </w:rPr>
        <w:t>and it is not already registered under Part 24</w:t>
      </w:r>
      <w:r w:rsidR="008B6EDA">
        <w:rPr>
          <w:lang w:eastAsia="fr-CA"/>
        </w:rPr>
        <w:t xml:space="preserve"> of the NGR</w:t>
      </w:r>
      <w:r w:rsidR="00114FB1">
        <w:rPr>
          <w:lang w:eastAsia="fr-CA"/>
        </w:rPr>
        <w:t>;</w:t>
      </w:r>
      <w:r w:rsidR="006C5D0F">
        <w:rPr>
          <w:rStyle w:val="FootnoteReference"/>
          <w:lang w:eastAsia="fr-CA"/>
        </w:rPr>
        <w:footnoteReference w:id="97"/>
      </w:r>
      <w:r w:rsidR="00114FB1">
        <w:rPr>
          <w:lang w:eastAsia="fr-CA"/>
        </w:rPr>
        <w:t xml:space="preserve"> and</w:t>
      </w:r>
    </w:p>
    <w:p w14:paraId="31C36C33" w14:textId="77777777" w:rsidR="006C5D0F" w:rsidRDefault="00C20880" w:rsidP="00A2025F">
      <w:pPr>
        <w:pStyle w:val="ListBullet2"/>
        <w:rPr>
          <w:lang w:eastAsia="fr-CA"/>
        </w:rPr>
      </w:pPr>
      <w:r>
        <w:rPr>
          <w:lang w:eastAsia="fr-CA"/>
        </w:rPr>
        <w:lastRenderedPageBreak/>
        <w:t xml:space="preserve">their </w:t>
      </w:r>
      <w:r w:rsidR="00114FB1">
        <w:rPr>
          <w:lang w:eastAsia="fr-CA"/>
        </w:rPr>
        <w:t xml:space="preserve">non-exempt </w:t>
      </w:r>
      <w:r>
        <w:rPr>
          <w:lang w:eastAsia="fr-CA"/>
        </w:rPr>
        <w:t xml:space="preserve">transportation facility and </w:t>
      </w:r>
      <w:r w:rsidR="006C5D0F">
        <w:rPr>
          <w:lang w:eastAsia="fr-CA"/>
        </w:rPr>
        <w:t xml:space="preserve">as the facility operator for </w:t>
      </w:r>
      <w:r>
        <w:rPr>
          <w:lang w:eastAsia="fr-CA"/>
        </w:rPr>
        <w:t xml:space="preserve">that </w:t>
      </w:r>
      <w:r w:rsidR="006C5D0F">
        <w:rPr>
          <w:lang w:eastAsia="fr-CA"/>
        </w:rPr>
        <w:t>facility.</w:t>
      </w:r>
      <w:r w:rsidR="006C5D0F">
        <w:rPr>
          <w:rStyle w:val="FootnoteReference"/>
          <w:lang w:eastAsia="fr-CA"/>
        </w:rPr>
        <w:footnoteReference w:id="98"/>
      </w:r>
    </w:p>
    <w:p w14:paraId="311AABD5" w14:textId="77777777" w:rsidR="00F9685D" w:rsidRDefault="00527AB7" w:rsidP="00527AB7">
      <w:pPr>
        <w:pStyle w:val="ListBullet"/>
        <w:rPr>
          <w:lang w:eastAsia="fr-CA"/>
        </w:rPr>
      </w:pPr>
      <w:r>
        <w:rPr>
          <w:lang w:eastAsia="fr-CA"/>
        </w:rPr>
        <w:t xml:space="preserve">The obligations that transportation service providers have if there are </w:t>
      </w:r>
      <w:r w:rsidR="006C5D0F">
        <w:rPr>
          <w:lang w:eastAsia="fr-CA"/>
        </w:rPr>
        <w:t xml:space="preserve">multiple service providers for a </w:t>
      </w:r>
      <w:r>
        <w:rPr>
          <w:lang w:eastAsia="fr-CA"/>
        </w:rPr>
        <w:t xml:space="preserve">Part 24 </w:t>
      </w:r>
      <w:r w:rsidR="006C5D0F">
        <w:rPr>
          <w:lang w:eastAsia="fr-CA"/>
        </w:rPr>
        <w:t>facility</w:t>
      </w:r>
      <w:r w:rsidR="00114FB1">
        <w:rPr>
          <w:lang w:eastAsia="fr-CA"/>
        </w:rPr>
        <w:t xml:space="preserve"> (see section 4.2)</w:t>
      </w:r>
      <w:r>
        <w:rPr>
          <w:lang w:eastAsia="fr-CA"/>
        </w:rPr>
        <w:t>, including</w:t>
      </w:r>
      <w:r w:rsidR="00F9685D">
        <w:rPr>
          <w:lang w:eastAsia="fr-CA"/>
        </w:rPr>
        <w:t>:</w:t>
      </w:r>
      <w:r w:rsidR="00F9685D">
        <w:rPr>
          <w:rStyle w:val="FootnoteReference"/>
        </w:rPr>
        <w:footnoteReference w:id="99"/>
      </w:r>
    </w:p>
    <w:p w14:paraId="673ED2E8" w14:textId="77777777" w:rsidR="00F9685D" w:rsidRDefault="008B6EDA" w:rsidP="00F9685D">
      <w:pPr>
        <w:pStyle w:val="ListBullet2"/>
        <w:rPr>
          <w:lang w:eastAsia="fr-CA"/>
        </w:rPr>
      </w:pPr>
      <w:r>
        <w:rPr>
          <w:lang w:eastAsia="fr-CA"/>
        </w:rPr>
        <w:t xml:space="preserve">The obligation </w:t>
      </w:r>
      <w:r w:rsidR="00F9685D">
        <w:rPr>
          <w:lang w:eastAsia="fr-CA"/>
        </w:rPr>
        <w:t xml:space="preserve">members of the </w:t>
      </w:r>
      <w:r>
        <w:rPr>
          <w:lang w:eastAsia="fr-CA"/>
        </w:rPr>
        <w:t xml:space="preserve">transportation service provider </w:t>
      </w:r>
      <w:r w:rsidR="00F9685D">
        <w:rPr>
          <w:lang w:eastAsia="fr-CA"/>
        </w:rPr>
        <w:t xml:space="preserve">group have to </w:t>
      </w:r>
      <w:r w:rsidR="00527AB7">
        <w:rPr>
          <w:lang w:eastAsia="fr-CA"/>
        </w:rPr>
        <w:t>nominate a responsible transportation service provider</w:t>
      </w:r>
      <w:r w:rsidR="00F9685D">
        <w:rPr>
          <w:lang w:eastAsia="fr-CA"/>
        </w:rPr>
        <w:t xml:space="preserve"> and for the responsible transportation service provider to register the Part 24 facility with AEMO and register as the facility operator</w:t>
      </w:r>
      <w:r>
        <w:rPr>
          <w:lang w:eastAsia="fr-CA"/>
        </w:rPr>
        <w:t>.</w:t>
      </w:r>
    </w:p>
    <w:p w14:paraId="702E07E3" w14:textId="77777777" w:rsidR="006C5D0F" w:rsidRDefault="008B6EDA" w:rsidP="00F9685D">
      <w:pPr>
        <w:pStyle w:val="ListBullet2"/>
        <w:rPr>
          <w:lang w:eastAsia="fr-CA"/>
        </w:rPr>
      </w:pPr>
      <w:r>
        <w:t xml:space="preserve">The obligation </w:t>
      </w:r>
      <w:r w:rsidR="00F9685D">
        <w:t xml:space="preserve">each member of the </w:t>
      </w:r>
      <w:r>
        <w:t xml:space="preserve">transportation </w:t>
      </w:r>
      <w:r w:rsidR="00F9685D">
        <w:t>service provider group has to procure and where necessary facilitate, the compliance of the facility operator</w:t>
      </w:r>
      <w:r w:rsidR="006C5D0F">
        <w:rPr>
          <w:lang w:eastAsia="fr-CA"/>
        </w:rPr>
        <w:t xml:space="preserve"> </w:t>
      </w:r>
      <w:r w:rsidR="00F9685D">
        <w:rPr>
          <w:lang w:eastAsia="fr-CA"/>
        </w:rPr>
        <w:t>with its obligations under the NGR; and</w:t>
      </w:r>
    </w:p>
    <w:p w14:paraId="30F1881A" w14:textId="77777777" w:rsidR="00F9685D" w:rsidRDefault="008B6EDA" w:rsidP="00F9685D">
      <w:pPr>
        <w:pStyle w:val="ListBullet2"/>
        <w:rPr>
          <w:lang w:eastAsia="fr-CA"/>
        </w:rPr>
      </w:pPr>
      <w:r>
        <w:rPr>
          <w:lang w:eastAsia="fr-CA"/>
        </w:rPr>
        <w:t xml:space="preserve">The obligation </w:t>
      </w:r>
      <w:r w:rsidR="00F9685D">
        <w:rPr>
          <w:lang w:eastAsia="fr-CA"/>
        </w:rPr>
        <w:t>the facility operator has to procure and</w:t>
      </w:r>
      <w:r w:rsidR="00C05851">
        <w:rPr>
          <w:lang w:eastAsia="fr-CA"/>
        </w:rPr>
        <w:t>,</w:t>
      </w:r>
      <w:r w:rsidR="00F9685D">
        <w:rPr>
          <w:lang w:eastAsia="fr-CA"/>
        </w:rPr>
        <w:t xml:space="preserve"> where necessary facilitate, the compliance of each other </w:t>
      </w:r>
      <w:r w:rsidR="00C05851">
        <w:rPr>
          <w:lang w:eastAsia="fr-CA"/>
        </w:rPr>
        <w:t xml:space="preserve">transportation </w:t>
      </w:r>
      <w:r w:rsidR="00F9685D">
        <w:rPr>
          <w:lang w:eastAsia="fr-CA"/>
        </w:rPr>
        <w:t>service provider with the</w:t>
      </w:r>
      <w:r w:rsidR="00C05851">
        <w:rPr>
          <w:lang w:eastAsia="fr-CA"/>
        </w:rPr>
        <w:t>ir</w:t>
      </w:r>
      <w:r w:rsidR="00F9685D">
        <w:rPr>
          <w:lang w:eastAsia="fr-CA"/>
        </w:rPr>
        <w:t xml:space="preserve"> obligations under the NGR.</w:t>
      </w:r>
    </w:p>
    <w:p w14:paraId="3CFF1201" w14:textId="77777777" w:rsidR="00114FB1" w:rsidRDefault="00114FB1" w:rsidP="006C5D0F">
      <w:pPr>
        <w:pStyle w:val="ListBullet"/>
        <w:numPr>
          <w:ilvl w:val="0"/>
          <w:numId w:val="22"/>
        </w:numPr>
        <w:rPr>
          <w:lang w:eastAsia="fr-CA"/>
        </w:rPr>
      </w:pPr>
      <w:r>
        <w:rPr>
          <w:lang w:eastAsia="fr-CA"/>
        </w:rPr>
        <w:t xml:space="preserve">The process related </w:t>
      </w:r>
      <w:r w:rsidR="00A2025F">
        <w:rPr>
          <w:lang w:eastAsia="fr-CA"/>
        </w:rPr>
        <w:t xml:space="preserve">registration obligations </w:t>
      </w:r>
      <w:r>
        <w:rPr>
          <w:lang w:eastAsia="fr-CA"/>
        </w:rPr>
        <w:t xml:space="preserve">that </w:t>
      </w:r>
      <w:r w:rsidR="00F9685D">
        <w:rPr>
          <w:lang w:eastAsia="fr-CA"/>
        </w:rPr>
        <w:t xml:space="preserve">transportation </w:t>
      </w:r>
      <w:r>
        <w:rPr>
          <w:lang w:eastAsia="fr-CA"/>
        </w:rPr>
        <w:t>service providers are required to comply with, which include</w:t>
      </w:r>
      <w:r w:rsidR="00A2025F">
        <w:rPr>
          <w:lang w:eastAsia="fr-CA"/>
        </w:rPr>
        <w:t xml:space="preserve"> a requirement to</w:t>
      </w:r>
      <w:r>
        <w:rPr>
          <w:lang w:eastAsia="fr-CA"/>
        </w:rPr>
        <w:t>:</w:t>
      </w:r>
      <w:r w:rsidRPr="00114FB1">
        <w:rPr>
          <w:rStyle w:val="FootnoteReference"/>
        </w:rPr>
        <w:t xml:space="preserve"> </w:t>
      </w:r>
    </w:p>
    <w:p w14:paraId="206291EC" w14:textId="77777777" w:rsidR="00114FB1" w:rsidRDefault="00114FB1" w:rsidP="00A2025F">
      <w:pPr>
        <w:pStyle w:val="ListBullet2"/>
        <w:rPr>
          <w:lang w:eastAsia="fr-CA"/>
        </w:rPr>
      </w:pPr>
      <w:r>
        <w:rPr>
          <w:lang w:eastAsia="fr-CA"/>
        </w:rPr>
        <w:t>apply to register within the time specified in the NGR;</w:t>
      </w:r>
      <w:r w:rsidR="00A2025F">
        <w:rPr>
          <w:rStyle w:val="FootnoteReference"/>
          <w:lang w:eastAsia="fr-CA"/>
        </w:rPr>
        <w:footnoteReference w:id="100"/>
      </w:r>
    </w:p>
    <w:p w14:paraId="0084D13F" w14:textId="77777777" w:rsidR="00114FB1" w:rsidRDefault="00114FB1" w:rsidP="00A2025F">
      <w:pPr>
        <w:pStyle w:val="ListBullet2"/>
        <w:rPr>
          <w:lang w:eastAsia="fr-CA"/>
        </w:rPr>
      </w:pPr>
      <w:r>
        <w:rPr>
          <w:lang w:eastAsia="fr-CA"/>
        </w:rPr>
        <w:t>comply with the application</w:t>
      </w:r>
      <w:r w:rsidR="00A2025F">
        <w:rPr>
          <w:lang w:eastAsia="fr-CA"/>
        </w:rPr>
        <w:t xml:space="preserve"> for registration provisions in the NGR and the CT&amp;A Procedures</w:t>
      </w:r>
      <w:r>
        <w:rPr>
          <w:lang w:eastAsia="fr-CA"/>
        </w:rPr>
        <w:t>;</w:t>
      </w:r>
      <w:r w:rsidR="00A2025F">
        <w:rPr>
          <w:rStyle w:val="FootnoteReference"/>
          <w:lang w:eastAsia="fr-CA"/>
        </w:rPr>
        <w:footnoteReference w:id="101"/>
      </w:r>
    </w:p>
    <w:p w14:paraId="025C0E72" w14:textId="77777777" w:rsidR="00114FB1" w:rsidRDefault="00114FB1" w:rsidP="00A2025F">
      <w:pPr>
        <w:pStyle w:val="ListBullet2"/>
        <w:rPr>
          <w:lang w:eastAsia="fr-CA"/>
        </w:rPr>
      </w:pPr>
      <w:r>
        <w:rPr>
          <w:lang w:eastAsia="fr-CA"/>
        </w:rPr>
        <w:t>notify AEMO if the identity of the facility operator changes</w:t>
      </w:r>
      <w:r w:rsidR="00A2025F">
        <w:rPr>
          <w:lang w:eastAsia="fr-CA"/>
        </w:rPr>
        <w:t xml:space="preserve"> within the time specified in the NGR</w:t>
      </w:r>
      <w:r>
        <w:rPr>
          <w:lang w:eastAsia="fr-CA"/>
        </w:rPr>
        <w:t>;</w:t>
      </w:r>
      <w:r w:rsidR="00A2025F">
        <w:rPr>
          <w:rStyle w:val="FootnoteReference"/>
          <w:lang w:eastAsia="fr-CA"/>
        </w:rPr>
        <w:footnoteReference w:id="102"/>
      </w:r>
      <w:r w:rsidRPr="00114FB1">
        <w:rPr>
          <w:rStyle w:val="FootnoteReference"/>
        </w:rPr>
        <w:t xml:space="preserve"> </w:t>
      </w:r>
      <w:r>
        <w:rPr>
          <w:rStyle w:val="FootnoteReference"/>
        </w:rPr>
        <w:t xml:space="preserve"> </w:t>
      </w:r>
      <w:r>
        <w:t>and</w:t>
      </w:r>
    </w:p>
    <w:p w14:paraId="20A2D381" w14:textId="77777777" w:rsidR="00114FB1" w:rsidRDefault="00114FB1" w:rsidP="00A2025F">
      <w:pPr>
        <w:pStyle w:val="ListBullet2"/>
        <w:rPr>
          <w:lang w:eastAsia="fr-CA"/>
        </w:rPr>
      </w:pPr>
      <w:r>
        <w:rPr>
          <w:lang w:eastAsia="fr-CA"/>
        </w:rPr>
        <w:t>apply to AEMO to revoke its registration if the facility operator is no longer required to be registered</w:t>
      </w:r>
      <w:r w:rsidR="00A2025F">
        <w:rPr>
          <w:lang w:eastAsia="fr-CA"/>
        </w:rPr>
        <w:t>.</w:t>
      </w:r>
      <w:r w:rsidR="00A2025F">
        <w:rPr>
          <w:rStyle w:val="FootnoteReference"/>
          <w:lang w:eastAsia="fr-CA"/>
        </w:rPr>
        <w:footnoteReference w:id="103"/>
      </w:r>
    </w:p>
    <w:p w14:paraId="2198C1A9" w14:textId="77777777" w:rsidR="00F9685D" w:rsidRDefault="00F9685D" w:rsidP="00F9685D">
      <w:pPr>
        <w:pStyle w:val="ListBullet"/>
      </w:pPr>
      <w:r>
        <w:t xml:space="preserve">The power AEMO has: </w:t>
      </w:r>
    </w:p>
    <w:p w14:paraId="7C4A27A7" w14:textId="77777777" w:rsidR="00F9685D" w:rsidRDefault="00F9685D" w:rsidP="00F9685D">
      <w:pPr>
        <w:pStyle w:val="ListBullet2"/>
        <w:rPr>
          <w:rFonts w:eastAsiaTheme="minorEastAsia"/>
        </w:rPr>
      </w:pPr>
      <w:r>
        <w:t xml:space="preserve">register a pipeline that is the subject of multiple pipeline licences as a </w:t>
      </w:r>
      <w:r w:rsidRPr="00AE6A00">
        <w:rPr>
          <w:rFonts w:eastAsiaTheme="minorEastAsia"/>
        </w:rPr>
        <w:t>single facility</w:t>
      </w:r>
      <w:r>
        <w:rPr>
          <w:rFonts w:eastAsiaTheme="minorEastAsia"/>
        </w:rPr>
        <w:t>;</w:t>
      </w:r>
      <w:r w:rsidRPr="00096281">
        <w:rPr>
          <w:rStyle w:val="FootnoteReference"/>
        </w:rPr>
        <w:t xml:space="preserve"> </w:t>
      </w:r>
      <w:r>
        <w:rPr>
          <w:rStyle w:val="FootnoteReference"/>
        </w:rPr>
        <w:footnoteReference w:id="104"/>
      </w:r>
      <w:r>
        <w:rPr>
          <w:rFonts w:eastAsiaTheme="minorEastAsia"/>
        </w:rPr>
        <w:t xml:space="preserve"> and</w:t>
      </w:r>
    </w:p>
    <w:p w14:paraId="43E01D27" w14:textId="77777777" w:rsidR="00F9685D" w:rsidRDefault="00F9685D" w:rsidP="00F9685D">
      <w:pPr>
        <w:pStyle w:val="ListBullet2"/>
        <w:rPr>
          <w:rFonts w:eastAsiaTheme="minorEastAsia"/>
        </w:rPr>
      </w:pPr>
      <w:r>
        <w:rPr>
          <w:rFonts w:eastAsiaTheme="minorEastAsia"/>
        </w:rPr>
        <w:t>register, on the application of a facility operator:</w:t>
      </w:r>
      <w:r>
        <w:rPr>
          <w:rStyle w:val="FootnoteReference"/>
          <w:rFonts w:eastAsiaTheme="minorEastAsia"/>
        </w:rPr>
        <w:footnoteReference w:id="105"/>
      </w:r>
      <w:r w:rsidRPr="00096281">
        <w:rPr>
          <w:rFonts w:eastAsiaTheme="minorEastAsia"/>
          <w:vertAlign w:val="superscript"/>
        </w:rPr>
        <w:t>,</w:t>
      </w:r>
      <w:r>
        <w:rPr>
          <w:rStyle w:val="FootnoteReference"/>
          <w:rFonts w:eastAsiaTheme="minorEastAsia"/>
        </w:rPr>
        <w:footnoteReference w:id="106"/>
      </w:r>
      <w:r>
        <w:rPr>
          <w:rFonts w:eastAsiaTheme="minorEastAsia"/>
        </w:rPr>
        <w:t xml:space="preserve"> </w:t>
      </w:r>
    </w:p>
    <w:p w14:paraId="07CB3D8F" w14:textId="77777777" w:rsidR="00F9685D" w:rsidRPr="00141498" w:rsidRDefault="00F9685D" w:rsidP="00EA491F">
      <w:pPr>
        <w:pStyle w:val="ListBullet"/>
        <w:numPr>
          <w:ilvl w:val="0"/>
          <w:numId w:val="45"/>
        </w:numPr>
        <w:spacing w:before="60" w:after="60" w:line="250" w:lineRule="auto"/>
        <w:ind w:left="1071" w:hanging="357"/>
        <w:rPr>
          <w:lang w:eastAsia="fr-CA"/>
        </w:rPr>
      </w:pPr>
      <w:r w:rsidRPr="00141498">
        <w:rPr>
          <w:lang w:eastAsia="fr-CA"/>
        </w:rPr>
        <w:t>the transportation facility, together with one or more other facilities in respect of which an application is made, as a single transportation facility; or</w:t>
      </w:r>
    </w:p>
    <w:p w14:paraId="1B054901" w14:textId="77777777" w:rsidR="00F9685D" w:rsidRDefault="00F9685D" w:rsidP="00EA491F">
      <w:pPr>
        <w:pStyle w:val="ListBullet"/>
        <w:numPr>
          <w:ilvl w:val="0"/>
          <w:numId w:val="45"/>
        </w:numPr>
        <w:spacing w:before="60" w:after="60" w:line="250" w:lineRule="auto"/>
        <w:ind w:left="1071" w:hanging="357"/>
        <w:rPr>
          <w:lang w:eastAsia="fr-CA"/>
        </w:rPr>
      </w:pPr>
      <w:r w:rsidRPr="00141498">
        <w:rPr>
          <w:lang w:eastAsia="fr-CA"/>
        </w:rPr>
        <w:t>a part (or parts) of a transportation facility as a separate transportation facility.</w:t>
      </w:r>
    </w:p>
    <w:p w14:paraId="34CE6BBA" w14:textId="77777777" w:rsidR="003274C6" w:rsidRDefault="003274C6" w:rsidP="00C05851">
      <w:pPr>
        <w:pStyle w:val="BodyText"/>
        <w:rPr>
          <w:lang w:eastAsia="fr-CA"/>
        </w:rPr>
      </w:pPr>
      <w:r>
        <w:rPr>
          <w:lang w:eastAsia="fr-CA"/>
        </w:rPr>
        <w:t>The transitional rules in Schedule 5, Part 3 of the NGR also set out the date on which existing transportation facilities are taken to become Part 24 facilities for the purposes of triggering the registration requirements.</w:t>
      </w:r>
      <w:r>
        <w:rPr>
          <w:rStyle w:val="FootnoteReference"/>
          <w:lang w:eastAsia="fr-CA"/>
        </w:rPr>
        <w:footnoteReference w:id="107"/>
      </w:r>
      <w:r>
        <w:rPr>
          <w:lang w:eastAsia="fr-CA"/>
        </w:rPr>
        <w:t xml:space="preserve"> </w:t>
      </w:r>
    </w:p>
    <w:p w14:paraId="6E079988" w14:textId="77777777" w:rsidR="00CD6E20" w:rsidRPr="00A2025F" w:rsidRDefault="00CD6E20" w:rsidP="00A2025F">
      <w:pPr>
        <w:pStyle w:val="Heading3"/>
      </w:pPr>
      <w:r w:rsidRPr="00A2025F">
        <w:lastRenderedPageBreak/>
        <w:t>Changes to the Regulations</w:t>
      </w:r>
    </w:p>
    <w:p w14:paraId="3499E3E1" w14:textId="77777777" w:rsidR="00C97D17" w:rsidRPr="00AC3942" w:rsidRDefault="00F22CD8" w:rsidP="00CB791A">
      <w:pPr>
        <w:pStyle w:val="BodyText"/>
      </w:pPr>
      <w:r w:rsidRPr="00AC3942">
        <w:t xml:space="preserve">The </w:t>
      </w:r>
      <w:r w:rsidR="00AC3942" w:rsidRPr="00AC3942">
        <w:t>Regulations have been amended to specify the compression service facilities</w:t>
      </w:r>
      <w:r w:rsidR="006B5985">
        <w:t xml:space="preserve"> that have been designated as Part 24 facilities</w:t>
      </w:r>
      <w:r w:rsidR="00C05851">
        <w:t xml:space="preserve"> for the purposes of the NGL and NGR</w:t>
      </w:r>
      <w:r w:rsidR="00AC3942" w:rsidRPr="00AC3942">
        <w:t xml:space="preserve">, which </w:t>
      </w:r>
      <w:r w:rsidR="00953791">
        <w:t>are</w:t>
      </w:r>
      <w:r w:rsidR="00953791" w:rsidRPr="00AC3942">
        <w:t xml:space="preserve"> </w:t>
      </w:r>
      <w:r w:rsidR="00AC3942" w:rsidRPr="00AC3942">
        <w:t>the Wallumbilla</w:t>
      </w:r>
      <w:r w:rsidR="00C05851">
        <w:t xml:space="preserve"> and </w:t>
      </w:r>
      <w:r w:rsidR="00AC3942" w:rsidRPr="00AC3942">
        <w:t>Moomba</w:t>
      </w:r>
      <w:r w:rsidR="00C05851">
        <w:t xml:space="preserve"> compression facilities operated by APA</w:t>
      </w:r>
      <w:r w:rsidR="00AC3942" w:rsidRPr="00AC3942">
        <w:t xml:space="preserve">, </w:t>
      </w:r>
      <w:r w:rsidR="00C05851">
        <w:t xml:space="preserve">the </w:t>
      </w:r>
      <w:r w:rsidR="00AC3942" w:rsidRPr="00AC3942">
        <w:t xml:space="preserve">Ballera </w:t>
      </w:r>
      <w:r w:rsidR="00C05851">
        <w:t xml:space="preserve">compression facility operated by Santos </w:t>
      </w:r>
      <w:r w:rsidR="00AC3942" w:rsidRPr="00AC3942">
        <w:t xml:space="preserve">and </w:t>
      </w:r>
      <w:r w:rsidR="00C05851">
        <w:t xml:space="preserve">the </w:t>
      </w:r>
      <w:r w:rsidR="00AC3942" w:rsidRPr="00AC3942">
        <w:t xml:space="preserve">Iona compression </w:t>
      </w:r>
      <w:r w:rsidR="00C05851">
        <w:t>facility operated by Lochard</w:t>
      </w:r>
      <w:r w:rsidR="00AC3942" w:rsidRPr="00AC3942">
        <w:t xml:space="preserve">. </w:t>
      </w:r>
    </w:p>
    <w:p w14:paraId="0EC7F0C1" w14:textId="77777777" w:rsidR="00CB791A" w:rsidRDefault="00CB791A" w:rsidP="00CB791A">
      <w:pPr>
        <w:pStyle w:val="BodyText"/>
      </w:pPr>
      <w:r w:rsidRPr="00AC3942">
        <w:t xml:space="preserve">Schedule 3 of the Regulations </w:t>
      </w:r>
      <w:r w:rsidR="00AC3942" w:rsidRPr="00AC3942">
        <w:t xml:space="preserve">has </w:t>
      </w:r>
      <w:r w:rsidRPr="00AC3942">
        <w:t>been amended to classify a number of the</w:t>
      </w:r>
      <w:r>
        <w:t xml:space="preserve"> exemption and registration related provisions as civil penalty provisions. A list of these provisions is set out in the table below.</w:t>
      </w:r>
    </w:p>
    <w:p w14:paraId="276BD091" w14:textId="12A6EC1E" w:rsidR="00CB791A" w:rsidRDefault="00CB791A" w:rsidP="00B339A4">
      <w:pPr>
        <w:pStyle w:val="Caption"/>
        <w:spacing w:after="0"/>
      </w:pPr>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4</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2</w:t>
      </w:r>
      <w:r w:rsidR="002B13EB">
        <w:rPr>
          <w:noProof/>
        </w:rPr>
        <w:fldChar w:fldCharType="end"/>
      </w:r>
      <w:r>
        <w:t xml:space="preserve">: Civil penalty provisions </w:t>
      </w:r>
    </w:p>
    <w:tbl>
      <w:tblPr>
        <w:tblStyle w:val="TableGrid"/>
        <w:tblW w:w="5000" w:type="pct"/>
        <w:tblLook w:val="04A0" w:firstRow="1" w:lastRow="0" w:firstColumn="1" w:lastColumn="0" w:noHBand="0" w:noVBand="1"/>
      </w:tblPr>
      <w:tblGrid>
        <w:gridCol w:w="1276"/>
        <w:gridCol w:w="5954"/>
        <w:gridCol w:w="1558"/>
      </w:tblGrid>
      <w:tr w:rsidR="00EC31D2" w14:paraId="2DCB5456" w14:textId="77777777" w:rsidTr="000C7E24">
        <w:trPr>
          <w:cnfStyle w:val="100000000000" w:firstRow="1" w:lastRow="0" w:firstColumn="0" w:lastColumn="0" w:oddVBand="0" w:evenVBand="0" w:oddHBand="0" w:evenHBand="0" w:firstRowFirstColumn="0" w:firstRowLastColumn="0" w:lastRowFirstColumn="0" w:lastRowLastColumn="0"/>
          <w:cantSplit/>
          <w:tblHeader/>
        </w:trPr>
        <w:tc>
          <w:tcPr>
            <w:tcW w:w="7230" w:type="dxa"/>
            <w:gridSpan w:val="2"/>
            <w:tcBorders>
              <w:bottom w:val="single" w:sz="4" w:space="0" w:color="auto"/>
            </w:tcBorders>
            <w:shd w:val="clear" w:color="auto" w:fill="0099CC"/>
          </w:tcPr>
          <w:p w14:paraId="6E2D03D8" w14:textId="77777777" w:rsidR="00EC31D2" w:rsidRDefault="00EC31D2" w:rsidP="00B339A4">
            <w:pPr>
              <w:pStyle w:val="TableHeading"/>
              <w:keepNext/>
              <w:spacing w:before="40" w:after="40"/>
            </w:pPr>
            <w:r>
              <w:t>Provision</w:t>
            </w:r>
          </w:p>
        </w:tc>
        <w:tc>
          <w:tcPr>
            <w:tcW w:w="1558" w:type="dxa"/>
            <w:tcBorders>
              <w:bottom w:val="single" w:sz="4" w:space="0" w:color="auto"/>
            </w:tcBorders>
            <w:shd w:val="clear" w:color="auto" w:fill="0099CC"/>
            <w:hideMark/>
          </w:tcPr>
          <w:p w14:paraId="4FF96603" w14:textId="77777777" w:rsidR="00EC31D2" w:rsidRDefault="00EC31D2" w:rsidP="00B339A4">
            <w:pPr>
              <w:pStyle w:val="TableHeading"/>
              <w:keepNext/>
              <w:spacing w:before="40" w:after="40"/>
            </w:pPr>
            <w:r>
              <w:t>Type of penalty</w:t>
            </w:r>
          </w:p>
        </w:tc>
      </w:tr>
      <w:tr w:rsidR="00EC31D2" w:rsidRPr="00886B5E" w14:paraId="01FE415E" w14:textId="77777777" w:rsidTr="000C7E24">
        <w:trPr>
          <w:cantSplit/>
        </w:trPr>
        <w:tc>
          <w:tcPr>
            <w:tcW w:w="8788" w:type="dxa"/>
            <w:gridSpan w:val="3"/>
            <w:shd w:val="clear" w:color="auto" w:fill="65697F" w:themeFill="background2" w:themeFillShade="80"/>
          </w:tcPr>
          <w:p w14:paraId="6C6F3983" w14:textId="77777777" w:rsidR="00EC31D2" w:rsidRPr="00886B5E" w:rsidRDefault="00EC31D2" w:rsidP="00B339A4">
            <w:pPr>
              <w:pStyle w:val="TableBodyText"/>
              <w:keepNext/>
              <w:spacing w:before="40" w:after="40"/>
              <w:jc w:val="center"/>
              <w:rPr>
                <w:b/>
                <w:color w:val="FFFFFF" w:themeColor="background1"/>
              </w:rPr>
            </w:pPr>
            <w:r w:rsidRPr="00886B5E">
              <w:rPr>
                <w:b/>
                <w:color w:val="FFFFFF" w:themeColor="background1"/>
              </w:rPr>
              <w:t>NGL</w:t>
            </w:r>
          </w:p>
        </w:tc>
      </w:tr>
      <w:tr w:rsidR="00EC31D2" w14:paraId="7BD30464" w14:textId="77777777" w:rsidTr="00B339A4">
        <w:trPr>
          <w:cnfStyle w:val="000000010000" w:firstRow="0" w:lastRow="0" w:firstColumn="0" w:lastColumn="0" w:oddVBand="0" w:evenVBand="0" w:oddHBand="0" w:evenHBand="1" w:firstRowFirstColumn="0" w:firstRowLastColumn="0" w:lastRowFirstColumn="0" w:lastRowLastColumn="0"/>
          <w:cantSplit/>
        </w:trPr>
        <w:tc>
          <w:tcPr>
            <w:tcW w:w="1276" w:type="dxa"/>
          </w:tcPr>
          <w:p w14:paraId="121E607C" w14:textId="77777777" w:rsidR="00EC31D2" w:rsidRDefault="00F21FB1" w:rsidP="00B339A4">
            <w:pPr>
              <w:pStyle w:val="TableBodyText"/>
              <w:keepNext/>
              <w:spacing w:before="40" w:after="40"/>
            </w:pPr>
            <w:r>
              <w:t>Section</w:t>
            </w:r>
            <w:r w:rsidR="00EC31D2">
              <w:t xml:space="preserve"> </w:t>
            </w:r>
            <w:r w:rsidR="00EC31D2" w:rsidRPr="00086528">
              <w:t>91BRR</w:t>
            </w:r>
            <w:r w:rsidR="00EC31D2">
              <w:t>(1)</w:t>
            </w:r>
          </w:p>
        </w:tc>
        <w:tc>
          <w:tcPr>
            <w:tcW w:w="5954" w:type="dxa"/>
          </w:tcPr>
          <w:p w14:paraId="32682468" w14:textId="77777777" w:rsidR="00EC31D2" w:rsidRDefault="00C05851" w:rsidP="00B339A4">
            <w:pPr>
              <w:pStyle w:val="TableBodyText"/>
              <w:keepNext/>
              <w:spacing w:before="40" w:after="40"/>
            </w:pPr>
            <w:r>
              <w:t>S</w:t>
            </w:r>
            <w:r w:rsidR="00EC31D2" w:rsidRPr="00086528">
              <w:t>ervice provider</w:t>
            </w:r>
            <w:r>
              <w:t>s</w:t>
            </w:r>
            <w:r w:rsidR="00EC31D2" w:rsidRPr="00086528">
              <w:t xml:space="preserve"> </w:t>
            </w:r>
            <w:r w:rsidR="005E60C8">
              <w:t>(</w:t>
            </w:r>
            <w:r w:rsidR="00EC31D2" w:rsidRPr="00086528">
              <w:t>other than AEMO</w:t>
            </w:r>
            <w:r w:rsidR="00B339A4">
              <w:t>)</w:t>
            </w:r>
            <w:r w:rsidR="00EC31D2" w:rsidRPr="00086528">
              <w:t xml:space="preserve"> must register </w:t>
            </w:r>
            <w:r w:rsidR="00B339A4">
              <w:t xml:space="preserve">as </w:t>
            </w:r>
            <w:r w:rsidR="00F21FB1">
              <w:t>transportation service provider</w:t>
            </w:r>
            <w:r>
              <w:t>s</w:t>
            </w:r>
            <w:r w:rsidR="00F21FB1">
              <w:t xml:space="preserve"> for </w:t>
            </w:r>
            <w:r>
              <w:t xml:space="preserve">their </w:t>
            </w:r>
            <w:r w:rsidR="00F21FB1">
              <w:t>transportation facilit</w:t>
            </w:r>
            <w:r>
              <w:t>ies</w:t>
            </w:r>
            <w:r w:rsidR="00B339A4">
              <w:t xml:space="preserve"> and must also register the transportation facility </w:t>
            </w:r>
            <w:r w:rsidR="00EC31D2" w:rsidRPr="00086528">
              <w:t>unless exempt</w:t>
            </w:r>
            <w:r w:rsidR="006B5985">
              <w:t xml:space="preserve"> from doing so</w:t>
            </w:r>
            <w:r w:rsidR="00EC31D2" w:rsidRPr="00086528">
              <w:t xml:space="preserve"> under the </w:t>
            </w:r>
            <w:r w:rsidR="00B339A4">
              <w:t>NGR</w:t>
            </w:r>
          </w:p>
        </w:tc>
        <w:tc>
          <w:tcPr>
            <w:tcW w:w="1558" w:type="dxa"/>
          </w:tcPr>
          <w:p w14:paraId="60496C77" w14:textId="77777777" w:rsidR="00EC31D2" w:rsidRDefault="00EC31D2" w:rsidP="00B339A4">
            <w:pPr>
              <w:pStyle w:val="TableBodyText"/>
              <w:keepNext/>
              <w:spacing w:before="40" w:after="40"/>
            </w:pPr>
            <w:r w:rsidRPr="00086528">
              <w:t>Civil penalty</w:t>
            </w:r>
          </w:p>
        </w:tc>
      </w:tr>
      <w:tr w:rsidR="00EC31D2" w:rsidRPr="00886B5E" w14:paraId="1B61370E" w14:textId="77777777" w:rsidTr="000C7E24">
        <w:trPr>
          <w:cantSplit/>
        </w:trPr>
        <w:tc>
          <w:tcPr>
            <w:tcW w:w="8788" w:type="dxa"/>
            <w:gridSpan w:val="3"/>
            <w:tcBorders>
              <w:bottom w:val="single" w:sz="4" w:space="0" w:color="auto"/>
            </w:tcBorders>
            <w:shd w:val="clear" w:color="auto" w:fill="65697F" w:themeFill="background2" w:themeFillShade="80"/>
          </w:tcPr>
          <w:p w14:paraId="695C777F" w14:textId="77777777" w:rsidR="00EC31D2" w:rsidRPr="00886B5E" w:rsidRDefault="00EC31D2" w:rsidP="00B339A4">
            <w:pPr>
              <w:pStyle w:val="TableBodyText"/>
              <w:keepNext/>
              <w:spacing w:before="40" w:after="40"/>
              <w:jc w:val="center"/>
              <w:rPr>
                <w:b/>
                <w:color w:val="FFFFFF" w:themeColor="background1"/>
              </w:rPr>
            </w:pPr>
            <w:r w:rsidRPr="00886B5E">
              <w:rPr>
                <w:b/>
                <w:color w:val="FFFFFF" w:themeColor="background1"/>
              </w:rPr>
              <w:t>Part 24 of the NGR</w:t>
            </w:r>
          </w:p>
        </w:tc>
      </w:tr>
      <w:tr w:rsidR="00EC31D2" w14:paraId="1C2D3128" w14:textId="77777777" w:rsidTr="00B339A4">
        <w:trPr>
          <w:cnfStyle w:val="000000010000" w:firstRow="0" w:lastRow="0" w:firstColumn="0" w:lastColumn="0" w:oddVBand="0" w:evenVBand="0" w:oddHBand="0" w:evenHBand="1" w:firstRowFirstColumn="0" w:firstRowLastColumn="0" w:lastRowFirstColumn="0" w:lastRowLastColumn="0"/>
          <w:cantSplit/>
        </w:trPr>
        <w:tc>
          <w:tcPr>
            <w:tcW w:w="1276" w:type="dxa"/>
            <w:tcBorders>
              <w:bottom w:val="single" w:sz="4" w:space="0" w:color="auto"/>
            </w:tcBorders>
            <w:shd w:val="clear" w:color="auto" w:fill="FFFFFF" w:themeFill="background1"/>
          </w:tcPr>
          <w:p w14:paraId="7B89C77C" w14:textId="77777777" w:rsidR="00EC31D2" w:rsidRPr="004F2763" w:rsidRDefault="00EC31D2" w:rsidP="00B339A4">
            <w:pPr>
              <w:pStyle w:val="TableBodyText"/>
              <w:keepNext/>
              <w:spacing w:before="40" w:after="40"/>
            </w:pPr>
            <w:r w:rsidRPr="004F2763">
              <w:t>Rule 611(</w:t>
            </w:r>
            <w:r>
              <w:t>10</w:t>
            </w:r>
            <w:r w:rsidRPr="004F2763">
              <w:t>)</w:t>
            </w:r>
          </w:p>
        </w:tc>
        <w:tc>
          <w:tcPr>
            <w:tcW w:w="5954" w:type="dxa"/>
            <w:tcBorders>
              <w:bottom w:val="single" w:sz="4" w:space="0" w:color="auto"/>
            </w:tcBorders>
            <w:shd w:val="clear" w:color="auto" w:fill="FFFFFF" w:themeFill="background1"/>
            <w:hideMark/>
          </w:tcPr>
          <w:p w14:paraId="6FB6D11C" w14:textId="77777777" w:rsidR="00EC31D2" w:rsidRPr="004F2763" w:rsidRDefault="00C05851" w:rsidP="00B339A4">
            <w:pPr>
              <w:pStyle w:val="TableBodyText"/>
              <w:keepNext/>
              <w:spacing w:before="40" w:after="40"/>
            </w:pPr>
            <w:r>
              <w:t xml:space="preserve">Transportation </w:t>
            </w:r>
            <w:r w:rsidR="00EC31D2" w:rsidRPr="004F2763">
              <w:t>service provider</w:t>
            </w:r>
            <w:r>
              <w:t>s</w:t>
            </w:r>
            <w:r w:rsidR="00EC31D2" w:rsidRPr="004F2763">
              <w:t xml:space="preserve"> that obtain an exemption for </w:t>
            </w:r>
            <w:r>
              <w:t xml:space="preserve">their </w:t>
            </w:r>
            <w:r w:rsidR="00EC31D2" w:rsidRPr="004F2763">
              <w:t>facility must notify the AER without delay if circumstances change</w:t>
            </w:r>
            <w:r w:rsidR="00F21FB1">
              <w:t xml:space="preserve"> such that the facility no longer qualifies for the exemption</w:t>
            </w:r>
          </w:p>
        </w:tc>
        <w:tc>
          <w:tcPr>
            <w:tcW w:w="1558" w:type="dxa"/>
            <w:tcBorders>
              <w:bottom w:val="single" w:sz="4" w:space="0" w:color="auto"/>
            </w:tcBorders>
            <w:shd w:val="clear" w:color="auto" w:fill="FFFFFF" w:themeFill="background1"/>
            <w:hideMark/>
          </w:tcPr>
          <w:p w14:paraId="5381231F" w14:textId="77777777" w:rsidR="00EC31D2" w:rsidRDefault="00EC31D2" w:rsidP="00B339A4">
            <w:pPr>
              <w:pStyle w:val="TableBodyText"/>
              <w:keepNext/>
              <w:spacing w:before="40" w:after="40"/>
            </w:pPr>
            <w:r>
              <w:t>Civil penalty</w:t>
            </w:r>
          </w:p>
        </w:tc>
      </w:tr>
      <w:tr w:rsidR="00EC31D2" w14:paraId="5CCA6992" w14:textId="77777777" w:rsidTr="00B339A4">
        <w:trPr>
          <w:cantSplit/>
        </w:trPr>
        <w:tc>
          <w:tcPr>
            <w:tcW w:w="1276" w:type="dxa"/>
            <w:tcBorders>
              <w:bottom w:val="single" w:sz="4" w:space="0" w:color="auto"/>
            </w:tcBorders>
            <w:shd w:val="clear" w:color="auto" w:fill="E1E2E7" w:themeFill="background2"/>
          </w:tcPr>
          <w:p w14:paraId="0CC39DA8" w14:textId="77777777" w:rsidR="00EC31D2" w:rsidRPr="004F2763" w:rsidRDefault="00EC31D2" w:rsidP="00CB791A">
            <w:pPr>
              <w:pStyle w:val="TableBodyText"/>
              <w:spacing w:before="40" w:after="40"/>
            </w:pPr>
            <w:r w:rsidRPr="004F2763">
              <w:t>Rule 612(2)</w:t>
            </w:r>
          </w:p>
        </w:tc>
        <w:tc>
          <w:tcPr>
            <w:tcW w:w="5954" w:type="dxa"/>
            <w:tcBorders>
              <w:bottom w:val="single" w:sz="4" w:space="0" w:color="auto"/>
            </w:tcBorders>
            <w:shd w:val="clear" w:color="auto" w:fill="E1E2E7" w:themeFill="background2"/>
            <w:hideMark/>
          </w:tcPr>
          <w:p w14:paraId="4783EC81" w14:textId="77777777" w:rsidR="00EC31D2" w:rsidRPr="004F2763" w:rsidRDefault="00C05851" w:rsidP="00CB791A">
            <w:pPr>
              <w:pStyle w:val="TableBodyText"/>
              <w:spacing w:before="40" w:after="40"/>
            </w:pPr>
            <w:r>
              <w:t xml:space="preserve">Transportation </w:t>
            </w:r>
            <w:r w:rsidR="00EC31D2" w:rsidRPr="004F2763">
              <w:t>service provider</w:t>
            </w:r>
            <w:r>
              <w:t>s</w:t>
            </w:r>
            <w:r w:rsidR="00EC31D2" w:rsidRPr="004F2763">
              <w:t xml:space="preserve"> that obtain an exemption for </w:t>
            </w:r>
            <w:r>
              <w:t>their</w:t>
            </w:r>
            <w:r w:rsidR="00B339A4">
              <w:t xml:space="preserve"> </w:t>
            </w:r>
            <w:r w:rsidR="00EC31D2" w:rsidRPr="004F2763">
              <w:t>facility must comply with any conditions of the exemption</w:t>
            </w:r>
          </w:p>
        </w:tc>
        <w:tc>
          <w:tcPr>
            <w:tcW w:w="1558" w:type="dxa"/>
            <w:tcBorders>
              <w:bottom w:val="single" w:sz="4" w:space="0" w:color="auto"/>
            </w:tcBorders>
            <w:shd w:val="clear" w:color="auto" w:fill="E1E2E7" w:themeFill="background2"/>
            <w:hideMark/>
          </w:tcPr>
          <w:p w14:paraId="2B14ECBA" w14:textId="77777777" w:rsidR="00EC31D2" w:rsidRDefault="00EC31D2" w:rsidP="00CB791A">
            <w:pPr>
              <w:pStyle w:val="TableBodyText"/>
              <w:spacing w:before="40" w:after="40"/>
            </w:pPr>
            <w:r>
              <w:t>Civil penalty</w:t>
            </w:r>
          </w:p>
        </w:tc>
      </w:tr>
      <w:tr w:rsidR="00EC31D2" w14:paraId="79367C1E" w14:textId="77777777" w:rsidTr="00B339A4">
        <w:trPr>
          <w:cnfStyle w:val="000000010000" w:firstRow="0" w:lastRow="0" w:firstColumn="0" w:lastColumn="0" w:oddVBand="0" w:evenVBand="0" w:oddHBand="0" w:evenHBand="1" w:firstRowFirstColumn="0" w:firstRowLastColumn="0" w:lastRowFirstColumn="0" w:lastRowLastColumn="0"/>
          <w:cantSplit/>
        </w:trPr>
        <w:tc>
          <w:tcPr>
            <w:tcW w:w="1276" w:type="dxa"/>
            <w:tcBorders>
              <w:bottom w:val="single" w:sz="4" w:space="0" w:color="auto"/>
            </w:tcBorders>
            <w:shd w:val="clear" w:color="auto" w:fill="FFFFFF" w:themeFill="background1"/>
          </w:tcPr>
          <w:p w14:paraId="5C40E340" w14:textId="77777777" w:rsidR="00EC31D2" w:rsidRPr="004F2763" w:rsidRDefault="00EC31D2" w:rsidP="00CB791A">
            <w:pPr>
              <w:pStyle w:val="TableBodyText"/>
              <w:spacing w:before="40" w:after="40"/>
            </w:pPr>
            <w:r w:rsidRPr="004F2763">
              <w:t>Rule 621(3)</w:t>
            </w:r>
          </w:p>
        </w:tc>
        <w:tc>
          <w:tcPr>
            <w:tcW w:w="5954" w:type="dxa"/>
            <w:tcBorders>
              <w:bottom w:val="single" w:sz="4" w:space="0" w:color="auto"/>
            </w:tcBorders>
            <w:shd w:val="clear" w:color="auto" w:fill="FFFFFF" w:themeFill="background1"/>
          </w:tcPr>
          <w:p w14:paraId="405AE697" w14:textId="77777777" w:rsidR="00EC31D2" w:rsidRPr="004F2763" w:rsidRDefault="00C05851" w:rsidP="00CB791A">
            <w:pPr>
              <w:pStyle w:val="TableBodyText"/>
              <w:spacing w:before="40" w:after="40"/>
            </w:pPr>
            <w:r>
              <w:t xml:space="preserve">If the identity of the transportation service provider or the responsible transportation service provider for a Part 24 facility changes then the outgoing facility operator must notify AEMO of the change </w:t>
            </w:r>
            <w:r w:rsidR="00EC31D2" w:rsidRPr="004F2763">
              <w:t>no later than 5 business days after the change takes effect</w:t>
            </w:r>
          </w:p>
        </w:tc>
        <w:tc>
          <w:tcPr>
            <w:tcW w:w="1558" w:type="dxa"/>
            <w:tcBorders>
              <w:bottom w:val="single" w:sz="4" w:space="0" w:color="auto"/>
            </w:tcBorders>
            <w:shd w:val="clear" w:color="auto" w:fill="FFFFFF" w:themeFill="background1"/>
          </w:tcPr>
          <w:p w14:paraId="7A4D0E9C" w14:textId="77777777" w:rsidR="00EC31D2" w:rsidRDefault="00EC31D2" w:rsidP="00CB791A">
            <w:pPr>
              <w:pStyle w:val="TableBodyText"/>
              <w:spacing w:before="40" w:after="40"/>
            </w:pPr>
            <w:r>
              <w:t xml:space="preserve">Civil penalty </w:t>
            </w:r>
          </w:p>
        </w:tc>
      </w:tr>
      <w:tr w:rsidR="00EC31D2" w14:paraId="0D2D1980" w14:textId="77777777" w:rsidTr="00B339A4">
        <w:trPr>
          <w:cantSplit/>
        </w:trPr>
        <w:tc>
          <w:tcPr>
            <w:tcW w:w="1276" w:type="dxa"/>
            <w:shd w:val="clear" w:color="auto" w:fill="E1E2E7" w:themeFill="background2"/>
          </w:tcPr>
          <w:p w14:paraId="3A447812" w14:textId="77777777" w:rsidR="00EC31D2" w:rsidRPr="004F2763" w:rsidRDefault="00EC31D2" w:rsidP="00CB791A">
            <w:pPr>
              <w:pStyle w:val="TableBodyText"/>
              <w:spacing w:before="40" w:after="40"/>
            </w:pPr>
            <w:r w:rsidRPr="004F2763">
              <w:t>Rule 621(4)</w:t>
            </w:r>
          </w:p>
        </w:tc>
        <w:tc>
          <w:tcPr>
            <w:tcW w:w="5954" w:type="dxa"/>
            <w:shd w:val="clear" w:color="auto" w:fill="E1E2E7" w:themeFill="background2"/>
          </w:tcPr>
          <w:p w14:paraId="6FBF170A" w14:textId="77777777" w:rsidR="00EC31D2" w:rsidRPr="004F2763" w:rsidRDefault="00C05851" w:rsidP="00CB791A">
            <w:pPr>
              <w:pStyle w:val="TableBodyText"/>
              <w:spacing w:before="40" w:after="40"/>
            </w:pPr>
            <w:r>
              <w:t xml:space="preserve">If the identity of the transportation service provider or the responsible transportation service provider for a Part 24 facility changes the new transportation service provider must apply to register </w:t>
            </w:r>
            <w:r w:rsidR="00EC31D2" w:rsidRPr="004F2763">
              <w:t>no later than 5 business days after the change takes effect</w:t>
            </w:r>
          </w:p>
        </w:tc>
        <w:tc>
          <w:tcPr>
            <w:tcW w:w="1558" w:type="dxa"/>
            <w:shd w:val="clear" w:color="auto" w:fill="E1E2E7" w:themeFill="background2"/>
          </w:tcPr>
          <w:p w14:paraId="10E3C5EF" w14:textId="77777777" w:rsidR="00EC31D2" w:rsidRDefault="00EC31D2" w:rsidP="00CB791A">
            <w:pPr>
              <w:pStyle w:val="TableBodyText"/>
              <w:spacing w:before="40" w:after="40"/>
            </w:pPr>
            <w:r>
              <w:t xml:space="preserve">Civil penalty </w:t>
            </w:r>
          </w:p>
        </w:tc>
      </w:tr>
      <w:tr w:rsidR="00EC31D2" w:rsidRPr="00886B5E" w14:paraId="7BCE4934" w14:textId="77777777" w:rsidTr="000C7E24">
        <w:trPr>
          <w:cnfStyle w:val="000000010000" w:firstRow="0" w:lastRow="0" w:firstColumn="0" w:lastColumn="0" w:oddVBand="0" w:evenVBand="0" w:oddHBand="0" w:evenHBand="1" w:firstRowFirstColumn="0" w:firstRowLastColumn="0" w:lastRowFirstColumn="0" w:lastRowLastColumn="0"/>
          <w:cantSplit/>
          <w:trHeight w:val="399"/>
        </w:trPr>
        <w:tc>
          <w:tcPr>
            <w:tcW w:w="8788" w:type="dxa"/>
            <w:gridSpan w:val="3"/>
            <w:shd w:val="clear" w:color="auto" w:fill="65697F" w:themeFill="background2" w:themeFillShade="80"/>
          </w:tcPr>
          <w:p w14:paraId="1637F568" w14:textId="77777777" w:rsidR="00EC31D2" w:rsidRPr="00886B5E" w:rsidRDefault="00EC31D2" w:rsidP="00CB791A">
            <w:pPr>
              <w:pStyle w:val="TableBodyText"/>
              <w:spacing w:before="40" w:after="40"/>
              <w:jc w:val="center"/>
              <w:rPr>
                <w:b/>
                <w:color w:val="FFFFFF" w:themeColor="background1"/>
              </w:rPr>
            </w:pPr>
            <w:r w:rsidRPr="00886B5E">
              <w:rPr>
                <w:b/>
                <w:color w:val="FFFFFF" w:themeColor="background1"/>
              </w:rPr>
              <w:t>Transitional rules – Schedule 5 of NGR</w:t>
            </w:r>
          </w:p>
        </w:tc>
      </w:tr>
      <w:tr w:rsidR="00EC31D2" w14:paraId="7013B56A" w14:textId="77777777" w:rsidTr="00B339A4">
        <w:trPr>
          <w:cantSplit/>
        </w:trPr>
        <w:tc>
          <w:tcPr>
            <w:tcW w:w="1276" w:type="dxa"/>
          </w:tcPr>
          <w:p w14:paraId="33DB5976" w14:textId="77777777" w:rsidR="00EC31D2" w:rsidRDefault="00EC31D2" w:rsidP="00CB791A">
            <w:pPr>
              <w:pStyle w:val="TableBodyText"/>
              <w:spacing w:before="40" w:after="40"/>
            </w:pPr>
            <w:r>
              <w:t>Schedule 5, Part 3, rule 4(4)</w:t>
            </w:r>
          </w:p>
        </w:tc>
        <w:tc>
          <w:tcPr>
            <w:tcW w:w="5954" w:type="dxa"/>
          </w:tcPr>
          <w:p w14:paraId="0103CA3B" w14:textId="77777777" w:rsidR="00EC31D2" w:rsidRDefault="00C05851" w:rsidP="00CB791A">
            <w:pPr>
              <w:pStyle w:val="TableBodyText"/>
              <w:spacing w:before="40" w:after="40"/>
            </w:pPr>
            <w:r>
              <w:t>Transportation s</w:t>
            </w:r>
            <w:r w:rsidR="00EC31D2">
              <w:t>ervice provider</w:t>
            </w:r>
            <w:r>
              <w:t>s</w:t>
            </w:r>
            <w:r w:rsidR="00EC31D2">
              <w:t xml:space="preserve"> for facilit</w:t>
            </w:r>
            <w:r>
              <w:t>ies</w:t>
            </w:r>
            <w:r w:rsidR="00EC31D2">
              <w:t xml:space="preserve"> </w:t>
            </w:r>
            <w:r w:rsidR="00B339A4">
              <w:t xml:space="preserve">that </w:t>
            </w:r>
            <w:r>
              <w:t xml:space="preserve">have </w:t>
            </w:r>
            <w:r w:rsidR="00B339A4">
              <w:t xml:space="preserve">obtained a </w:t>
            </w:r>
            <w:r w:rsidR="00EC31D2">
              <w:t>transitional exemption must comply with the conditions of the exemption</w:t>
            </w:r>
          </w:p>
        </w:tc>
        <w:tc>
          <w:tcPr>
            <w:tcW w:w="1558" w:type="dxa"/>
          </w:tcPr>
          <w:p w14:paraId="0971DC0E" w14:textId="77777777" w:rsidR="00EC31D2" w:rsidRDefault="00EC31D2" w:rsidP="00CB791A">
            <w:pPr>
              <w:pStyle w:val="TableBodyText"/>
              <w:spacing w:before="40" w:after="40"/>
            </w:pPr>
            <w:r>
              <w:t>Civil penalty</w:t>
            </w:r>
          </w:p>
        </w:tc>
      </w:tr>
      <w:tr w:rsidR="00EC31D2" w14:paraId="44B1E2D5" w14:textId="77777777" w:rsidTr="00B339A4">
        <w:trPr>
          <w:cnfStyle w:val="000000010000" w:firstRow="0" w:lastRow="0" w:firstColumn="0" w:lastColumn="0" w:oddVBand="0" w:evenVBand="0" w:oddHBand="0" w:evenHBand="1" w:firstRowFirstColumn="0" w:firstRowLastColumn="0" w:lastRowFirstColumn="0" w:lastRowLastColumn="0"/>
          <w:cantSplit/>
        </w:trPr>
        <w:tc>
          <w:tcPr>
            <w:tcW w:w="1276" w:type="dxa"/>
          </w:tcPr>
          <w:p w14:paraId="3F238EEB" w14:textId="77777777" w:rsidR="00EC31D2" w:rsidRDefault="00EC31D2" w:rsidP="00CB791A">
            <w:pPr>
              <w:pStyle w:val="TableBodyText"/>
              <w:spacing w:before="40" w:after="40"/>
            </w:pPr>
            <w:r>
              <w:t>Schedule 5, Part 3, rule 5(2)</w:t>
            </w:r>
          </w:p>
        </w:tc>
        <w:tc>
          <w:tcPr>
            <w:tcW w:w="5954" w:type="dxa"/>
          </w:tcPr>
          <w:p w14:paraId="522EA2B7" w14:textId="77777777" w:rsidR="00EC31D2" w:rsidRDefault="00C05851" w:rsidP="00CB791A">
            <w:pPr>
              <w:pStyle w:val="TableBodyText"/>
              <w:spacing w:before="40" w:after="40"/>
            </w:pPr>
            <w:r>
              <w:t xml:space="preserve">Transportation </w:t>
            </w:r>
            <w:r w:rsidR="00EC31D2">
              <w:t>service provider</w:t>
            </w:r>
            <w:r>
              <w:t>s</w:t>
            </w:r>
            <w:r w:rsidR="00EC31D2">
              <w:t xml:space="preserve"> for existing facilit</w:t>
            </w:r>
            <w:r>
              <w:t>ies</w:t>
            </w:r>
            <w:r w:rsidR="00EC31D2">
              <w:t xml:space="preserve"> must make an application to register no later than 20 business days after the Part 24 commencement date</w:t>
            </w:r>
          </w:p>
        </w:tc>
        <w:tc>
          <w:tcPr>
            <w:tcW w:w="1558" w:type="dxa"/>
          </w:tcPr>
          <w:p w14:paraId="62251C0C" w14:textId="77777777" w:rsidR="00EC31D2" w:rsidRDefault="00EC31D2" w:rsidP="00CB791A">
            <w:pPr>
              <w:pStyle w:val="TableBodyText"/>
              <w:spacing w:before="40" w:after="40"/>
            </w:pPr>
            <w:r>
              <w:t>Civil penalty</w:t>
            </w:r>
          </w:p>
        </w:tc>
      </w:tr>
    </w:tbl>
    <w:p w14:paraId="7757E37C" w14:textId="77777777" w:rsidR="00573A0A" w:rsidRDefault="00573A0A" w:rsidP="00AA7AFE">
      <w:pPr>
        <w:pStyle w:val="BodyText"/>
      </w:pPr>
      <w:r>
        <w:br w:type="page"/>
      </w:r>
    </w:p>
    <w:p w14:paraId="01BF11A6" w14:textId="77777777" w:rsidR="00B454FE" w:rsidRDefault="00B81D4D" w:rsidP="00476B24">
      <w:pPr>
        <w:pStyle w:val="Heading1"/>
        <w:spacing w:before="120" w:after="120" w:line="252" w:lineRule="auto"/>
      </w:pPr>
      <w:bookmarkStart w:id="57" w:name="_Toc521818685"/>
      <w:bookmarkStart w:id="58" w:name="_Toc521836829"/>
      <w:bookmarkStart w:id="59" w:name="_Toc521839088"/>
      <w:bookmarkStart w:id="60" w:name="_Toc521818687"/>
      <w:bookmarkStart w:id="61" w:name="_Toc521836831"/>
      <w:bookmarkStart w:id="62" w:name="_Toc521839090"/>
      <w:bookmarkStart w:id="63" w:name="_Toc521818689"/>
      <w:bookmarkStart w:id="64" w:name="_Toc521836833"/>
      <w:bookmarkStart w:id="65" w:name="_Toc521839092"/>
      <w:bookmarkStart w:id="66" w:name="_Toc521818690"/>
      <w:bookmarkStart w:id="67" w:name="_Toc521836834"/>
      <w:bookmarkStart w:id="68" w:name="_Toc521839093"/>
      <w:bookmarkStart w:id="69" w:name="_Toc530546465"/>
      <w:bookmarkEnd w:id="57"/>
      <w:bookmarkEnd w:id="58"/>
      <w:bookmarkEnd w:id="59"/>
      <w:bookmarkEnd w:id="60"/>
      <w:bookmarkEnd w:id="61"/>
      <w:bookmarkEnd w:id="62"/>
      <w:bookmarkEnd w:id="63"/>
      <w:bookmarkEnd w:id="64"/>
      <w:bookmarkEnd w:id="65"/>
      <w:bookmarkEnd w:id="66"/>
      <w:bookmarkEnd w:id="67"/>
      <w:bookmarkEnd w:id="68"/>
      <w:r>
        <w:lastRenderedPageBreak/>
        <w:t xml:space="preserve">Measures to facilitate </w:t>
      </w:r>
      <w:r w:rsidR="00B454FE">
        <w:t>capacity trad</w:t>
      </w:r>
      <w:r>
        <w:t>ing</w:t>
      </w:r>
      <w:r w:rsidR="00B454FE">
        <w:t xml:space="preserve"> and auction</w:t>
      </w:r>
      <w:bookmarkEnd w:id="69"/>
    </w:p>
    <w:p w14:paraId="1A14BBB0" w14:textId="77777777" w:rsidR="00165081" w:rsidRDefault="00165081" w:rsidP="003C3093">
      <w:pPr>
        <w:pStyle w:val="BodyText"/>
        <w:spacing w:before="120" w:line="247" w:lineRule="auto"/>
      </w:pPr>
      <w:r w:rsidRPr="00086528">
        <w:t>The capacity trading reform</w:t>
      </w:r>
      <w:r>
        <w:t xml:space="preserve"> package</w:t>
      </w:r>
      <w:r w:rsidRPr="00086528">
        <w:t xml:space="preserve"> include</w:t>
      </w:r>
      <w:r>
        <w:t>s</w:t>
      </w:r>
      <w:r w:rsidRPr="00086528">
        <w:t xml:space="preserve"> a number of measures </w:t>
      </w:r>
      <w:r>
        <w:t xml:space="preserve">that are designed to facilitate </w:t>
      </w:r>
      <w:r w:rsidRPr="00086528">
        <w:t xml:space="preserve">capacity </w:t>
      </w:r>
      <w:r>
        <w:t>trading</w:t>
      </w:r>
      <w:r w:rsidRPr="00086528">
        <w:t xml:space="preserve"> and the day-ahead auction</w:t>
      </w:r>
      <w:r>
        <w:t>, including, amongst others:</w:t>
      </w:r>
    </w:p>
    <w:p w14:paraId="28711320" w14:textId="77777777" w:rsidR="00165081" w:rsidRPr="00476B24" w:rsidRDefault="00165081" w:rsidP="003C3093">
      <w:pPr>
        <w:pStyle w:val="ListBullet"/>
        <w:spacing w:line="247" w:lineRule="auto"/>
        <w:ind w:left="357" w:hanging="357"/>
      </w:pPr>
      <w:r>
        <w:t>a framework to faci</w:t>
      </w:r>
      <w:r w:rsidRPr="00476B24">
        <w:t xml:space="preserve">litate </w:t>
      </w:r>
      <w:r w:rsidRPr="00476B24">
        <w:rPr>
          <w:b/>
        </w:rPr>
        <w:t>operational transfers</w:t>
      </w:r>
      <w:r w:rsidRPr="00476B24">
        <w:t xml:space="preserve">, which will be used for trades conducted through the </w:t>
      </w:r>
      <w:r w:rsidR="00724B17" w:rsidRPr="00476B24">
        <w:t xml:space="preserve">capacity trading platform </w:t>
      </w:r>
      <w:r w:rsidRPr="00476B24">
        <w:t xml:space="preserve">and </w:t>
      </w:r>
      <w:r w:rsidR="003C3093">
        <w:t xml:space="preserve">the </w:t>
      </w:r>
      <w:r w:rsidRPr="00476B24">
        <w:t xml:space="preserve">day-ahead auction and </w:t>
      </w:r>
      <w:r w:rsidR="00724B17" w:rsidRPr="00476B24">
        <w:t xml:space="preserve">in those cases where the buyer in a </w:t>
      </w:r>
      <w:r w:rsidRPr="00476B24">
        <w:t xml:space="preserve">bilateral trade </w:t>
      </w:r>
      <w:r w:rsidR="00724B17" w:rsidRPr="00476B24">
        <w:t xml:space="preserve">elects to use </w:t>
      </w:r>
      <w:r w:rsidRPr="00476B24">
        <w:t>an operational transfer;</w:t>
      </w:r>
    </w:p>
    <w:p w14:paraId="14F78859" w14:textId="77777777" w:rsidR="00165081" w:rsidRPr="00476B24" w:rsidRDefault="00953791" w:rsidP="00E30D95">
      <w:pPr>
        <w:pStyle w:val="ListBullet"/>
        <w:spacing w:line="247" w:lineRule="auto"/>
        <w:ind w:left="357" w:hanging="357"/>
      </w:pPr>
      <w:r w:rsidRPr="00953791">
        <w:t>an obligation to publish</w:t>
      </w:r>
      <w:r>
        <w:rPr>
          <w:b/>
        </w:rPr>
        <w:t xml:space="preserve"> </w:t>
      </w:r>
      <w:r w:rsidR="00476B24" w:rsidRPr="00BB2FCD">
        <w:rPr>
          <w:b/>
        </w:rPr>
        <w:t>standard OTSAs</w:t>
      </w:r>
      <w:r w:rsidR="00476B24">
        <w:t xml:space="preserve">, which </w:t>
      </w:r>
      <w:r w:rsidR="00476B24" w:rsidRPr="00476B24">
        <w:t xml:space="preserve">will establish the standard terms for use of capacity procured </w:t>
      </w:r>
      <w:r w:rsidR="003C3093">
        <w:t>in</w:t>
      </w:r>
      <w:r w:rsidR="00476B24" w:rsidRPr="00476B24">
        <w:t xml:space="preserve"> the </w:t>
      </w:r>
      <w:r w:rsidR="003C3093">
        <w:t xml:space="preserve">capacity </w:t>
      </w:r>
      <w:r w:rsidR="00476B24" w:rsidRPr="00476B24">
        <w:t xml:space="preserve">trading platform, </w:t>
      </w:r>
      <w:r w:rsidR="004E3306">
        <w:t xml:space="preserve">the day-ahead </w:t>
      </w:r>
      <w:r w:rsidR="00476B24" w:rsidRPr="00476B24">
        <w:t>auction or bilateral</w:t>
      </w:r>
      <w:r w:rsidR="00476B24">
        <w:t>ly (</w:t>
      </w:r>
      <w:r w:rsidR="00BB2FCD">
        <w:t xml:space="preserve">if </w:t>
      </w:r>
      <w:r w:rsidR="00476B24">
        <w:t xml:space="preserve">the buyer elects to use </w:t>
      </w:r>
      <w:r w:rsidR="00476B24" w:rsidRPr="00476B24">
        <w:t>an operational transfer</w:t>
      </w:r>
      <w:r w:rsidR="00476B24">
        <w:t xml:space="preserve">) and which </w:t>
      </w:r>
      <w:r w:rsidR="00DA16AB">
        <w:t xml:space="preserve">transportation </w:t>
      </w:r>
      <w:r w:rsidR="00476B24">
        <w:t xml:space="preserve">service providers </w:t>
      </w:r>
      <w:r w:rsidR="004E3306">
        <w:t xml:space="preserve">of Part 24 facilities </w:t>
      </w:r>
      <w:r w:rsidR="00476B24">
        <w:t>will be required to</w:t>
      </w:r>
      <w:r w:rsidR="00BB2FCD">
        <w:t xml:space="preserve"> </w:t>
      </w:r>
      <w:r w:rsidR="00EF06D9">
        <w:t>prepare</w:t>
      </w:r>
      <w:r w:rsidR="00724B17" w:rsidRPr="00476B24">
        <w:t xml:space="preserve"> and</w:t>
      </w:r>
      <w:r w:rsidR="00BB2FCD">
        <w:t xml:space="preserve"> offer to </w:t>
      </w:r>
      <w:r w:rsidR="00724B17" w:rsidRPr="00476B24">
        <w:t>enter into if requested to do so by a shipper</w:t>
      </w:r>
      <w:r w:rsidR="00476B24" w:rsidRPr="00476B24">
        <w:t xml:space="preserve"> (subject to some limitations)</w:t>
      </w:r>
      <w:r w:rsidR="00980E9F">
        <w:t>;</w:t>
      </w:r>
      <w:r w:rsidR="00BB2FCD" w:rsidRPr="00BB2FCD">
        <w:rPr>
          <w:rStyle w:val="FootnoteReference"/>
        </w:rPr>
        <w:t xml:space="preserve"> </w:t>
      </w:r>
      <w:r w:rsidR="00BB2FCD">
        <w:rPr>
          <w:rStyle w:val="FootnoteReference"/>
        </w:rPr>
        <w:footnoteReference w:id="108"/>
      </w:r>
      <w:r w:rsidR="00165081" w:rsidRPr="00476B24">
        <w:t xml:space="preserve"> </w:t>
      </w:r>
    </w:p>
    <w:p w14:paraId="77366A03" w14:textId="77777777" w:rsidR="00165081" w:rsidRPr="00476B24" w:rsidRDefault="00165081" w:rsidP="003C3093">
      <w:pPr>
        <w:pStyle w:val="ListBullet"/>
        <w:spacing w:line="247" w:lineRule="auto"/>
        <w:ind w:left="357" w:hanging="357"/>
      </w:pPr>
      <w:r w:rsidRPr="00476B24">
        <w:t xml:space="preserve">a requirement for </w:t>
      </w:r>
      <w:r w:rsidR="00DA16AB">
        <w:t xml:space="preserve">transportation </w:t>
      </w:r>
      <w:r w:rsidRPr="00476B24">
        <w:t xml:space="preserve">service providers </w:t>
      </w:r>
      <w:r w:rsidR="004E3306">
        <w:t xml:space="preserve">of Part 24 facilities and conditionally exempt facilities </w:t>
      </w:r>
      <w:r w:rsidRPr="00476B24">
        <w:t xml:space="preserve">to give effect to operational transfers and comply with the </w:t>
      </w:r>
      <w:r w:rsidRPr="00EF06D9">
        <w:rPr>
          <w:b/>
        </w:rPr>
        <w:t>transaction support arrangements</w:t>
      </w:r>
      <w:r w:rsidRPr="00476B24">
        <w:t xml:space="preserve"> in the </w:t>
      </w:r>
      <w:r w:rsidR="00201550">
        <w:t>CT&amp;A Procedures</w:t>
      </w:r>
      <w:r w:rsidRPr="00476B24">
        <w:t>, which will underpin the capacity trading platform and auction</w:t>
      </w:r>
      <w:r w:rsidR="00953791">
        <w:t xml:space="preserve"> </w:t>
      </w:r>
      <w:r w:rsidR="00953791">
        <w:rPr>
          <w:rFonts w:asciiTheme="majorHAnsi" w:hAnsiTheme="majorHAnsi" w:cstheme="majorHAnsi"/>
          <w:szCs w:val="16"/>
        </w:rPr>
        <w:t xml:space="preserve">by </w:t>
      </w:r>
      <w:r w:rsidR="00953791" w:rsidRPr="007422AD">
        <w:rPr>
          <w:rFonts w:asciiTheme="majorHAnsi" w:hAnsiTheme="majorHAnsi" w:cstheme="majorHAnsi"/>
          <w:szCs w:val="16"/>
        </w:rPr>
        <w:t>provid</w:t>
      </w:r>
      <w:r w:rsidR="00953791">
        <w:rPr>
          <w:rFonts w:asciiTheme="majorHAnsi" w:hAnsiTheme="majorHAnsi" w:cstheme="majorHAnsi"/>
          <w:szCs w:val="16"/>
        </w:rPr>
        <w:t>ing</w:t>
      </w:r>
      <w:r w:rsidR="00953791" w:rsidRPr="007422AD">
        <w:rPr>
          <w:rFonts w:asciiTheme="majorHAnsi" w:hAnsiTheme="majorHAnsi" w:cstheme="majorHAnsi"/>
          <w:szCs w:val="16"/>
        </w:rPr>
        <w:t xml:space="preserve"> for AEMO to </w:t>
      </w:r>
      <w:r w:rsidR="00953791" w:rsidRPr="007422AD">
        <w:rPr>
          <w:rFonts w:asciiTheme="majorHAnsi" w:hAnsiTheme="majorHAnsi" w:cstheme="majorHAnsi"/>
          <w:szCs w:val="16"/>
          <w:lang w:eastAsia="fr-CA"/>
        </w:rPr>
        <w:t>notify service providers of trades conducted through the capacity trading platform and the auction and the exchange of other information t</w:t>
      </w:r>
      <w:r w:rsidR="00953791">
        <w:rPr>
          <w:rFonts w:asciiTheme="majorHAnsi" w:hAnsiTheme="majorHAnsi" w:cstheme="majorHAnsi"/>
          <w:szCs w:val="16"/>
          <w:lang w:eastAsia="fr-CA"/>
        </w:rPr>
        <w:t xml:space="preserve">o aid the transfer of capacity such as </w:t>
      </w:r>
      <w:r w:rsidR="00953791" w:rsidRPr="007422AD">
        <w:rPr>
          <w:rFonts w:asciiTheme="majorHAnsi" w:hAnsiTheme="majorHAnsi" w:cstheme="majorHAnsi"/>
          <w:szCs w:val="16"/>
          <w:lang w:eastAsia="fr-CA"/>
        </w:rPr>
        <w:t>receipt and delivery point information</w:t>
      </w:r>
      <w:r w:rsidRPr="00476B24">
        <w:t xml:space="preserve">; </w:t>
      </w:r>
    </w:p>
    <w:p w14:paraId="7D8DF151" w14:textId="77777777" w:rsidR="00165081" w:rsidRPr="00476B24" w:rsidRDefault="00165081" w:rsidP="00BB2FCD">
      <w:pPr>
        <w:pStyle w:val="ListBullet"/>
        <w:spacing w:line="247" w:lineRule="auto"/>
        <w:ind w:left="357" w:hanging="357"/>
      </w:pPr>
      <w:r w:rsidRPr="00864E08">
        <w:rPr>
          <w:b/>
        </w:rPr>
        <w:t>measures to overcome contractual limitations</w:t>
      </w:r>
      <w:r w:rsidRPr="00476B24">
        <w:t xml:space="preserve"> on capacity trading, </w:t>
      </w:r>
      <w:r w:rsidR="004E3306">
        <w:t>including a requirement for transportation service providers of Part 24 facilities and conditionally exempt facilities to</w:t>
      </w:r>
      <w:r w:rsidR="00BB2FCD">
        <w:t xml:space="preserve"> </w:t>
      </w:r>
      <w:r w:rsidRPr="00476B24">
        <w:t xml:space="preserve">amend </w:t>
      </w:r>
      <w:r w:rsidR="00476B24">
        <w:t>a shipper’s</w:t>
      </w:r>
      <w:r w:rsidR="00BB2FCD">
        <w:t xml:space="preserve"> existing</w:t>
      </w:r>
      <w:r w:rsidR="00476B24">
        <w:t xml:space="preserve"> </w:t>
      </w:r>
      <w:r w:rsidRPr="00476B24">
        <w:t xml:space="preserve">facility agreement </w:t>
      </w:r>
      <w:r w:rsidR="004E3306">
        <w:t>if requested to do so by the shipper</w:t>
      </w:r>
      <w:r w:rsidR="00BB2FCD">
        <w:t xml:space="preserve"> and to </w:t>
      </w:r>
      <w:r w:rsidR="004E3306">
        <w:t xml:space="preserve">give effect to </w:t>
      </w:r>
      <w:r w:rsidRPr="00476B24">
        <w:t xml:space="preserve">the </w:t>
      </w:r>
      <w:r w:rsidR="00BB2FCD">
        <w:t xml:space="preserve">service </w:t>
      </w:r>
      <w:r w:rsidRPr="00476B24">
        <w:t xml:space="preserve">point change process in the NGR; and </w:t>
      </w:r>
    </w:p>
    <w:p w14:paraId="496FB6EC" w14:textId="77777777" w:rsidR="00165081" w:rsidRPr="00476B24" w:rsidRDefault="00165081" w:rsidP="003C3093">
      <w:pPr>
        <w:pStyle w:val="ListBullet"/>
        <w:spacing w:line="247" w:lineRule="auto"/>
        <w:ind w:left="357" w:hanging="357"/>
      </w:pPr>
      <w:r w:rsidRPr="00476B24">
        <w:t xml:space="preserve">the use of </w:t>
      </w:r>
      <w:r w:rsidRPr="00864E08">
        <w:rPr>
          <w:b/>
        </w:rPr>
        <w:t>zones</w:t>
      </w:r>
      <w:r w:rsidRPr="00476B24">
        <w:t xml:space="preserve"> in the capacity trading platform</w:t>
      </w:r>
      <w:r w:rsidR="00476B24">
        <w:t xml:space="preserve"> and </w:t>
      </w:r>
      <w:r w:rsidR="00590352">
        <w:t xml:space="preserve">day-ahead </w:t>
      </w:r>
      <w:r w:rsidRPr="00476B24">
        <w:t>auction.</w:t>
      </w:r>
    </w:p>
    <w:p w14:paraId="5DC9575F" w14:textId="77777777" w:rsidR="00165081" w:rsidRPr="00086528" w:rsidRDefault="00165081" w:rsidP="003C3093">
      <w:pPr>
        <w:pStyle w:val="BodyText"/>
        <w:spacing w:line="247" w:lineRule="auto"/>
      </w:pPr>
      <w:r>
        <w:t xml:space="preserve">Together </w:t>
      </w:r>
      <w:r w:rsidRPr="00086528">
        <w:t>these measures</w:t>
      </w:r>
      <w:r>
        <w:t xml:space="preserve"> are intended to</w:t>
      </w:r>
      <w:r w:rsidRPr="00086528">
        <w:t>:</w:t>
      </w:r>
    </w:p>
    <w:p w14:paraId="1029B6F9" w14:textId="77777777" w:rsidR="00165081" w:rsidRPr="00086528" w:rsidRDefault="00165081" w:rsidP="003C3093">
      <w:pPr>
        <w:pStyle w:val="ListBullet"/>
        <w:numPr>
          <w:ilvl w:val="0"/>
          <w:numId w:val="29"/>
        </w:numPr>
        <w:spacing w:line="247" w:lineRule="auto"/>
      </w:pPr>
      <w:r w:rsidRPr="00086528">
        <w:t xml:space="preserve">support the operation of the </w:t>
      </w:r>
      <w:r w:rsidR="00980E9F">
        <w:t xml:space="preserve">capacity </w:t>
      </w:r>
      <w:r w:rsidRPr="00086528">
        <w:t xml:space="preserve">trading platform, </w:t>
      </w:r>
      <w:r w:rsidR="00980E9F">
        <w:t xml:space="preserve">the day-ahead </w:t>
      </w:r>
      <w:r w:rsidRPr="00086528">
        <w:t xml:space="preserve">auction and bilateral </w:t>
      </w:r>
      <w:r w:rsidR="00476B24">
        <w:t xml:space="preserve">trades </w:t>
      </w:r>
      <w:r w:rsidRPr="00086528">
        <w:t xml:space="preserve">of capacity; </w:t>
      </w:r>
    </w:p>
    <w:p w14:paraId="2B5D31AB" w14:textId="77777777" w:rsidR="00980E9F" w:rsidRPr="00086528" w:rsidRDefault="00165081" w:rsidP="003C3093">
      <w:pPr>
        <w:pStyle w:val="ListBullet"/>
        <w:numPr>
          <w:ilvl w:val="0"/>
          <w:numId w:val="29"/>
        </w:numPr>
        <w:spacing w:line="247" w:lineRule="auto"/>
      </w:pPr>
      <w:r w:rsidRPr="00086528">
        <w:t xml:space="preserve">provide </w:t>
      </w:r>
      <w:r w:rsidR="00980E9F">
        <w:t xml:space="preserve">shippers with </w:t>
      </w:r>
      <w:r w:rsidR="00980E9F" w:rsidRPr="00CC0DD0">
        <w:t>access to secondary capacity and auctioned capacity on reasonable terms</w:t>
      </w:r>
      <w:r w:rsidR="00980E9F">
        <w:t>,</w:t>
      </w:r>
      <w:r w:rsidR="00980E9F" w:rsidRPr="00086528">
        <w:t xml:space="preserve"> which is taken to mean at prices and on other terms and conditions that, so far as practical, reflect the outcomes of a workably competitive market; </w:t>
      </w:r>
    </w:p>
    <w:p w14:paraId="31474457" w14:textId="77777777" w:rsidR="00980E9F" w:rsidRDefault="00980E9F" w:rsidP="003C3093">
      <w:pPr>
        <w:pStyle w:val="ListBullet"/>
        <w:numPr>
          <w:ilvl w:val="0"/>
          <w:numId w:val="29"/>
        </w:numPr>
        <w:spacing w:line="247" w:lineRule="auto"/>
      </w:pPr>
      <w:r>
        <w:t>reduce</w:t>
      </w:r>
      <w:r w:rsidRPr="00086528">
        <w:t xml:space="preserve"> barriers to </w:t>
      </w:r>
      <w:r>
        <w:t xml:space="preserve">capacity </w:t>
      </w:r>
      <w:r w:rsidRPr="00086528">
        <w:t>trading</w:t>
      </w:r>
      <w:r>
        <w:t xml:space="preserve">, by removing other impediments to trade, including </w:t>
      </w:r>
      <w:r w:rsidR="00590352">
        <w:t xml:space="preserve">contractual </w:t>
      </w:r>
      <w:r>
        <w:t xml:space="preserve">restraints on capacity trading and restrictions on receipt and delivery point flexibility; </w:t>
      </w:r>
    </w:p>
    <w:p w14:paraId="16158191" w14:textId="77777777" w:rsidR="00980E9F" w:rsidRDefault="00980E9F" w:rsidP="003C3093">
      <w:pPr>
        <w:pStyle w:val="ListBullet2"/>
        <w:numPr>
          <w:ilvl w:val="0"/>
          <w:numId w:val="29"/>
        </w:numPr>
        <w:spacing w:line="247" w:lineRule="auto"/>
      </w:pPr>
      <w:r>
        <w:t>reduce the search and transaction costs associated with procuring secondary capacity and auctioned capacity; and</w:t>
      </w:r>
    </w:p>
    <w:p w14:paraId="521867D9" w14:textId="77777777" w:rsidR="00980E9F" w:rsidRDefault="00980E9F" w:rsidP="003C3093">
      <w:pPr>
        <w:pStyle w:val="ListBullet2"/>
        <w:numPr>
          <w:ilvl w:val="0"/>
          <w:numId w:val="29"/>
        </w:numPr>
        <w:spacing w:line="247" w:lineRule="auto"/>
      </w:pPr>
      <w:r>
        <w:rPr>
          <w:rFonts w:eastAsiaTheme="majorEastAsia"/>
        </w:rPr>
        <w:t>instil a greater level of confidence in the market through the implementation of robust governance arrangements and allowing industry to be involved in the ongoing development of the Code.</w:t>
      </w:r>
    </w:p>
    <w:p w14:paraId="0D54D750" w14:textId="77777777" w:rsidR="00165081" w:rsidRDefault="00165081" w:rsidP="00590352">
      <w:pPr>
        <w:pStyle w:val="BodyText"/>
      </w:pPr>
      <w:r>
        <w:t xml:space="preserve">Further detail on these measures is provided below, along with an overview of the changes that have been made to the NGL, NGR and Regulations </w:t>
      </w:r>
      <w:r w:rsidR="003C3093">
        <w:t xml:space="preserve">and the new regulatory instrument, the Code. </w:t>
      </w:r>
    </w:p>
    <w:p w14:paraId="0AD4C59F" w14:textId="77777777" w:rsidR="00165081" w:rsidRPr="00086528" w:rsidRDefault="00165081" w:rsidP="00590352">
      <w:pPr>
        <w:pStyle w:val="Heading2"/>
      </w:pPr>
      <w:bookmarkStart w:id="70" w:name="_Toc509239432"/>
      <w:bookmarkStart w:id="71" w:name="_Toc530546466"/>
      <w:r>
        <w:lastRenderedPageBreak/>
        <w:t>Overview of measures to facilitate trades and the auction</w:t>
      </w:r>
      <w:bookmarkEnd w:id="70"/>
      <w:bookmarkEnd w:id="71"/>
      <w:r>
        <w:t xml:space="preserve"> </w:t>
      </w:r>
    </w:p>
    <w:p w14:paraId="1FAE2906" w14:textId="3F4B1668" w:rsidR="00AD6AF3" w:rsidRDefault="00AD6AF3" w:rsidP="00590352">
      <w:pPr>
        <w:pStyle w:val="BodyText"/>
      </w:pPr>
      <w:r>
        <w:fldChar w:fldCharType="begin"/>
      </w:r>
      <w:r>
        <w:instrText xml:space="preserve"> REF _Ref509239447 \h </w:instrText>
      </w:r>
      <w:r>
        <w:fldChar w:fldCharType="separate"/>
      </w:r>
      <w:r w:rsidR="0026074F">
        <w:t xml:space="preserve">Table </w:t>
      </w:r>
      <w:r w:rsidR="0026074F">
        <w:rPr>
          <w:noProof/>
        </w:rPr>
        <w:t>5</w:t>
      </w:r>
      <w:r w:rsidR="0026074F">
        <w:t>.</w:t>
      </w:r>
      <w:r w:rsidR="0026074F">
        <w:rPr>
          <w:noProof/>
        </w:rPr>
        <w:t>1</w:t>
      </w:r>
      <w:r>
        <w:fldChar w:fldCharType="end"/>
      </w:r>
      <w:r w:rsidRPr="00086528">
        <w:t xml:space="preserve"> </w:t>
      </w:r>
      <w:r>
        <w:t xml:space="preserve">provides an overview of the </w:t>
      </w:r>
      <w:r w:rsidR="00330F39">
        <w:t xml:space="preserve">final design of the </w:t>
      </w:r>
      <w:r>
        <w:t xml:space="preserve">measures </w:t>
      </w:r>
      <w:r w:rsidR="00330F39">
        <w:t xml:space="preserve">required </w:t>
      </w:r>
      <w:r>
        <w:t xml:space="preserve">to </w:t>
      </w:r>
      <w:r w:rsidRPr="00086528">
        <w:t xml:space="preserve">facilitate </w:t>
      </w:r>
      <w:r w:rsidR="00330F39">
        <w:t xml:space="preserve">capacity </w:t>
      </w:r>
      <w:r w:rsidRPr="00086528">
        <w:t xml:space="preserve">trading and the </w:t>
      </w:r>
      <w:r w:rsidR="00590352">
        <w:t xml:space="preserve">day-ahead </w:t>
      </w:r>
      <w:r w:rsidRPr="00086528">
        <w:t>auction</w:t>
      </w:r>
      <w:r>
        <w:t xml:space="preserve">. </w:t>
      </w:r>
      <w:r w:rsidR="00590352">
        <w:t>This table should be read in conjunction with GMRG’s final recommendations on the measures required to facilitate trade and the day-ahead auction, which were provided to the Energy Council in November 2017</w:t>
      </w:r>
      <w:r w:rsidR="00590352" w:rsidRPr="006B34E4">
        <w:rPr>
          <w:i/>
        </w:rPr>
        <w:t>.</w:t>
      </w:r>
      <w:r w:rsidR="00590352" w:rsidRPr="00590352">
        <w:rPr>
          <w:rStyle w:val="FootnoteReference"/>
        </w:rPr>
        <w:footnoteReference w:id="109"/>
      </w:r>
    </w:p>
    <w:p w14:paraId="776890DC" w14:textId="77777777" w:rsidR="00590352" w:rsidRDefault="00590352" w:rsidP="00590352">
      <w:pPr>
        <w:pStyle w:val="BodyText"/>
        <w:spacing w:line="252" w:lineRule="auto"/>
      </w:pPr>
      <w:r w:rsidRPr="006B34E4">
        <w:t>As noted</w:t>
      </w:r>
      <w:r>
        <w:t xml:space="preserve"> in Chapter 1, a number of refinements have subsequently been made to these measures, which reflect the outcome of additional work undertaken in early 2018 and an enhanced understanding of the operational and contractual environment and the complexities associated with implementing an industry-based Panel. </w:t>
      </w:r>
      <w:r w:rsidR="005E6FB8">
        <w:t>The refinements are summarised in Table 1.3.</w:t>
      </w:r>
    </w:p>
    <w:p w14:paraId="018A4548" w14:textId="77777777" w:rsidR="00590352" w:rsidRDefault="00590352" w:rsidP="00BB2FCD">
      <w:pPr>
        <w:pStyle w:val="ListBullet"/>
        <w:numPr>
          <w:ilvl w:val="0"/>
          <w:numId w:val="0"/>
        </w:numPr>
        <w:ind w:left="360"/>
      </w:pPr>
    </w:p>
    <w:p w14:paraId="30908A4A" w14:textId="77777777" w:rsidR="00590352" w:rsidRDefault="00590352" w:rsidP="00AD6AF3">
      <w:pPr>
        <w:pStyle w:val="BodyText"/>
        <w:sectPr w:rsidR="00590352" w:rsidSect="001250A3">
          <w:headerReference w:type="default" r:id="rId47"/>
          <w:footerReference w:type="default" r:id="rId48"/>
          <w:pgSz w:w="11907" w:h="16840" w:code="9"/>
          <w:pgMar w:top="1701" w:right="1418" w:bottom="851" w:left="1701" w:header="425" w:footer="397" w:gutter="0"/>
          <w:cols w:space="708"/>
          <w:docGrid w:linePitch="360"/>
        </w:sectPr>
      </w:pPr>
    </w:p>
    <w:p w14:paraId="3415F607" w14:textId="213141DB" w:rsidR="00282F43" w:rsidRDefault="00282F43" w:rsidP="005D4B95">
      <w:pPr>
        <w:pStyle w:val="Caption"/>
        <w:spacing w:before="0" w:after="0" w:line="240" w:lineRule="auto"/>
      </w:pPr>
      <w:bookmarkStart w:id="72" w:name="_Ref509239447"/>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5</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bookmarkEnd w:id="72"/>
      <w:r>
        <w:t xml:space="preserve">: </w:t>
      </w:r>
      <w:r w:rsidR="000204F6">
        <w:t>Final design of the m</w:t>
      </w:r>
      <w:r>
        <w:t xml:space="preserve">easures </w:t>
      </w:r>
      <w:r w:rsidR="000204F6">
        <w:t xml:space="preserve">required </w:t>
      </w:r>
      <w:r>
        <w:t>to facilitate capacity trading and the auction</w:t>
      </w:r>
    </w:p>
    <w:tbl>
      <w:tblPr>
        <w:tblStyle w:val="TableGrid"/>
        <w:tblW w:w="5114" w:type="pct"/>
        <w:tblLook w:val="0420" w:firstRow="1" w:lastRow="0" w:firstColumn="0" w:lastColumn="0" w:noHBand="0" w:noVBand="1"/>
        <w:tblCaption w:val="Table 4.1: Measures to facilitate capacity trading and the auction"/>
        <w:tblDescription w:val="Table of measures to facilitate capacity trading and the auction, operational transfer, standard operational agreements, etc."/>
      </w:tblPr>
      <w:tblGrid>
        <w:gridCol w:w="1822"/>
        <w:gridCol w:w="12212"/>
      </w:tblGrid>
      <w:tr w:rsidR="006031B9" w:rsidRPr="00C37D44" w14:paraId="63C3A1BB" w14:textId="77777777" w:rsidTr="003C3093">
        <w:trPr>
          <w:cnfStyle w:val="100000000000" w:firstRow="1" w:lastRow="0" w:firstColumn="0" w:lastColumn="0" w:oddVBand="0" w:evenVBand="0" w:oddHBand="0" w:evenHBand="0" w:firstRowFirstColumn="0" w:firstRowLastColumn="0" w:lastRowFirstColumn="0" w:lastRowLastColumn="0"/>
          <w:tblHeader/>
        </w:trPr>
        <w:tc>
          <w:tcPr>
            <w:tcW w:w="649" w:type="pct"/>
            <w:tcBorders>
              <w:top w:val="single" w:sz="4" w:space="0" w:color="auto"/>
              <w:left w:val="nil"/>
              <w:bottom w:val="single" w:sz="4" w:space="0" w:color="auto"/>
              <w:right w:val="single" w:sz="4" w:space="0" w:color="auto"/>
            </w:tcBorders>
            <w:shd w:val="clear" w:color="auto" w:fill="0099CC"/>
            <w:hideMark/>
          </w:tcPr>
          <w:p w14:paraId="498C31E9" w14:textId="77777777" w:rsidR="006031B9" w:rsidRPr="00C37D44" w:rsidRDefault="006031B9" w:rsidP="005D4B95">
            <w:pPr>
              <w:pStyle w:val="TableHeading"/>
              <w:spacing w:before="20" w:after="20" w:line="240" w:lineRule="auto"/>
              <w:rPr>
                <w:rFonts w:asciiTheme="majorHAnsi" w:hAnsiTheme="majorHAnsi" w:cstheme="majorHAnsi"/>
              </w:rPr>
            </w:pPr>
            <w:r w:rsidRPr="00C37D44">
              <w:rPr>
                <w:rFonts w:asciiTheme="majorHAnsi" w:hAnsiTheme="majorHAnsi" w:cstheme="majorHAnsi"/>
              </w:rPr>
              <w:t>Design Element</w:t>
            </w:r>
          </w:p>
        </w:tc>
        <w:tc>
          <w:tcPr>
            <w:tcW w:w="4351" w:type="pct"/>
            <w:tcBorders>
              <w:top w:val="single" w:sz="4" w:space="0" w:color="auto"/>
              <w:left w:val="single" w:sz="4" w:space="0" w:color="auto"/>
              <w:bottom w:val="single" w:sz="4" w:space="0" w:color="auto"/>
              <w:right w:val="nil"/>
            </w:tcBorders>
            <w:shd w:val="clear" w:color="auto" w:fill="0099CC"/>
            <w:hideMark/>
          </w:tcPr>
          <w:p w14:paraId="2263A528" w14:textId="77777777" w:rsidR="006031B9" w:rsidRPr="00C37D44" w:rsidRDefault="006031B9" w:rsidP="005D4B95">
            <w:pPr>
              <w:pStyle w:val="TableHeading"/>
              <w:spacing w:before="20" w:after="20" w:line="240" w:lineRule="auto"/>
              <w:rPr>
                <w:rFonts w:asciiTheme="majorHAnsi" w:hAnsiTheme="majorHAnsi" w:cstheme="majorHAnsi"/>
              </w:rPr>
            </w:pPr>
            <w:r w:rsidRPr="00C37D44">
              <w:rPr>
                <w:rFonts w:asciiTheme="majorHAnsi" w:hAnsiTheme="majorHAnsi" w:cstheme="majorHAnsi"/>
              </w:rPr>
              <w:t>Detail</w:t>
            </w:r>
          </w:p>
        </w:tc>
      </w:tr>
      <w:tr w:rsidR="006031B9" w:rsidRPr="00C37D44" w14:paraId="6F98FB4D" w14:textId="77777777" w:rsidTr="003C3093">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63207798" w14:textId="77777777" w:rsidR="006031B9" w:rsidRPr="00C37D44" w:rsidRDefault="006031B9" w:rsidP="005D4B95">
            <w:pPr>
              <w:pStyle w:val="TableBodyText"/>
              <w:keepNext/>
              <w:spacing w:before="20" w:after="20" w:line="240" w:lineRule="auto"/>
              <w:jc w:val="center"/>
              <w:rPr>
                <w:rFonts w:asciiTheme="majorHAnsi" w:hAnsiTheme="majorHAnsi" w:cstheme="majorHAnsi"/>
                <w:b/>
                <w:color w:val="FFFFFF" w:themeColor="background1"/>
              </w:rPr>
            </w:pPr>
            <w:r w:rsidRPr="00C37D44">
              <w:rPr>
                <w:rFonts w:asciiTheme="majorHAnsi" w:hAnsiTheme="majorHAnsi" w:cstheme="majorHAnsi"/>
                <w:b/>
                <w:color w:val="FFFFFF" w:themeColor="background1"/>
              </w:rPr>
              <w:t>Operational Transfer</w:t>
            </w:r>
            <w:r w:rsidR="00476B24">
              <w:rPr>
                <w:rFonts w:asciiTheme="majorHAnsi" w:hAnsiTheme="majorHAnsi" w:cstheme="majorHAnsi"/>
                <w:b/>
                <w:color w:val="FFFFFF" w:themeColor="background1"/>
              </w:rPr>
              <w:t>s</w:t>
            </w:r>
          </w:p>
        </w:tc>
      </w:tr>
      <w:tr w:rsidR="006031B9" w:rsidRPr="00C37D44" w14:paraId="684F3AB4" w14:textId="77777777" w:rsidTr="003C3093">
        <w:trPr>
          <w:cnfStyle w:val="000000010000" w:firstRow="0" w:lastRow="0" w:firstColumn="0" w:lastColumn="0" w:oddVBand="0" w:evenVBand="0" w:oddHBand="0" w:evenHBand="1" w:firstRowFirstColumn="0" w:firstRowLastColumn="0" w:lastRowFirstColumn="0" w:lastRowLastColumn="0"/>
        </w:trPr>
        <w:tc>
          <w:tcPr>
            <w:tcW w:w="649" w:type="pct"/>
            <w:tcBorders>
              <w:top w:val="single" w:sz="4" w:space="0" w:color="auto"/>
              <w:left w:val="nil"/>
              <w:bottom w:val="single" w:sz="4" w:space="0" w:color="auto"/>
              <w:right w:val="single" w:sz="4" w:space="0" w:color="auto"/>
            </w:tcBorders>
            <w:shd w:val="clear" w:color="auto" w:fill="auto"/>
            <w:hideMark/>
          </w:tcPr>
          <w:p w14:paraId="5AEDA731" w14:textId="77777777" w:rsidR="006031B9" w:rsidRPr="00C37D44" w:rsidRDefault="006031B9" w:rsidP="00013985">
            <w:pPr>
              <w:pStyle w:val="TableBodyText"/>
              <w:spacing w:before="20" w:after="120" w:line="240" w:lineRule="auto"/>
              <w:rPr>
                <w:rFonts w:asciiTheme="majorHAnsi" w:hAnsiTheme="majorHAnsi" w:cstheme="majorHAnsi"/>
              </w:rPr>
            </w:pPr>
            <w:r w:rsidRPr="00C37D44">
              <w:rPr>
                <w:rFonts w:asciiTheme="majorHAnsi" w:hAnsiTheme="majorHAnsi" w:cstheme="majorHAnsi"/>
              </w:rPr>
              <w:t>Contracts to be standardised</w:t>
            </w:r>
          </w:p>
        </w:tc>
        <w:tc>
          <w:tcPr>
            <w:tcW w:w="4351" w:type="pct"/>
            <w:tcBorders>
              <w:top w:val="single" w:sz="4" w:space="0" w:color="auto"/>
              <w:left w:val="single" w:sz="4" w:space="0" w:color="auto"/>
              <w:bottom w:val="single" w:sz="4" w:space="0" w:color="auto"/>
              <w:right w:val="nil"/>
            </w:tcBorders>
            <w:shd w:val="clear" w:color="auto" w:fill="auto"/>
            <w:hideMark/>
          </w:tcPr>
          <w:p w14:paraId="6A33E421" w14:textId="77777777" w:rsidR="006031B9" w:rsidRPr="000A7F5B" w:rsidRDefault="00DF22FA" w:rsidP="00013985">
            <w:pPr>
              <w:pStyle w:val="TableBullet1"/>
              <w:numPr>
                <w:ilvl w:val="0"/>
                <w:numId w:val="0"/>
              </w:numPr>
              <w:spacing w:before="20" w:after="120" w:line="240" w:lineRule="auto"/>
              <w:ind w:left="85"/>
              <w:rPr>
                <w:rFonts w:asciiTheme="majorHAnsi" w:hAnsiTheme="majorHAnsi" w:cstheme="majorHAnsi"/>
                <w:color w:val="000000"/>
                <w:szCs w:val="18"/>
              </w:rPr>
            </w:pPr>
            <w:r>
              <w:rPr>
                <w:rFonts w:asciiTheme="majorHAnsi" w:hAnsiTheme="majorHAnsi" w:cstheme="majorHAnsi"/>
                <w:szCs w:val="18"/>
              </w:rPr>
              <w:t>O</w:t>
            </w:r>
            <w:r w:rsidR="006031B9" w:rsidRPr="000A7F5B">
              <w:rPr>
                <w:rFonts w:asciiTheme="majorHAnsi" w:hAnsiTheme="majorHAnsi" w:cstheme="majorHAnsi"/>
                <w:szCs w:val="18"/>
              </w:rPr>
              <w:t>perational transfer</w:t>
            </w:r>
            <w:r>
              <w:rPr>
                <w:rFonts w:asciiTheme="majorHAnsi" w:hAnsiTheme="majorHAnsi" w:cstheme="majorHAnsi"/>
                <w:szCs w:val="18"/>
              </w:rPr>
              <w:t>s will</w:t>
            </w:r>
            <w:r w:rsidR="006031B9">
              <w:rPr>
                <w:rFonts w:asciiTheme="majorHAnsi" w:hAnsiTheme="majorHAnsi" w:cstheme="majorHAnsi"/>
                <w:szCs w:val="18"/>
              </w:rPr>
              <w:t xml:space="preserve"> </w:t>
            </w:r>
            <w:r w:rsidR="006031B9" w:rsidRPr="000A7F5B">
              <w:rPr>
                <w:rFonts w:asciiTheme="majorHAnsi" w:hAnsiTheme="majorHAnsi" w:cstheme="majorHAnsi"/>
                <w:szCs w:val="18"/>
              </w:rPr>
              <w:t>be used to give effect to capacity purchased through the capacity trading platform, the day-ahead auction and</w:t>
            </w:r>
            <w:r w:rsidR="006031B9">
              <w:rPr>
                <w:rFonts w:asciiTheme="majorHAnsi" w:hAnsiTheme="majorHAnsi" w:cstheme="majorHAnsi"/>
                <w:szCs w:val="18"/>
              </w:rPr>
              <w:t>, where the buyer elects to use an operational transfer,</w:t>
            </w:r>
            <w:r w:rsidR="006031B9" w:rsidRPr="000A7F5B">
              <w:rPr>
                <w:rFonts w:asciiTheme="majorHAnsi" w:hAnsiTheme="majorHAnsi" w:cstheme="majorHAnsi"/>
                <w:szCs w:val="18"/>
              </w:rPr>
              <w:t xml:space="preserve"> bilateral trades.</w:t>
            </w:r>
            <w:r w:rsidR="006031B9" w:rsidRPr="000A7F5B">
              <w:rPr>
                <w:rFonts w:asciiTheme="majorHAnsi" w:eastAsiaTheme="majorEastAsia" w:hAnsiTheme="majorHAnsi" w:cstheme="majorHAnsi"/>
                <w:szCs w:val="18"/>
              </w:rPr>
              <w:t xml:space="preserve"> </w:t>
            </w:r>
            <w:r>
              <w:rPr>
                <w:rFonts w:asciiTheme="majorHAnsi" w:eastAsiaTheme="majorEastAsia" w:hAnsiTheme="majorHAnsi" w:cstheme="majorHAnsi"/>
                <w:szCs w:val="18"/>
              </w:rPr>
              <w:t>B</w:t>
            </w:r>
            <w:r w:rsidR="006031B9" w:rsidRPr="000A7F5B">
              <w:rPr>
                <w:rFonts w:asciiTheme="majorHAnsi" w:eastAsiaTheme="majorEastAsia" w:hAnsiTheme="majorHAnsi" w:cstheme="majorHAnsi"/>
                <w:szCs w:val="18"/>
              </w:rPr>
              <w:t>are transfer</w:t>
            </w:r>
            <w:r>
              <w:rPr>
                <w:rFonts w:asciiTheme="majorHAnsi" w:eastAsiaTheme="majorEastAsia" w:hAnsiTheme="majorHAnsi" w:cstheme="majorHAnsi"/>
                <w:szCs w:val="18"/>
              </w:rPr>
              <w:t>s</w:t>
            </w:r>
            <w:r w:rsidR="006031B9">
              <w:rPr>
                <w:rFonts w:asciiTheme="majorHAnsi" w:eastAsiaTheme="majorEastAsia" w:hAnsiTheme="majorHAnsi" w:cstheme="majorHAnsi"/>
                <w:szCs w:val="18"/>
              </w:rPr>
              <w:t xml:space="preserve"> can be used in </w:t>
            </w:r>
            <w:r w:rsidR="006031B9" w:rsidRPr="000A7F5B">
              <w:rPr>
                <w:rFonts w:asciiTheme="majorHAnsi" w:eastAsiaTheme="majorEastAsia" w:hAnsiTheme="majorHAnsi" w:cstheme="majorHAnsi"/>
                <w:szCs w:val="18"/>
              </w:rPr>
              <w:t>bilateral trades, subject to the seller</w:t>
            </w:r>
            <w:r w:rsidR="006031B9">
              <w:rPr>
                <w:rFonts w:asciiTheme="majorHAnsi" w:eastAsiaTheme="majorEastAsia" w:hAnsiTheme="majorHAnsi" w:cstheme="majorHAnsi"/>
                <w:szCs w:val="18"/>
              </w:rPr>
              <w:t xml:space="preserve"> </w:t>
            </w:r>
            <w:r w:rsidR="006031B9" w:rsidRPr="000A7F5B">
              <w:rPr>
                <w:rFonts w:asciiTheme="majorHAnsi" w:eastAsiaTheme="majorEastAsia" w:hAnsiTheme="majorHAnsi" w:cstheme="majorHAnsi"/>
                <w:szCs w:val="18"/>
              </w:rPr>
              <w:t>offer</w:t>
            </w:r>
            <w:r w:rsidR="006031B9">
              <w:rPr>
                <w:rFonts w:asciiTheme="majorHAnsi" w:eastAsiaTheme="majorEastAsia" w:hAnsiTheme="majorHAnsi" w:cstheme="majorHAnsi"/>
                <w:szCs w:val="18"/>
              </w:rPr>
              <w:t>ing</w:t>
            </w:r>
            <w:r w:rsidR="006031B9" w:rsidRPr="000A7F5B">
              <w:rPr>
                <w:rFonts w:asciiTheme="majorHAnsi" w:eastAsiaTheme="majorEastAsia" w:hAnsiTheme="majorHAnsi" w:cstheme="majorHAnsi"/>
                <w:szCs w:val="18"/>
              </w:rPr>
              <w:t xml:space="preserve"> the buyer the option of </w:t>
            </w:r>
            <w:r>
              <w:rPr>
                <w:rFonts w:asciiTheme="majorHAnsi" w:eastAsiaTheme="majorEastAsia" w:hAnsiTheme="majorHAnsi" w:cstheme="majorHAnsi"/>
                <w:szCs w:val="18"/>
              </w:rPr>
              <w:t xml:space="preserve">using </w:t>
            </w:r>
            <w:r w:rsidR="005E6FB8">
              <w:rPr>
                <w:rFonts w:asciiTheme="majorHAnsi" w:eastAsiaTheme="majorEastAsia" w:hAnsiTheme="majorHAnsi" w:cstheme="majorHAnsi"/>
                <w:szCs w:val="18"/>
              </w:rPr>
              <w:t xml:space="preserve">an </w:t>
            </w:r>
            <w:r w:rsidR="006031B9" w:rsidRPr="000A7F5B">
              <w:rPr>
                <w:rFonts w:asciiTheme="majorHAnsi" w:eastAsiaTheme="majorEastAsia" w:hAnsiTheme="majorHAnsi" w:cstheme="majorHAnsi"/>
                <w:szCs w:val="18"/>
              </w:rPr>
              <w:t>operational transfer</w:t>
            </w:r>
            <w:r>
              <w:rPr>
                <w:rFonts w:asciiTheme="majorHAnsi" w:eastAsiaTheme="majorEastAsia" w:hAnsiTheme="majorHAnsi" w:cstheme="majorHAnsi"/>
                <w:szCs w:val="18"/>
              </w:rPr>
              <w:t>,</w:t>
            </w:r>
            <w:r w:rsidR="006031B9">
              <w:rPr>
                <w:rFonts w:asciiTheme="majorHAnsi" w:eastAsiaTheme="majorEastAsia" w:hAnsiTheme="majorHAnsi" w:cstheme="majorHAnsi"/>
                <w:szCs w:val="18"/>
              </w:rPr>
              <w:t xml:space="preserve"> if requested to do so</w:t>
            </w:r>
            <w:r w:rsidR="006031B9" w:rsidRPr="000A7F5B">
              <w:rPr>
                <w:rFonts w:asciiTheme="majorHAnsi" w:eastAsiaTheme="majorEastAsia" w:hAnsiTheme="majorHAnsi" w:cstheme="majorHAnsi"/>
                <w:szCs w:val="18"/>
              </w:rPr>
              <w:t>.</w:t>
            </w:r>
            <w:r w:rsidR="003C3093">
              <w:rPr>
                <w:rStyle w:val="FootnoteReference"/>
                <w:rFonts w:asciiTheme="majorHAnsi" w:eastAsiaTheme="majorEastAsia" w:hAnsiTheme="majorHAnsi" w:cstheme="majorHAnsi"/>
                <w:szCs w:val="18"/>
              </w:rPr>
              <w:footnoteReference w:id="110"/>
            </w:r>
            <w:r w:rsidR="006031B9" w:rsidRPr="000A7F5B">
              <w:rPr>
                <w:rFonts w:asciiTheme="majorHAnsi" w:eastAsiaTheme="majorEastAsia" w:hAnsiTheme="majorHAnsi" w:cstheme="majorHAnsi"/>
                <w:szCs w:val="18"/>
              </w:rPr>
              <w:t xml:space="preserve"> </w:t>
            </w:r>
          </w:p>
          <w:p w14:paraId="63C3C451" w14:textId="77777777" w:rsidR="006031B9" w:rsidRPr="00C37D44" w:rsidRDefault="006031B9" w:rsidP="00013985">
            <w:pPr>
              <w:pStyle w:val="TableBodyText"/>
              <w:spacing w:before="20" w:after="120" w:line="240" w:lineRule="auto"/>
              <w:rPr>
                <w:rFonts w:asciiTheme="majorHAnsi" w:hAnsiTheme="majorHAnsi" w:cstheme="majorHAnsi"/>
              </w:rPr>
            </w:pPr>
            <w:r>
              <w:rPr>
                <w:rFonts w:asciiTheme="majorHAnsi" w:hAnsiTheme="majorHAnsi" w:cstheme="majorHAnsi"/>
                <w:szCs w:val="18"/>
              </w:rPr>
              <w:t>The contractual arrangements for operational transfers will be set out in an OTSA, which may take the form of a stand-alone agreement (including the standard OTSA) or form part of a shipper’s primary facility agreement.</w:t>
            </w:r>
          </w:p>
        </w:tc>
      </w:tr>
      <w:tr w:rsidR="006031B9" w:rsidRPr="00C37D44" w14:paraId="0FC58D7E" w14:textId="77777777" w:rsidTr="00013985">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428BFF14" w14:textId="77777777" w:rsidR="006031B9" w:rsidRPr="00C37D44" w:rsidRDefault="006031B9" w:rsidP="005D4B95">
            <w:pPr>
              <w:pStyle w:val="TableBodyText"/>
              <w:keepNext/>
              <w:spacing w:before="20" w:after="20" w:line="240" w:lineRule="auto"/>
              <w:jc w:val="center"/>
              <w:rPr>
                <w:rFonts w:asciiTheme="majorHAnsi" w:hAnsiTheme="majorHAnsi" w:cstheme="majorHAnsi"/>
                <w:b/>
                <w:color w:val="FFFFFF" w:themeColor="background1"/>
              </w:rPr>
            </w:pPr>
            <w:r w:rsidRPr="00C37D44">
              <w:rPr>
                <w:rFonts w:asciiTheme="majorHAnsi" w:hAnsiTheme="majorHAnsi" w:cstheme="majorHAnsi"/>
                <w:b/>
                <w:color w:val="FFFFFF" w:themeColor="background1"/>
              </w:rPr>
              <w:t>Standard OTSAs</w:t>
            </w:r>
          </w:p>
        </w:tc>
      </w:tr>
      <w:tr w:rsidR="006031B9" w:rsidRPr="00C37D44" w14:paraId="505A505F" w14:textId="77777777" w:rsidTr="00013985">
        <w:trPr>
          <w:cnfStyle w:val="000000010000" w:firstRow="0" w:lastRow="0" w:firstColumn="0" w:lastColumn="0" w:oddVBand="0" w:evenVBand="0" w:oddHBand="0" w:evenHBand="1" w:firstRowFirstColumn="0" w:firstRowLastColumn="0" w:lastRowFirstColumn="0" w:lastRowLastColumn="0"/>
        </w:trPr>
        <w:tc>
          <w:tcPr>
            <w:tcW w:w="649" w:type="pct"/>
            <w:tcBorders>
              <w:top w:val="single" w:sz="4" w:space="0" w:color="auto"/>
              <w:left w:val="nil"/>
              <w:bottom w:val="single" w:sz="4" w:space="0" w:color="auto"/>
              <w:right w:val="single" w:sz="4" w:space="0" w:color="auto"/>
            </w:tcBorders>
            <w:hideMark/>
          </w:tcPr>
          <w:p w14:paraId="28D1CB7B" w14:textId="77777777" w:rsidR="006031B9" w:rsidRPr="005D4B95" w:rsidRDefault="005D4B95" w:rsidP="00013985">
            <w:pPr>
              <w:pStyle w:val="TableBodyText"/>
              <w:spacing w:before="20" w:after="120" w:line="240" w:lineRule="auto"/>
              <w:rPr>
                <w:rFonts w:asciiTheme="majorHAnsi" w:hAnsiTheme="majorHAnsi" w:cstheme="majorHAnsi"/>
                <w:szCs w:val="18"/>
              </w:rPr>
            </w:pPr>
            <w:r>
              <w:rPr>
                <w:rFonts w:asciiTheme="majorHAnsi" w:hAnsiTheme="majorHAnsi" w:cstheme="majorHAnsi"/>
                <w:szCs w:val="18"/>
              </w:rPr>
              <w:t>Code and c</w:t>
            </w:r>
            <w:r w:rsidR="006031B9" w:rsidRPr="005D4B95">
              <w:rPr>
                <w:rFonts w:asciiTheme="majorHAnsi" w:hAnsiTheme="majorHAnsi" w:cstheme="majorHAnsi"/>
                <w:szCs w:val="18"/>
              </w:rPr>
              <w:t xml:space="preserve">ontent of a standard OTSA </w:t>
            </w:r>
          </w:p>
        </w:tc>
        <w:tc>
          <w:tcPr>
            <w:tcW w:w="4351" w:type="pct"/>
            <w:tcBorders>
              <w:top w:val="single" w:sz="4" w:space="0" w:color="auto"/>
              <w:left w:val="single" w:sz="4" w:space="0" w:color="auto"/>
              <w:bottom w:val="single" w:sz="4" w:space="0" w:color="auto"/>
              <w:right w:val="nil"/>
            </w:tcBorders>
            <w:hideMark/>
          </w:tcPr>
          <w:p w14:paraId="1377E3B6" w14:textId="77777777" w:rsidR="00013985" w:rsidRPr="00DF22FA" w:rsidRDefault="006031B9" w:rsidP="00013985">
            <w:pPr>
              <w:pStyle w:val="TableBodyText"/>
              <w:spacing w:before="20" w:after="120" w:line="240" w:lineRule="auto"/>
              <w:rPr>
                <w:color w:val="000000"/>
                <w:szCs w:val="18"/>
              </w:rPr>
            </w:pPr>
            <w:r w:rsidRPr="005D4B95">
              <w:rPr>
                <w:rFonts w:asciiTheme="majorHAnsi" w:hAnsiTheme="majorHAnsi" w:cstheme="majorHAnsi"/>
                <w:szCs w:val="18"/>
              </w:rPr>
              <w:t>The standard OTSA must incorporate the standard terms in the Code and facility specific terms applicable to the facility.</w:t>
            </w:r>
            <w:r w:rsidR="003C3093" w:rsidRPr="005D4B95">
              <w:rPr>
                <w:rStyle w:val="FootnoteReference"/>
                <w:rFonts w:asciiTheme="majorHAnsi" w:hAnsiTheme="majorHAnsi" w:cstheme="majorHAnsi"/>
                <w:szCs w:val="18"/>
              </w:rPr>
              <w:footnoteReference w:id="111"/>
            </w:r>
            <w:r w:rsidRPr="005D4B95">
              <w:rPr>
                <w:rFonts w:asciiTheme="majorHAnsi" w:hAnsiTheme="majorHAnsi" w:cstheme="majorHAnsi"/>
                <w:szCs w:val="18"/>
              </w:rPr>
              <w:t xml:space="preserve"> </w:t>
            </w:r>
            <w:r w:rsidR="00DF22FA" w:rsidRPr="005D4B95">
              <w:rPr>
                <w:rFonts w:asciiTheme="majorHAnsi" w:hAnsiTheme="majorHAnsi" w:cstheme="majorHAnsi"/>
                <w:szCs w:val="18"/>
              </w:rPr>
              <w:t xml:space="preserve">Provision has been made for </w:t>
            </w:r>
            <w:r w:rsidR="00DF22FA" w:rsidRPr="005D4B95">
              <w:rPr>
                <w:color w:val="000000"/>
                <w:szCs w:val="18"/>
              </w:rPr>
              <w:t>f</w:t>
            </w:r>
            <w:r w:rsidR="00DF22FA" w:rsidRPr="00DF22FA">
              <w:rPr>
                <w:color w:val="000000"/>
                <w:szCs w:val="18"/>
              </w:rPr>
              <w:t xml:space="preserve">acility specific terms </w:t>
            </w:r>
            <w:r w:rsidR="00DF22FA" w:rsidRPr="005D4B95">
              <w:rPr>
                <w:color w:val="000000"/>
                <w:szCs w:val="18"/>
              </w:rPr>
              <w:t xml:space="preserve">in the </w:t>
            </w:r>
            <w:r w:rsidR="005D4B95" w:rsidRPr="005D4B95">
              <w:rPr>
                <w:color w:val="000000"/>
                <w:szCs w:val="18"/>
              </w:rPr>
              <w:t xml:space="preserve">Code and the standard OTSA </w:t>
            </w:r>
            <w:r w:rsidR="00DF22FA" w:rsidRPr="00DF22FA">
              <w:rPr>
                <w:color w:val="000000"/>
                <w:szCs w:val="18"/>
              </w:rPr>
              <w:t xml:space="preserve">because there are </w:t>
            </w:r>
            <w:r w:rsidR="00DF22FA" w:rsidRPr="005D4B95">
              <w:rPr>
                <w:color w:val="000000"/>
                <w:szCs w:val="18"/>
              </w:rPr>
              <w:t xml:space="preserve">a number of </w:t>
            </w:r>
            <w:r w:rsidR="00DF22FA" w:rsidRPr="00DF22FA">
              <w:rPr>
                <w:color w:val="000000"/>
                <w:szCs w:val="18"/>
              </w:rPr>
              <w:t xml:space="preserve">provisions that are not practicable to standardise </w:t>
            </w:r>
            <w:r w:rsidR="00DF22FA" w:rsidRPr="005D4B95">
              <w:rPr>
                <w:color w:val="000000"/>
                <w:szCs w:val="18"/>
              </w:rPr>
              <w:t xml:space="preserve">across facilities </w:t>
            </w:r>
            <w:r w:rsidR="00DF22FA" w:rsidRPr="00DF22FA">
              <w:rPr>
                <w:color w:val="000000"/>
                <w:szCs w:val="18"/>
              </w:rPr>
              <w:t>due to differences in</w:t>
            </w:r>
            <w:r w:rsidR="00DF22FA" w:rsidRPr="005D4B95">
              <w:rPr>
                <w:color w:val="000000"/>
                <w:szCs w:val="18"/>
              </w:rPr>
              <w:t xml:space="preserve"> </w:t>
            </w:r>
            <w:r w:rsidR="00DF22FA" w:rsidRPr="00DF22FA">
              <w:rPr>
                <w:color w:val="000000"/>
                <w:szCs w:val="18"/>
              </w:rPr>
              <w:t>the operational characteristics of the facility (for example, hourly limitations, pressure, temperature and metering requirements</w:t>
            </w:r>
            <w:r w:rsidR="00DF22FA" w:rsidRPr="005D4B95">
              <w:rPr>
                <w:color w:val="000000"/>
                <w:szCs w:val="18"/>
              </w:rPr>
              <w:t>)</w:t>
            </w:r>
            <w:r w:rsidR="00DF22FA" w:rsidRPr="00DF22FA">
              <w:rPr>
                <w:color w:val="000000"/>
                <w:szCs w:val="18"/>
              </w:rPr>
              <w:t xml:space="preserve"> and the contractual arrangements of the facility. </w:t>
            </w:r>
            <w:r w:rsidR="005D4B95" w:rsidRPr="005D4B95">
              <w:rPr>
                <w:color w:val="000000"/>
                <w:szCs w:val="18"/>
              </w:rPr>
              <w:t>The NGR, however, make clear that the Code must, to the extent reasonably practicable, provide for standard terms in preference to facility specific terms.</w:t>
            </w:r>
            <w:r w:rsidR="005D4B95" w:rsidRPr="005D4B95">
              <w:rPr>
                <w:rStyle w:val="FootnoteReference"/>
                <w:color w:val="000000"/>
                <w:szCs w:val="18"/>
              </w:rPr>
              <w:footnoteReference w:id="112"/>
            </w:r>
            <w:r w:rsidR="00013985">
              <w:rPr>
                <w:lang w:eastAsia="fr-CA"/>
              </w:rPr>
              <w:t xml:space="preserve"> While the GMRG employed this principle when developing the initial Code, it is possible that some of the facility specific terms in the initial Code could be standardised in the future. The current specification of facility specific terms should not therefore be viewed as a constraint on the future development of the Code.  </w:t>
            </w:r>
          </w:p>
          <w:p w14:paraId="79676F2B" w14:textId="77777777" w:rsidR="00DF22FA" w:rsidRPr="005D4B95" w:rsidRDefault="00013985" w:rsidP="00013985">
            <w:pPr>
              <w:pStyle w:val="TableBodyText"/>
              <w:spacing w:before="20" w:after="120" w:line="240" w:lineRule="auto"/>
              <w:rPr>
                <w:rFonts w:asciiTheme="majorHAnsi" w:hAnsiTheme="majorHAnsi" w:cstheme="majorHAnsi"/>
                <w:szCs w:val="18"/>
                <w:lang w:eastAsia="fr-CA"/>
              </w:rPr>
            </w:pPr>
            <w:r>
              <w:rPr>
                <w:rFonts w:asciiTheme="majorHAnsi" w:hAnsiTheme="majorHAnsi" w:cstheme="majorHAnsi"/>
                <w:szCs w:val="18"/>
              </w:rPr>
              <w:t>Although</w:t>
            </w:r>
            <w:r w:rsidR="006031B9" w:rsidRPr="005D4B95">
              <w:rPr>
                <w:rFonts w:asciiTheme="majorHAnsi" w:hAnsiTheme="majorHAnsi" w:cstheme="majorHAnsi"/>
                <w:szCs w:val="18"/>
              </w:rPr>
              <w:t xml:space="preserve"> </w:t>
            </w:r>
            <w:r w:rsidR="00DF22FA" w:rsidRPr="005D4B95">
              <w:rPr>
                <w:rFonts w:asciiTheme="majorHAnsi" w:hAnsiTheme="majorHAnsi" w:cstheme="majorHAnsi"/>
                <w:szCs w:val="18"/>
              </w:rPr>
              <w:t xml:space="preserve">transportation </w:t>
            </w:r>
            <w:r w:rsidR="006031B9" w:rsidRPr="005D4B95">
              <w:rPr>
                <w:rFonts w:asciiTheme="majorHAnsi" w:hAnsiTheme="majorHAnsi" w:cstheme="majorHAnsi"/>
                <w:szCs w:val="18"/>
              </w:rPr>
              <w:t xml:space="preserve">service providers </w:t>
            </w:r>
            <w:r w:rsidR="00DF22FA" w:rsidRPr="005D4B95">
              <w:rPr>
                <w:rFonts w:asciiTheme="majorHAnsi" w:hAnsiTheme="majorHAnsi" w:cstheme="majorHAnsi"/>
                <w:szCs w:val="18"/>
              </w:rPr>
              <w:t xml:space="preserve">will </w:t>
            </w:r>
            <w:r w:rsidR="006031B9" w:rsidRPr="005D4B95">
              <w:rPr>
                <w:rFonts w:asciiTheme="majorHAnsi" w:hAnsiTheme="majorHAnsi" w:cstheme="majorHAnsi"/>
                <w:szCs w:val="18"/>
              </w:rPr>
              <w:t xml:space="preserve">have some discretion in relation to the facility specific terms, the terms must </w:t>
            </w:r>
            <w:r w:rsidR="006031B9" w:rsidRPr="005D4B95">
              <w:rPr>
                <w:rFonts w:asciiTheme="majorHAnsi" w:hAnsiTheme="majorHAnsi" w:cstheme="majorHAnsi"/>
                <w:szCs w:val="18"/>
                <w:lang w:eastAsia="fr-CA"/>
              </w:rPr>
              <w:t>be consistent with the NGR</w:t>
            </w:r>
            <w:r w:rsidR="00DF22FA" w:rsidRPr="005D4B95">
              <w:rPr>
                <w:rFonts w:asciiTheme="majorHAnsi" w:hAnsiTheme="majorHAnsi" w:cstheme="majorHAnsi"/>
                <w:szCs w:val="18"/>
                <w:lang w:eastAsia="fr-CA"/>
              </w:rPr>
              <w:t xml:space="preserve"> and </w:t>
            </w:r>
            <w:r w:rsidR="006031B9" w:rsidRPr="005D4B95">
              <w:rPr>
                <w:rFonts w:asciiTheme="majorHAnsi" w:hAnsiTheme="majorHAnsi" w:cstheme="majorHAnsi"/>
                <w:szCs w:val="18"/>
                <w:lang w:eastAsia="fr-CA"/>
              </w:rPr>
              <w:t>give effect to facility specific requirements in the Code</w:t>
            </w:r>
            <w:r w:rsidR="005D4B95" w:rsidRPr="005D4B95">
              <w:rPr>
                <w:rFonts w:asciiTheme="majorHAnsi" w:hAnsiTheme="majorHAnsi" w:cstheme="majorHAnsi"/>
                <w:szCs w:val="18"/>
                <w:lang w:eastAsia="fr-CA"/>
              </w:rPr>
              <w:t>,</w:t>
            </w:r>
            <w:r w:rsidR="003C3093" w:rsidRPr="005D4B95">
              <w:rPr>
                <w:rStyle w:val="FootnoteReference"/>
                <w:rFonts w:asciiTheme="majorHAnsi" w:hAnsiTheme="majorHAnsi" w:cstheme="majorHAnsi"/>
                <w:szCs w:val="18"/>
                <w:lang w:eastAsia="fr-CA"/>
              </w:rPr>
              <w:footnoteReference w:id="113"/>
            </w:r>
            <w:r w:rsidR="006031B9" w:rsidRPr="005D4B95">
              <w:rPr>
                <w:rFonts w:asciiTheme="majorHAnsi" w:hAnsiTheme="majorHAnsi" w:cstheme="majorHAnsi"/>
                <w:szCs w:val="18"/>
                <w:lang w:eastAsia="fr-CA"/>
              </w:rPr>
              <w:t xml:space="preserve"> </w:t>
            </w:r>
            <w:r w:rsidR="005D4B95" w:rsidRPr="005D4B95">
              <w:rPr>
                <w:rFonts w:asciiTheme="majorHAnsi" w:hAnsiTheme="majorHAnsi" w:cstheme="majorHAnsi"/>
                <w:szCs w:val="18"/>
                <w:lang w:eastAsia="fr-CA"/>
              </w:rPr>
              <w:t xml:space="preserve">the objective of which </w:t>
            </w:r>
            <w:r w:rsidR="00E41D4C">
              <w:rPr>
                <w:rFonts w:asciiTheme="majorHAnsi" w:hAnsiTheme="majorHAnsi" w:cstheme="majorHAnsi"/>
                <w:szCs w:val="18"/>
                <w:lang w:eastAsia="fr-CA"/>
              </w:rPr>
              <w:t xml:space="preserve">is </w:t>
            </w:r>
            <w:r w:rsidR="005D4B95" w:rsidRPr="005D4B95">
              <w:rPr>
                <w:rFonts w:asciiTheme="majorHAnsi" w:hAnsiTheme="majorHAnsi" w:cstheme="majorHAnsi"/>
                <w:szCs w:val="18"/>
                <w:lang w:eastAsia="fr-CA"/>
              </w:rPr>
              <w:t xml:space="preserve">to ensure the facility specific terms are reasonable. The facility specific requirements in the Code may, for example, require facility specific terms to be consistent with equivalent terms in an </w:t>
            </w:r>
            <w:r w:rsidR="00E41D4C">
              <w:rPr>
                <w:rFonts w:asciiTheme="majorHAnsi" w:hAnsiTheme="majorHAnsi" w:cstheme="majorHAnsi"/>
                <w:szCs w:val="18"/>
                <w:lang w:eastAsia="fr-CA"/>
              </w:rPr>
              <w:t xml:space="preserve">AER approved </w:t>
            </w:r>
            <w:r w:rsidR="005D4B95" w:rsidRPr="005D4B95">
              <w:rPr>
                <w:rFonts w:asciiTheme="majorHAnsi" w:hAnsiTheme="majorHAnsi" w:cstheme="majorHAnsi"/>
                <w:szCs w:val="18"/>
                <w:lang w:eastAsia="fr-CA"/>
              </w:rPr>
              <w:t>access arrangement, or consistent with the terms in primary facility agreements.</w:t>
            </w:r>
            <w:r w:rsidR="005D4B95">
              <w:rPr>
                <w:rStyle w:val="FootnoteReference"/>
                <w:rFonts w:asciiTheme="majorHAnsi" w:hAnsiTheme="majorHAnsi" w:cstheme="majorHAnsi"/>
                <w:szCs w:val="18"/>
                <w:lang w:eastAsia="fr-CA"/>
              </w:rPr>
              <w:footnoteReference w:id="114"/>
            </w:r>
            <w:r w:rsidR="005D4B95" w:rsidRPr="005D4B95">
              <w:rPr>
                <w:rFonts w:asciiTheme="majorHAnsi" w:hAnsiTheme="majorHAnsi" w:cstheme="majorHAnsi"/>
                <w:szCs w:val="18"/>
                <w:lang w:eastAsia="fr-CA"/>
              </w:rPr>
              <w:t xml:space="preserve"> </w:t>
            </w:r>
            <w:r w:rsidR="00DF22FA" w:rsidRPr="005D4B95">
              <w:rPr>
                <w:rFonts w:asciiTheme="majorHAnsi" w:hAnsiTheme="majorHAnsi" w:cstheme="majorHAnsi"/>
                <w:szCs w:val="18"/>
                <w:lang w:eastAsia="fr-CA"/>
              </w:rPr>
              <w:t>The facility specific terms will also be subject to oversight by the AER.</w:t>
            </w:r>
            <w:r w:rsidR="00DF22FA" w:rsidRPr="005D4B95">
              <w:rPr>
                <w:rStyle w:val="FootnoteReference"/>
                <w:rFonts w:asciiTheme="majorHAnsi" w:hAnsiTheme="majorHAnsi" w:cstheme="majorHAnsi"/>
                <w:szCs w:val="18"/>
                <w:lang w:eastAsia="fr-CA"/>
              </w:rPr>
              <w:footnoteReference w:id="115"/>
            </w:r>
          </w:p>
          <w:p w14:paraId="1020AB5A" w14:textId="77777777" w:rsidR="006031B9" w:rsidRPr="005D4B95" w:rsidRDefault="003C3093" w:rsidP="00013985">
            <w:pPr>
              <w:pStyle w:val="TableBodyText"/>
              <w:spacing w:before="20" w:after="120" w:line="240" w:lineRule="auto"/>
              <w:rPr>
                <w:rFonts w:asciiTheme="majorHAnsi" w:hAnsiTheme="majorHAnsi" w:cstheme="majorHAnsi"/>
                <w:szCs w:val="18"/>
                <w:lang w:eastAsia="fr-CA"/>
              </w:rPr>
            </w:pPr>
            <w:r w:rsidRPr="005D4B95">
              <w:rPr>
                <w:rFonts w:asciiTheme="majorHAnsi" w:hAnsiTheme="majorHAnsi" w:cstheme="majorHAnsi"/>
                <w:szCs w:val="18"/>
                <w:lang w:eastAsia="fr-CA"/>
              </w:rPr>
              <w:t>Any amendments to the standard OTSA must also comply with these requirements.</w:t>
            </w:r>
            <w:r w:rsidRPr="005D4B95">
              <w:rPr>
                <w:rStyle w:val="FootnoteReference"/>
                <w:rFonts w:asciiTheme="majorHAnsi" w:hAnsiTheme="majorHAnsi" w:cstheme="majorHAnsi"/>
                <w:szCs w:val="18"/>
                <w:lang w:eastAsia="fr-CA"/>
              </w:rPr>
              <w:footnoteReference w:id="116"/>
            </w:r>
            <w:r w:rsidR="00DF22FA" w:rsidRPr="005D4B95">
              <w:rPr>
                <w:rFonts w:asciiTheme="majorHAnsi" w:hAnsiTheme="majorHAnsi" w:cstheme="majorHAnsi"/>
                <w:szCs w:val="18"/>
                <w:vertAlign w:val="superscript"/>
                <w:lang w:eastAsia="fr-CA"/>
              </w:rPr>
              <w:t>,</w:t>
            </w:r>
            <w:r w:rsidRPr="005D4B95">
              <w:rPr>
                <w:rStyle w:val="FootnoteReference"/>
                <w:rFonts w:asciiTheme="majorHAnsi" w:hAnsiTheme="majorHAnsi" w:cstheme="majorHAnsi"/>
                <w:szCs w:val="18"/>
                <w:lang w:eastAsia="fr-CA"/>
              </w:rPr>
              <w:footnoteReference w:id="117"/>
            </w:r>
            <w:r w:rsidRPr="005D4B95">
              <w:rPr>
                <w:rFonts w:asciiTheme="majorHAnsi" w:hAnsiTheme="majorHAnsi" w:cstheme="majorHAnsi"/>
                <w:szCs w:val="18"/>
                <w:lang w:eastAsia="fr-CA"/>
              </w:rPr>
              <w:t xml:space="preserve"> </w:t>
            </w:r>
          </w:p>
        </w:tc>
      </w:tr>
      <w:tr w:rsidR="00013985" w:rsidRPr="00C37D44" w14:paraId="15771B87" w14:textId="77777777" w:rsidTr="007F479B">
        <w:tc>
          <w:tcPr>
            <w:tcW w:w="649" w:type="pct"/>
            <w:tcBorders>
              <w:top w:val="single" w:sz="4" w:space="0" w:color="auto"/>
              <w:left w:val="nil"/>
              <w:bottom w:val="single" w:sz="4" w:space="0" w:color="auto"/>
              <w:right w:val="single" w:sz="4" w:space="0" w:color="auto"/>
            </w:tcBorders>
            <w:hideMark/>
          </w:tcPr>
          <w:p w14:paraId="33CA1A97" w14:textId="77777777" w:rsidR="00013985" w:rsidRPr="003C3093" w:rsidRDefault="00013985" w:rsidP="00013985">
            <w:pPr>
              <w:pStyle w:val="TableBodyText"/>
              <w:keepNext/>
              <w:spacing w:before="20" w:after="120" w:line="240" w:lineRule="auto"/>
              <w:rPr>
                <w:rFonts w:asciiTheme="majorHAnsi" w:hAnsiTheme="majorHAnsi" w:cstheme="majorHAnsi"/>
              </w:rPr>
            </w:pPr>
            <w:r>
              <w:rPr>
                <w:rFonts w:asciiTheme="majorHAnsi" w:hAnsiTheme="majorHAnsi" w:cstheme="majorHAnsi"/>
              </w:rPr>
              <w:lastRenderedPageBreak/>
              <w:t>Transportation s</w:t>
            </w:r>
            <w:r w:rsidRPr="003C3093">
              <w:rPr>
                <w:rFonts w:asciiTheme="majorHAnsi" w:hAnsiTheme="majorHAnsi" w:cstheme="majorHAnsi"/>
              </w:rPr>
              <w:t>ervice provider obligations</w:t>
            </w:r>
          </w:p>
        </w:tc>
        <w:tc>
          <w:tcPr>
            <w:tcW w:w="4351" w:type="pct"/>
            <w:tcBorders>
              <w:top w:val="single" w:sz="4" w:space="0" w:color="auto"/>
              <w:left w:val="single" w:sz="4" w:space="0" w:color="auto"/>
              <w:bottom w:val="single" w:sz="4" w:space="0" w:color="auto"/>
              <w:right w:val="nil"/>
            </w:tcBorders>
            <w:hideMark/>
          </w:tcPr>
          <w:p w14:paraId="6B6AD0AB" w14:textId="77777777" w:rsidR="00013985" w:rsidRPr="003C3093" w:rsidRDefault="00013985" w:rsidP="00013985">
            <w:pPr>
              <w:pStyle w:val="TableBodyText"/>
              <w:keepNext/>
              <w:spacing w:before="20" w:after="120" w:line="240" w:lineRule="auto"/>
              <w:rPr>
                <w:rFonts w:asciiTheme="majorHAnsi" w:hAnsiTheme="majorHAnsi" w:cstheme="majorHAnsi"/>
              </w:rPr>
            </w:pPr>
            <w:r w:rsidRPr="003C3093">
              <w:rPr>
                <w:rFonts w:asciiTheme="majorHAnsi" w:hAnsiTheme="majorHAnsi" w:cstheme="majorHAnsi"/>
                <w:b/>
              </w:rPr>
              <w:t>Part 24 facilities:</w:t>
            </w:r>
            <w:r>
              <w:rPr>
                <w:rFonts w:asciiTheme="majorHAnsi" w:hAnsiTheme="majorHAnsi" w:cstheme="majorHAnsi"/>
              </w:rPr>
              <w:t xml:space="preserve"> </w:t>
            </w:r>
            <w:r w:rsidRPr="003C3093">
              <w:rPr>
                <w:rFonts w:asciiTheme="majorHAnsi" w:hAnsiTheme="majorHAnsi" w:cstheme="majorHAnsi"/>
              </w:rPr>
              <w:t>Transportation se</w:t>
            </w:r>
            <w:r w:rsidRPr="003C3093">
              <w:t xml:space="preserve">rvice providers </w:t>
            </w:r>
            <w:r>
              <w:t xml:space="preserve">for Part 24 </w:t>
            </w:r>
            <w:r w:rsidRPr="003C3093">
              <w:t>facilities are required to prepare and publish</w:t>
            </w:r>
            <w:r w:rsidRPr="003C3093">
              <w:rPr>
                <w:rStyle w:val="FootnoteReference"/>
              </w:rPr>
              <w:footnoteReference w:id="118"/>
            </w:r>
            <w:r w:rsidRPr="003C3093">
              <w:t xml:space="preserve"> a standard OTSA for each facility they operate</w:t>
            </w:r>
            <w:r w:rsidRPr="003C3093">
              <w:rPr>
                <w:rStyle w:val="FootnoteReference"/>
              </w:rPr>
              <w:footnoteReference w:id="119"/>
            </w:r>
            <w:r w:rsidRPr="003C3093">
              <w:t xml:space="preserve"> </w:t>
            </w:r>
            <w:r>
              <w:t xml:space="preserve">that complies with the relevant provisions in the NGR and the Code </w:t>
            </w:r>
            <w:r w:rsidRPr="003C3093">
              <w:t>and, s</w:t>
            </w:r>
            <w:r w:rsidRPr="003C3093">
              <w:rPr>
                <w:lang w:eastAsia="fr-CA"/>
              </w:rPr>
              <w:t>ubject to some limitations, must offer to enter into such an agreement if requested to do so by a prospective user.</w:t>
            </w:r>
            <w:r>
              <w:rPr>
                <w:rStyle w:val="FootnoteReference"/>
                <w:lang w:eastAsia="fr-CA"/>
              </w:rPr>
              <w:footnoteReference w:id="120"/>
            </w:r>
            <w:r w:rsidRPr="003C3093">
              <w:rPr>
                <w:lang w:eastAsia="fr-CA"/>
              </w:rPr>
              <w:t xml:space="preserve"> </w:t>
            </w:r>
            <w:r>
              <w:rPr>
                <w:lang w:eastAsia="fr-CA"/>
              </w:rPr>
              <w:t>These service providers must also publish and keep up to date the contact details of the representative to whom a request for a standard OTSA can be sent and the information to be included with a request for a standard OTSA.</w:t>
            </w:r>
            <w:r>
              <w:rPr>
                <w:rStyle w:val="FootnoteReference"/>
                <w:lang w:eastAsia="fr-CA"/>
              </w:rPr>
              <w:footnoteReference w:id="121"/>
            </w:r>
          </w:p>
          <w:p w14:paraId="7BD42AB3" w14:textId="77777777" w:rsidR="00013985" w:rsidRPr="003C3093" w:rsidRDefault="00013985" w:rsidP="00013985">
            <w:pPr>
              <w:pStyle w:val="TableBodyText"/>
              <w:keepNext/>
              <w:spacing w:before="20" w:after="120" w:line="240" w:lineRule="auto"/>
              <w:rPr>
                <w:rFonts w:asciiTheme="majorHAnsi" w:hAnsiTheme="majorHAnsi" w:cstheme="majorHAnsi"/>
              </w:rPr>
            </w:pPr>
            <w:r w:rsidRPr="003C3093">
              <w:rPr>
                <w:b/>
              </w:rPr>
              <w:t xml:space="preserve">Conditionally exempt </w:t>
            </w:r>
            <w:r>
              <w:rPr>
                <w:b/>
              </w:rPr>
              <w:t>facilities</w:t>
            </w:r>
            <w:r w:rsidRPr="003C3093">
              <w:rPr>
                <w:b/>
              </w:rPr>
              <w:t>:</w:t>
            </w:r>
            <w:r>
              <w:t xml:space="preserve"> </w:t>
            </w:r>
            <w:r w:rsidRPr="003C3093">
              <w:t>Transportation se</w:t>
            </w:r>
            <w:r w:rsidRPr="003C3093">
              <w:rPr>
                <w:rFonts w:asciiTheme="majorHAnsi" w:hAnsiTheme="majorHAnsi" w:cstheme="majorHAnsi"/>
              </w:rPr>
              <w:t xml:space="preserve">rvice providers for conditionally exempt facilities must prepare a standard OTSA </w:t>
            </w:r>
            <w:r>
              <w:rPr>
                <w:rFonts w:asciiTheme="majorHAnsi" w:hAnsiTheme="majorHAnsi" w:cstheme="majorHAnsi"/>
              </w:rPr>
              <w:t xml:space="preserve">that complies with the NGR and the Code </w:t>
            </w:r>
            <w:r w:rsidRPr="003C3093">
              <w:rPr>
                <w:rFonts w:asciiTheme="majorHAnsi" w:hAnsiTheme="majorHAnsi" w:cstheme="majorHAnsi"/>
              </w:rPr>
              <w:t>and offer to enter into such an agreement if they receive an eligible request</w:t>
            </w:r>
            <w:r w:rsidRPr="003C3093">
              <w:rPr>
                <w:rStyle w:val="FootnoteReference"/>
                <w:rFonts w:asciiTheme="majorHAnsi" w:hAnsiTheme="majorHAnsi" w:cstheme="majorHAnsi"/>
              </w:rPr>
              <w:footnoteReference w:id="122"/>
            </w:r>
            <w:r w:rsidRPr="003C3093">
              <w:rPr>
                <w:rFonts w:asciiTheme="majorHAnsi" w:hAnsiTheme="majorHAnsi" w:cstheme="majorHAnsi"/>
              </w:rPr>
              <w:t xml:space="preserve"> from a prospective user.</w:t>
            </w:r>
            <w:r w:rsidRPr="003C3093">
              <w:rPr>
                <w:rStyle w:val="FootnoteReference"/>
                <w:rFonts w:asciiTheme="majorHAnsi" w:hAnsiTheme="majorHAnsi" w:cstheme="majorHAnsi"/>
              </w:rPr>
              <w:footnoteReference w:id="123"/>
            </w:r>
          </w:p>
        </w:tc>
      </w:tr>
      <w:tr w:rsidR="006031B9" w:rsidRPr="00C37D44" w14:paraId="0D0A5C11" w14:textId="77777777" w:rsidTr="00590352">
        <w:trPr>
          <w:cnfStyle w:val="000000010000" w:firstRow="0" w:lastRow="0" w:firstColumn="0" w:lastColumn="0" w:oddVBand="0" w:evenVBand="0" w:oddHBand="0" w:evenHBand="1" w:firstRowFirstColumn="0" w:firstRowLastColumn="0" w:lastRowFirstColumn="0" w:lastRowLastColumn="0"/>
        </w:trPr>
        <w:tc>
          <w:tcPr>
            <w:tcW w:w="649" w:type="pct"/>
            <w:tcBorders>
              <w:top w:val="single" w:sz="4" w:space="0" w:color="auto"/>
              <w:left w:val="nil"/>
              <w:bottom w:val="single" w:sz="4" w:space="0" w:color="auto"/>
              <w:right w:val="single" w:sz="4" w:space="0" w:color="auto"/>
            </w:tcBorders>
          </w:tcPr>
          <w:p w14:paraId="1567BF52" w14:textId="77777777" w:rsidR="006031B9" w:rsidRPr="00C37D44" w:rsidRDefault="006031B9" w:rsidP="003C3093">
            <w:pPr>
              <w:pStyle w:val="TableBodyText"/>
              <w:keepNext/>
              <w:spacing w:before="80" w:after="80" w:line="240" w:lineRule="auto"/>
              <w:rPr>
                <w:rFonts w:asciiTheme="majorHAnsi" w:hAnsiTheme="majorHAnsi" w:cstheme="majorHAnsi"/>
              </w:rPr>
            </w:pPr>
            <w:r w:rsidRPr="00C37D44">
              <w:rPr>
                <w:rFonts w:asciiTheme="majorHAnsi" w:hAnsiTheme="majorHAnsi" w:cstheme="majorHAnsi"/>
              </w:rPr>
              <w:t>Service provider costs</w:t>
            </w:r>
          </w:p>
        </w:tc>
        <w:tc>
          <w:tcPr>
            <w:tcW w:w="4351" w:type="pct"/>
            <w:tcBorders>
              <w:top w:val="single" w:sz="4" w:space="0" w:color="auto"/>
              <w:left w:val="single" w:sz="4" w:space="0" w:color="auto"/>
              <w:bottom w:val="single" w:sz="4" w:space="0" w:color="auto"/>
              <w:right w:val="nil"/>
            </w:tcBorders>
          </w:tcPr>
          <w:p w14:paraId="482365E2" w14:textId="77777777" w:rsidR="006031B9" w:rsidRPr="00C37D44" w:rsidRDefault="006031B9" w:rsidP="003C3093">
            <w:pPr>
              <w:pStyle w:val="TableBodyText"/>
              <w:keepNext/>
              <w:spacing w:before="80" w:after="80" w:line="240" w:lineRule="auto"/>
              <w:rPr>
                <w:rFonts w:asciiTheme="majorHAnsi" w:hAnsiTheme="majorHAnsi" w:cstheme="majorHAnsi"/>
              </w:rPr>
            </w:pPr>
            <w:r w:rsidRPr="00D30678">
              <w:rPr>
                <w:rFonts w:asciiTheme="majorHAnsi" w:hAnsiTheme="majorHAnsi" w:cstheme="majorHAnsi"/>
                <w:b/>
              </w:rPr>
              <w:t>Standardisation costs:</w:t>
            </w:r>
            <w:r w:rsidRPr="00F04A8E">
              <w:rPr>
                <w:rFonts w:asciiTheme="majorHAnsi" w:hAnsiTheme="majorHAnsi" w:cstheme="majorHAnsi"/>
              </w:rPr>
              <w:t xml:space="preserve"> </w:t>
            </w:r>
            <w:r w:rsidR="00DA16AB">
              <w:rPr>
                <w:rFonts w:asciiTheme="majorHAnsi" w:hAnsiTheme="majorHAnsi" w:cstheme="majorHAnsi"/>
              </w:rPr>
              <w:t>Transportation s</w:t>
            </w:r>
            <w:r w:rsidRPr="00C37D44">
              <w:rPr>
                <w:rFonts w:asciiTheme="majorHAnsi" w:hAnsiTheme="majorHAnsi" w:cstheme="majorHAnsi"/>
              </w:rPr>
              <w:t xml:space="preserve">ervice providers will have </w:t>
            </w:r>
            <w:r w:rsidR="003C3093">
              <w:rPr>
                <w:rFonts w:asciiTheme="majorHAnsi" w:hAnsiTheme="majorHAnsi" w:cstheme="majorHAnsi"/>
              </w:rPr>
              <w:t xml:space="preserve">an </w:t>
            </w:r>
            <w:r w:rsidRPr="00C37D44">
              <w:rPr>
                <w:rFonts w:asciiTheme="majorHAnsi" w:hAnsiTheme="majorHAnsi" w:cstheme="majorHAnsi"/>
              </w:rPr>
              <w:t xml:space="preserve">opportunity to recover the </w:t>
            </w:r>
            <w:r w:rsidR="003C3093">
              <w:rPr>
                <w:rFonts w:asciiTheme="majorHAnsi" w:hAnsiTheme="majorHAnsi" w:cstheme="majorHAnsi"/>
              </w:rPr>
              <w:t>reasonable incremental</w:t>
            </w:r>
            <w:r w:rsidRPr="00C37D44">
              <w:rPr>
                <w:rFonts w:asciiTheme="majorHAnsi" w:hAnsiTheme="majorHAnsi" w:cstheme="majorHAnsi"/>
              </w:rPr>
              <w:t xml:space="preserve"> costs </w:t>
            </w:r>
            <w:r>
              <w:rPr>
                <w:rFonts w:asciiTheme="majorHAnsi" w:hAnsiTheme="majorHAnsi" w:cstheme="majorHAnsi"/>
              </w:rPr>
              <w:t xml:space="preserve">incurred exclusively in </w:t>
            </w:r>
            <w:r w:rsidRPr="00C37D44">
              <w:rPr>
                <w:rFonts w:asciiTheme="majorHAnsi" w:hAnsiTheme="majorHAnsi" w:cstheme="majorHAnsi"/>
              </w:rPr>
              <w:t xml:space="preserve">establishing and maintaining standard OTSAs and the systems and processes required to comply with obligations in the NGR and </w:t>
            </w:r>
            <w:r w:rsidR="00201550">
              <w:rPr>
                <w:rFonts w:asciiTheme="majorHAnsi" w:hAnsiTheme="majorHAnsi" w:cstheme="majorHAnsi"/>
              </w:rPr>
              <w:t>CT&amp;A Procedures</w:t>
            </w:r>
            <w:r w:rsidR="003C3093">
              <w:rPr>
                <w:rFonts w:asciiTheme="majorHAnsi" w:hAnsiTheme="majorHAnsi" w:cstheme="majorHAnsi"/>
              </w:rPr>
              <w:t xml:space="preserve"> (or a proportionate share of any incremental costs reasonably attributable to maintaining these arrangements)</w:t>
            </w:r>
            <w:r w:rsidRPr="00C37D44">
              <w:rPr>
                <w:rFonts w:asciiTheme="majorHAnsi" w:hAnsiTheme="majorHAnsi" w:cstheme="majorHAnsi"/>
              </w:rPr>
              <w:t xml:space="preserve">, subject to the caveat </w:t>
            </w:r>
            <w:r>
              <w:rPr>
                <w:rFonts w:asciiTheme="majorHAnsi" w:hAnsiTheme="majorHAnsi" w:cstheme="majorHAnsi"/>
              </w:rPr>
              <w:t xml:space="preserve">that </w:t>
            </w:r>
            <w:r w:rsidRPr="00C37D44">
              <w:rPr>
                <w:rFonts w:asciiTheme="majorHAnsi" w:hAnsiTheme="majorHAnsi" w:cstheme="majorHAnsi"/>
              </w:rPr>
              <w:t>the costs are only recovered once, and auction revenue is treated as a contribution to cost recovery.</w:t>
            </w:r>
            <w:r w:rsidR="003C3093">
              <w:rPr>
                <w:rStyle w:val="FootnoteReference"/>
                <w:rFonts w:asciiTheme="majorHAnsi" w:hAnsiTheme="majorHAnsi" w:cstheme="majorHAnsi"/>
              </w:rPr>
              <w:footnoteReference w:id="124"/>
            </w:r>
            <w:r w:rsidRPr="00C37D44">
              <w:rPr>
                <w:rFonts w:asciiTheme="majorHAnsi" w:hAnsiTheme="majorHAnsi" w:cstheme="majorHAnsi"/>
              </w:rPr>
              <w:t xml:space="preserve"> </w:t>
            </w:r>
          </w:p>
          <w:p w14:paraId="110878AE" w14:textId="77777777" w:rsidR="006031B9" w:rsidRPr="00C37D44" w:rsidRDefault="006031B9" w:rsidP="003C3093">
            <w:pPr>
              <w:pStyle w:val="TableBodyText"/>
              <w:keepNext/>
              <w:spacing w:before="80" w:after="80" w:line="240" w:lineRule="auto"/>
              <w:rPr>
                <w:rFonts w:asciiTheme="majorHAnsi" w:hAnsiTheme="majorHAnsi" w:cstheme="majorHAnsi"/>
              </w:rPr>
            </w:pPr>
            <w:r w:rsidRPr="00C37D44">
              <w:rPr>
                <w:rFonts w:asciiTheme="majorHAnsi" w:hAnsiTheme="majorHAnsi" w:cstheme="majorHAnsi"/>
                <w:b/>
              </w:rPr>
              <w:t>Standardisation charges</w:t>
            </w:r>
            <w:r w:rsidRPr="00C37D44">
              <w:rPr>
                <w:rFonts w:asciiTheme="majorHAnsi" w:hAnsiTheme="majorHAnsi" w:cstheme="majorHAnsi"/>
              </w:rPr>
              <w:t xml:space="preserve">: The charges levied by </w:t>
            </w:r>
            <w:r w:rsidR="00DA16AB">
              <w:rPr>
                <w:rFonts w:asciiTheme="majorHAnsi" w:hAnsiTheme="majorHAnsi" w:cstheme="majorHAnsi"/>
              </w:rPr>
              <w:t xml:space="preserve">transportation </w:t>
            </w:r>
            <w:r w:rsidRPr="00C37D44">
              <w:rPr>
                <w:rFonts w:asciiTheme="majorHAnsi" w:hAnsiTheme="majorHAnsi" w:cstheme="majorHAnsi"/>
              </w:rPr>
              <w:t>service providers must: in so far as practicable reflect the outcomes of a workably competitive market; provide for the allocation of costs among users in a reasonable manner; and provide for the recovery of costs over time in a manner that promotes efficient trade in, and use of, capacity.</w:t>
            </w:r>
            <w:r w:rsidR="003C3093">
              <w:rPr>
                <w:rStyle w:val="FootnoteReference"/>
                <w:rFonts w:asciiTheme="majorHAnsi" w:hAnsiTheme="majorHAnsi" w:cstheme="majorHAnsi"/>
              </w:rPr>
              <w:footnoteReference w:id="125"/>
            </w:r>
          </w:p>
        </w:tc>
      </w:tr>
      <w:tr w:rsidR="006031B9" w:rsidRPr="00C37D44" w14:paraId="08FB9DF2" w14:textId="77777777" w:rsidTr="00590352">
        <w:tc>
          <w:tcPr>
            <w:tcW w:w="649" w:type="pct"/>
            <w:tcBorders>
              <w:top w:val="single" w:sz="4" w:space="0" w:color="auto"/>
              <w:left w:val="nil"/>
              <w:bottom w:val="single" w:sz="4" w:space="0" w:color="auto"/>
              <w:right w:val="single" w:sz="4" w:space="0" w:color="auto"/>
            </w:tcBorders>
            <w:shd w:val="clear" w:color="auto" w:fill="auto"/>
          </w:tcPr>
          <w:p w14:paraId="617ABC22" w14:textId="77777777" w:rsidR="006031B9" w:rsidRPr="000935BE" w:rsidRDefault="006031B9" w:rsidP="003C3093">
            <w:pPr>
              <w:pStyle w:val="TableBodyText"/>
              <w:spacing w:before="80" w:after="80" w:line="240" w:lineRule="auto"/>
              <w:rPr>
                <w:rFonts w:asciiTheme="majorHAnsi" w:hAnsiTheme="majorHAnsi" w:cstheme="majorHAnsi"/>
              </w:rPr>
            </w:pPr>
            <w:r w:rsidRPr="000935BE">
              <w:rPr>
                <w:rFonts w:asciiTheme="majorHAnsi" w:hAnsiTheme="majorHAnsi" w:cstheme="majorHAnsi"/>
              </w:rPr>
              <w:t>Compliance monitoring for standard OTSAs and standardisation costs/charges</w:t>
            </w:r>
          </w:p>
        </w:tc>
        <w:tc>
          <w:tcPr>
            <w:tcW w:w="4351" w:type="pct"/>
            <w:tcBorders>
              <w:top w:val="single" w:sz="4" w:space="0" w:color="auto"/>
              <w:left w:val="single" w:sz="4" w:space="0" w:color="auto"/>
              <w:bottom w:val="single" w:sz="4" w:space="0" w:color="auto"/>
              <w:right w:val="nil"/>
            </w:tcBorders>
            <w:shd w:val="clear" w:color="auto" w:fill="auto"/>
          </w:tcPr>
          <w:p w14:paraId="3C905AE3" w14:textId="77777777" w:rsidR="006031B9" w:rsidRPr="000935BE" w:rsidRDefault="006031B9" w:rsidP="003C3093">
            <w:pPr>
              <w:pStyle w:val="TableBodyText"/>
              <w:spacing w:before="80" w:after="80" w:line="240" w:lineRule="auto"/>
              <w:rPr>
                <w:rFonts w:asciiTheme="majorHAnsi" w:hAnsiTheme="majorHAnsi" w:cstheme="majorHAnsi"/>
              </w:rPr>
            </w:pPr>
            <w:r w:rsidRPr="000935BE">
              <w:rPr>
                <w:rFonts w:asciiTheme="majorHAnsi" w:hAnsiTheme="majorHAnsi" w:cstheme="majorHAnsi"/>
              </w:rPr>
              <w:t xml:space="preserve">The AER </w:t>
            </w:r>
            <w:r w:rsidR="00EF06D9">
              <w:rPr>
                <w:rFonts w:asciiTheme="majorHAnsi" w:hAnsiTheme="majorHAnsi" w:cstheme="majorHAnsi"/>
              </w:rPr>
              <w:t xml:space="preserve">must </w:t>
            </w:r>
            <w:r w:rsidRPr="000935BE">
              <w:rPr>
                <w:rFonts w:asciiTheme="majorHAnsi" w:hAnsiTheme="majorHAnsi" w:cstheme="majorHAnsi"/>
              </w:rPr>
              <w:t xml:space="preserve">conduct a review of the compliance of all </w:t>
            </w:r>
            <w:r w:rsidR="00DA16AB">
              <w:rPr>
                <w:rFonts w:asciiTheme="majorHAnsi" w:hAnsiTheme="majorHAnsi" w:cstheme="majorHAnsi"/>
              </w:rPr>
              <w:t xml:space="preserve">transportation </w:t>
            </w:r>
            <w:r w:rsidRPr="000935BE">
              <w:rPr>
                <w:rFonts w:asciiTheme="majorHAnsi" w:hAnsiTheme="majorHAnsi" w:cstheme="majorHAnsi"/>
              </w:rPr>
              <w:t>service providers’ standard OTSAs and standardisation costs/charges with the NGR and Code within the first 12 months of the capacity trading platform and auction being implemented.</w:t>
            </w:r>
            <w:r w:rsidR="003C3093">
              <w:rPr>
                <w:rStyle w:val="FootnoteReference"/>
                <w:rFonts w:asciiTheme="majorHAnsi" w:hAnsiTheme="majorHAnsi" w:cstheme="majorHAnsi"/>
              </w:rPr>
              <w:footnoteReference w:id="126"/>
            </w:r>
            <w:r w:rsidRPr="000935BE">
              <w:rPr>
                <w:rFonts w:asciiTheme="majorHAnsi" w:hAnsiTheme="majorHAnsi" w:cstheme="majorHAnsi"/>
              </w:rPr>
              <w:t xml:space="preserve"> </w:t>
            </w:r>
            <w:r w:rsidR="003C3093">
              <w:rPr>
                <w:rFonts w:asciiTheme="majorHAnsi" w:hAnsiTheme="majorHAnsi" w:cstheme="majorHAnsi"/>
              </w:rPr>
              <w:t xml:space="preserve"> </w:t>
            </w:r>
            <w:r w:rsidRPr="000935BE">
              <w:rPr>
                <w:rFonts w:asciiTheme="majorHAnsi" w:hAnsiTheme="majorHAnsi" w:cstheme="majorHAnsi"/>
              </w:rPr>
              <w:t xml:space="preserve">The AER also </w:t>
            </w:r>
            <w:r w:rsidR="00EF06D9">
              <w:rPr>
                <w:rFonts w:asciiTheme="majorHAnsi" w:hAnsiTheme="majorHAnsi" w:cstheme="majorHAnsi"/>
              </w:rPr>
              <w:t xml:space="preserve">has </w:t>
            </w:r>
            <w:r w:rsidRPr="000935BE">
              <w:rPr>
                <w:rFonts w:asciiTheme="majorHAnsi" w:hAnsiTheme="majorHAnsi" w:cstheme="majorHAnsi"/>
              </w:rPr>
              <w:t>an ongoing power to monitor the compliance of standard OTSAs and the standardisation charges specified in these agreements</w:t>
            </w:r>
            <w:r>
              <w:rPr>
                <w:rFonts w:asciiTheme="majorHAnsi" w:hAnsiTheme="majorHAnsi" w:cstheme="majorHAnsi"/>
              </w:rPr>
              <w:t xml:space="preserve"> and may review those agreements or charges </w:t>
            </w:r>
            <w:r w:rsidRPr="000935BE">
              <w:rPr>
                <w:rFonts w:asciiTheme="majorHAnsi" w:hAnsiTheme="majorHAnsi" w:cstheme="majorHAnsi"/>
              </w:rPr>
              <w:t>either of its own volition or in response to a request by a user. If an OTSA or the charges are found not to comply with the Code or NGR, the AER may require amendments.</w:t>
            </w:r>
            <w:r w:rsidR="003C3093">
              <w:rPr>
                <w:rStyle w:val="FootnoteReference"/>
                <w:rFonts w:asciiTheme="majorHAnsi" w:hAnsiTheme="majorHAnsi" w:cstheme="majorHAnsi"/>
              </w:rPr>
              <w:footnoteReference w:id="127"/>
            </w:r>
          </w:p>
        </w:tc>
      </w:tr>
      <w:tr w:rsidR="00013985" w:rsidRPr="00C37D44" w14:paraId="28866FB4" w14:textId="77777777" w:rsidTr="007F479B">
        <w:trPr>
          <w:cnfStyle w:val="000000010000" w:firstRow="0" w:lastRow="0" w:firstColumn="0" w:lastColumn="0" w:oddVBand="0" w:evenVBand="0" w:oddHBand="0" w:evenHBand="1" w:firstRowFirstColumn="0" w:firstRowLastColumn="0" w:lastRowFirstColumn="0" w:lastRowLastColumn="0"/>
          <w:trHeight w:val="1406"/>
        </w:trPr>
        <w:tc>
          <w:tcPr>
            <w:tcW w:w="649" w:type="pct"/>
            <w:tcBorders>
              <w:top w:val="single" w:sz="4" w:space="0" w:color="auto"/>
              <w:left w:val="nil"/>
              <w:bottom w:val="single" w:sz="4" w:space="0" w:color="auto"/>
              <w:right w:val="single" w:sz="4" w:space="0" w:color="auto"/>
            </w:tcBorders>
          </w:tcPr>
          <w:p w14:paraId="37E6FA79" w14:textId="77777777" w:rsidR="00013985" w:rsidRPr="0064242F" w:rsidRDefault="00013985" w:rsidP="003C3093">
            <w:pPr>
              <w:pStyle w:val="TableBodyText"/>
              <w:spacing w:before="80" w:after="80" w:line="240" w:lineRule="auto"/>
              <w:rPr>
                <w:rFonts w:asciiTheme="majorHAnsi" w:hAnsiTheme="majorHAnsi" w:cstheme="majorHAnsi"/>
              </w:rPr>
            </w:pPr>
            <w:r w:rsidRPr="0064242F">
              <w:rPr>
                <w:rFonts w:asciiTheme="majorHAnsi" w:hAnsiTheme="majorHAnsi" w:cstheme="majorHAnsi"/>
              </w:rPr>
              <w:t>Operational Transportation Service Code (Code)</w:t>
            </w:r>
            <w:r>
              <w:rPr>
                <w:rFonts w:asciiTheme="majorHAnsi" w:hAnsiTheme="majorHAnsi" w:cstheme="majorHAnsi"/>
              </w:rPr>
              <w:t xml:space="preserve"> content</w:t>
            </w:r>
          </w:p>
        </w:tc>
        <w:tc>
          <w:tcPr>
            <w:tcW w:w="4351" w:type="pct"/>
            <w:tcBorders>
              <w:top w:val="single" w:sz="4" w:space="0" w:color="auto"/>
              <w:left w:val="single" w:sz="4" w:space="0" w:color="auto"/>
              <w:right w:val="nil"/>
            </w:tcBorders>
          </w:tcPr>
          <w:p w14:paraId="3323B838" w14:textId="77777777" w:rsidR="00013985" w:rsidRDefault="00013985" w:rsidP="00E41D4C">
            <w:pPr>
              <w:pStyle w:val="TableBullet1"/>
              <w:numPr>
                <w:ilvl w:val="0"/>
                <w:numId w:val="0"/>
              </w:numPr>
              <w:spacing w:before="80" w:after="80" w:line="240" w:lineRule="auto"/>
              <w:ind w:left="85"/>
              <w:rPr>
                <w:rFonts w:asciiTheme="majorHAnsi" w:hAnsiTheme="majorHAnsi" w:cstheme="majorHAnsi"/>
                <w:szCs w:val="18"/>
              </w:rPr>
            </w:pPr>
            <w:r w:rsidRPr="0064242F">
              <w:rPr>
                <w:rFonts w:asciiTheme="majorHAnsi" w:hAnsiTheme="majorHAnsi" w:cstheme="majorHAnsi"/>
                <w:szCs w:val="18"/>
              </w:rPr>
              <w:t xml:space="preserve">The standard OTSA prepared by a </w:t>
            </w:r>
            <w:r w:rsidRPr="00DA16AB">
              <w:rPr>
                <w:szCs w:val="18"/>
              </w:rPr>
              <w:t xml:space="preserve">transportation </w:t>
            </w:r>
            <w:r w:rsidRPr="0064242F">
              <w:rPr>
                <w:rFonts w:asciiTheme="majorHAnsi" w:hAnsiTheme="majorHAnsi" w:cstheme="majorHAnsi"/>
                <w:szCs w:val="18"/>
              </w:rPr>
              <w:t xml:space="preserve">service provider must comply with the relevant provisions in the NGR and the Code. </w:t>
            </w:r>
          </w:p>
          <w:p w14:paraId="7C5F0206" w14:textId="77777777" w:rsidR="00013985" w:rsidRPr="0064242F" w:rsidRDefault="00013985" w:rsidP="00E41D4C">
            <w:pPr>
              <w:pStyle w:val="TableBullet1"/>
              <w:numPr>
                <w:ilvl w:val="0"/>
                <w:numId w:val="0"/>
              </w:numPr>
              <w:spacing w:before="80" w:after="80" w:line="240" w:lineRule="auto"/>
              <w:ind w:left="85"/>
              <w:rPr>
                <w:rFonts w:asciiTheme="majorHAnsi" w:hAnsiTheme="majorHAnsi" w:cstheme="majorHAnsi"/>
                <w:szCs w:val="18"/>
              </w:rPr>
            </w:pPr>
            <w:r w:rsidRPr="0064242F">
              <w:rPr>
                <w:rFonts w:asciiTheme="majorHAnsi" w:hAnsiTheme="majorHAnsi" w:cstheme="majorHAnsi"/>
                <w:szCs w:val="18"/>
              </w:rPr>
              <w:t>The Code contain</w:t>
            </w:r>
            <w:r>
              <w:rPr>
                <w:rFonts w:asciiTheme="majorHAnsi" w:hAnsiTheme="majorHAnsi" w:cstheme="majorHAnsi"/>
                <w:szCs w:val="18"/>
              </w:rPr>
              <w:t>s</w:t>
            </w:r>
            <w:r w:rsidRPr="0064242F">
              <w:rPr>
                <w:rFonts w:asciiTheme="majorHAnsi" w:hAnsiTheme="majorHAnsi" w:cstheme="majorHAnsi"/>
                <w:szCs w:val="18"/>
              </w:rPr>
              <w:t>:</w:t>
            </w:r>
            <w:r>
              <w:rPr>
                <w:rStyle w:val="FootnoteReference"/>
                <w:rFonts w:asciiTheme="majorHAnsi" w:hAnsiTheme="majorHAnsi" w:cstheme="majorHAnsi"/>
                <w:szCs w:val="18"/>
              </w:rPr>
              <w:footnoteReference w:id="128"/>
            </w:r>
            <w:r w:rsidRPr="0064242F">
              <w:rPr>
                <w:rFonts w:asciiTheme="majorHAnsi" w:hAnsiTheme="majorHAnsi" w:cstheme="majorHAnsi"/>
                <w:szCs w:val="18"/>
              </w:rPr>
              <w:t xml:space="preserve"> </w:t>
            </w:r>
          </w:p>
          <w:p w14:paraId="63DD9D88" w14:textId="77777777" w:rsidR="00013985" w:rsidRPr="0064242F" w:rsidRDefault="00013985" w:rsidP="003C3093">
            <w:pPr>
              <w:pStyle w:val="TableBullet1"/>
              <w:numPr>
                <w:ilvl w:val="0"/>
                <w:numId w:val="27"/>
              </w:numPr>
              <w:spacing w:before="80" w:after="80" w:line="240" w:lineRule="auto"/>
              <w:rPr>
                <w:rFonts w:asciiTheme="majorHAnsi" w:hAnsiTheme="majorHAnsi" w:cstheme="majorHAnsi"/>
                <w:lang w:eastAsia="fr-CA"/>
              </w:rPr>
            </w:pPr>
            <w:r w:rsidRPr="0064242F">
              <w:rPr>
                <w:rFonts w:asciiTheme="majorHAnsi" w:hAnsiTheme="majorHAnsi" w:cstheme="majorHAnsi"/>
                <w:lang w:eastAsia="fr-CA"/>
              </w:rPr>
              <w:t xml:space="preserve">a description of the standard operational transportation services and the terms and conditions for the provision and use of those services; </w:t>
            </w:r>
          </w:p>
          <w:p w14:paraId="47F16643" w14:textId="77777777" w:rsidR="00013985" w:rsidRPr="0064242F" w:rsidRDefault="00013985" w:rsidP="003C3093">
            <w:pPr>
              <w:pStyle w:val="TableBullet1"/>
              <w:numPr>
                <w:ilvl w:val="0"/>
                <w:numId w:val="27"/>
              </w:numPr>
              <w:spacing w:before="80" w:after="80" w:line="240" w:lineRule="auto"/>
              <w:rPr>
                <w:rFonts w:asciiTheme="majorHAnsi" w:hAnsiTheme="majorHAnsi" w:cstheme="majorHAnsi"/>
                <w:lang w:eastAsia="fr-CA"/>
              </w:rPr>
            </w:pPr>
            <w:r w:rsidRPr="0064242F">
              <w:rPr>
                <w:rFonts w:asciiTheme="majorHAnsi" w:hAnsiTheme="majorHAnsi" w:cstheme="majorHAnsi"/>
                <w:lang w:eastAsia="fr-CA"/>
              </w:rPr>
              <w:t xml:space="preserve">a description of, and requirements for, facility specific terms; and </w:t>
            </w:r>
          </w:p>
          <w:p w14:paraId="12ECFBD9" w14:textId="77777777" w:rsidR="00013985" w:rsidRPr="00013985" w:rsidRDefault="00013985" w:rsidP="00013985">
            <w:pPr>
              <w:pStyle w:val="TableBullet1"/>
              <w:numPr>
                <w:ilvl w:val="0"/>
                <w:numId w:val="27"/>
              </w:numPr>
              <w:spacing w:before="80" w:after="80" w:line="240" w:lineRule="auto"/>
              <w:rPr>
                <w:rFonts w:asciiTheme="majorHAnsi" w:hAnsiTheme="majorHAnsi" w:cstheme="majorHAnsi"/>
                <w:lang w:eastAsia="fr-CA"/>
              </w:rPr>
            </w:pPr>
            <w:r w:rsidRPr="0064242F">
              <w:rPr>
                <w:rFonts w:asciiTheme="majorHAnsi" w:hAnsiTheme="majorHAnsi" w:cstheme="majorHAnsi"/>
                <w:lang w:eastAsia="fr-CA"/>
              </w:rPr>
              <w:t xml:space="preserve">a form of agreement for execution by the parties, which will automatically incorporate any changes that are made to the standard terms and a facility’s facility specific terms. </w:t>
            </w:r>
            <w:r w:rsidRPr="00EF06D9">
              <w:rPr>
                <w:rFonts w:asciiTheme="majorHAnsi" w:hAnsiTheme="majorHAnsi" w:cstheme="majorHAnsi"/>
              </w:rPr>
              <w:t xml:space="preserve"> </w:t>
            </w:r>
          </w:p>
        </w:tc>
      </w:tr>
      <w:tr w:rsidR="00013985" w:rsidRPr="00C37D44" w14:paraId="0916E2BE" w14:textId="77777777" w:rsidTr="007F479B">
        <w:trPr>
          <w:trHeight w:val="1405"/>
        </w:trPr>
        <w:tc>
          <w:tcPr>
            <w:tcW w:w="649" w:type="pct"/>
            <w:tcBorders>
              <w:top w:val="single" w:sz="4" w:space="0" w:color="auto"/>
              <w:left w:val="nil"/>
              <w:bottom w:val="single" w:sz="4" w:space="0" w:color="auto"/>
              <w:right w:val="single" w:sz="4" w:space="0" w:color="auto"/>
            </w:tcBorders>
            <w:shd w:val="clear" w:color="auto" w:fill="E1E2E7" w:themeFill="background2"/>
          </w:tcPr>
          <w:p w14:paraId="487804E3" w14:textId="77777777" w:rsidR="00013985" w:rsidRPr="0064242F" w:rsidRDefault="00013985" w:rsidP="003C3093">
            <w:pPr>
              <w:pStyle w:val="TableBodyText"/>
              <w:spacing w:before="80" w:after="80" w:line="240" w:lineRule="auto"/>
              <w:rPr>
                <w:rFonts w:asciiTheme="majorHAnsi" w:hAnsiTheme="majorHAnsi" w:cstheme="majorHAnsi"/>
              </w:rPr>
            </w:pPr>
            <w:r>
              <w:rPr>
                <w:rFonts w:asciiTheme="majorHAnsi" w:hAnsiTheme="majorHAnsi" w:cstheme="majorHAnsi"/>
              </w:rPr>
              <w:lastRenderedPageBreak/>
              <w:t xml:space="preserve">Code </w:t>
            </w:r>
            <w:r w:rsidR="00977713">
              <w:rPr>
                <w:rFonts w:asciiTheme="majorHAnsi" w:hAnsiTheme="majorHAnsi" w:cstheme="majorHAnsi"/>
              </w:rPr>
              <w:t>governance</w:t>
            </w:r>
            <w:r>
              <w:rPr>
                <w:rFonts w:asciiTheme="majorHAnsi" w:hAnsiTheme="majorHAnsi" w:cstheme="majorHAnsi"/>
              </w:rPr>
              <w:t xml:space="preserve"> </w:t>
            </w:r>
          </w:p>
        </w:tc>
        <w:tc>
          <w:tcPr>
            <w:tcW w:w="4351" w:type="pct"/>
            <w:tcBorders>
              <w:left w:val="single" w:sz="4" w:space="0" w:color="auto"/>
              <w:bottom w:val="single" w:sz="4" w:space="0" w:color="auto"/>
              <w:right w:val="nil"/>
            </w:tcBorders>
            <w:shd w:val="clear" w:color="auto" w:fill="E1E2E7" w:themeFill="background2"/>
          </w:tcPr>
          <w:p w14:paraId="3F6050A8" w14:textId="77777777" w:rsidR="00013985" w:rsidRDefault="00013985" w:rsidP="00013985">
            <w:pPr>
              <w:pStyle w:val="TableBullet1"/>
              <w:numPr>
                <w:ilvl w:val="0"/>
                <w:numId w:val="0"/>
              </w:numPr>
              <w:spacing w:before="80" w:after="80" w:line="240" w:lineRule="auto"/>
              <w:ind w:left="85"/>
              <w:rPr>
                <w:lang w:eastAsia="fr-CA"/>
              </w:rPr>
            </w:pPr>
            <w:r w:rsidRPr="00D30678">
              <w:rPr>
                <w:rFonts w:asciiTheme="majorHAnsi" w:hAnsiTheme="majorHAnsi" w:cstheme="majorHAnsi"/>
                <w:szCs w:val="18"/>
              </w:rPr>
              <w:t xml:space="preserve">The Code </w:t>
            </w:r>
            <w:r>
              <w:rPr>
                <w:rFonts w:asciiTheme="majorHAnsi" w:hAnsiTheme="majorHAnsi" w:cstheme="majorHAnsi"/>
                <w:szCs w:val="18"/>
              </w:rPr>
              <w:t xml:space="preserve">is </w:t>
            </w:r>
            <w:r w:rsidRPr="00D30678">
              <w:rPr>
                <w:rFonts w:asciiTheme="majorHAnsi" w:hAnsiTheme="majorHAnsi" w:cstheme="majorHAnsi"/>
                <w:szCs w:val="18"/>
              </w:rPr>
              <w:t xml:space="preserve">subject to </w:t>
            </w:r>
            <w:r>
              <w:rPr>
                <w:rFonts w:asciiTheme="majorHAnsi" w:hAnsiTheme="majorHAnsi" w:cstheme="majorHAnsi"/>
                <w:szCs w:val="18"/>
              </w:rPr>
              <w:t>the</w:t>
            </w:r>
            <w:r w:rsidRPr="00D30678">
              <w:rPr>
                <w:rFonts w:asciiTheme="majorHAnsi" w:hAnsiTheme="majorHAnsi" w:cstheme="majorHAnsi"/>
                <w:szCs w:val="18"/>
              </w:rPr>
              <w:t xml:space="preserve"> hybrid governance model</w:t>
            </w:r>
            <w:r>
              <w:rPr>
                <w:rFonts w:asciiTheme="majorHAnsi" w:hAnsiTheme="majorHAnsi" w:cstheme="majorHAnsi"/>
                <w:szCs w:val="18"/>
              </w:rPr>
              <w:t xml:space="preserve"> set out in Chapter 3.</w:t>
            </w:r>
            <w:r>
              <w:rPr>
                <w:rStyle w:val="FootnoteReference"/>
                <w:rFonts w:asciiTheme="majorHAnsi" w:hAnsiTheme="majorHAnsi" w:cstheme="majorHAnsi"/>
                <w:szCs w:val="18"/>
              </w:rPr>
              <w:footnoteReference w:id="129"/>
            </w:r>
            <w:r>
              <w:rPr>
                <w:rFonts w:asciiTheme="majorHAnsi" w:hAnsiTheme="majorHAnsi" w:cstheme="majorHAnsi"/>
                <w:szCs w:val="18"/>
              </w:rPr>
              <w:t xml:space="preserve"> Under this governance model, the </w:t>
            </w:r>
            <w:r w:rsidRPr="00C37D44">
              <w:rPr>
                <w:lang w:eastAsia="fr-CA"/>
              </w:rPr>
              <w:t xml:space="preserve">AER </w:t>
            </w:r>
            <w:r>
              <w:rPr>
                <w:lang w:eastAsia="fr-CA"/>
              </w:rPr>
              <w:t xml:space="preserve">has the power to </w:t>
            </w:r>
            <w:r w:rsidRPr="00C37D44">
              <w:rPr>
                <w:lang w:eastAsia="fr-CA"/>
              </w:rPr>
              <w:t xml:space="preserve">approve, reject </w:t>
            </w:r>
            <w:r>
              <w:rPr>
                <w:lang w:eastAsia="fr-CA"/>
              </w:rPr>
              <w:t xml:space="preserve">or </w:t>
            </w:r>
            <w:r w:rsidRPr="00C37D44">
              <w:rPr>
                <w:lang w:eastAsia="fr-CA"/>
              </w:rPr>
              <w:t xml:space="preserve">remit </w:t>
            </w:r>
            <w:r>
              <w:rPr>
                <w:lang w:eastAsia="fr-CA"/>
              </w:rPr>
              <w:t xml:space="preserve">a </w:t>
            </w:r>
            <w:r w:rsidRPr="00C37D44">
              <w:rPr>
                <w:lang w:eastAsia="fr-CA"/>
              </w:rPr>
              <w:t xml:space="preserve">proposed change. </w:t>
            </w:r>
            <w:r>
              <w:rPr>
                <w:lang w:eastAsia="fr-CA"/>
              </w:rPr>
              <w:t xml:space="preserve">It </w:t>
            </w:r>
            <w:r w:rsidRPr="00C37D44">
              <w:rPr>
                <w:lang w:eastAsia="fr-CA"/>
              </w:rPr>
              <w:t xml:space="preserve">also </w:t>
            </w:r>
            <w:r>
              <w:rPr>
                <w:lang w:eastAsia="fr-CA"/>
              </w:rPr>
              <w:t xml:space="preserve">has </w:t>
            </w:r>
            <w:r w:rsidRPr="00C37D44">
              <w:rPr>
                <w:lang w:eastAsia="fr-CA"/>
              </w:rPr>
              <w:t>the power to amend the Code on its own initiative</w:t>
            </w:r>
            <w:r>
              <w:rPr>
                <w:lang w:eastAsia="fr-CA"/>
              </w:rPr>
              <w:t>, but b</w:t>
            </w:r>
            <w:r w:rsidRPr="00C37D44">
              <w:rPr>
                <w:lang w:eastAsia="fr-CA"/>
              </w:rPr>
              <w:t>efore doing so</w:t>
            </w:r>
            <w:r>
              <w:rPr>
                <w:lang w:eastAsia="fr-CA"/>
              </w:rPr>
              <w:t xml:space="preserve"> </w:t>
            </w:r>
            <w:r w:rsidRPr="00C37D44">
              <w:rPr>
                <w:lang w:eastAsia="fr-CA"/>
              </w:rPr>
              <w:t>must request advice from the Panel and AEMO</w:t>
            </w:r>
            <w:r>
              <w:rPr>
                <w:lang w:eastAsia="fr-CA"/>
              </w:rPr>
              <w:t>,</w:t>
            </w:r>
            <w:r w:rsidRPr="00C37D44">
              <w:rPr>
                <w:lang w:eastAsia="fr-CA"/>
              </w:rPr>
              <w:t xml:space="preserve"> and consult with interested parties</w:t>
            </w:r>
            <w:r>
              <w:rPr>
                <w:lang w:eastAsia="fr-CA"/>
              </w:rPr>
              <w:t>.</w:t>
            </w:r>
            <w:r>
              <w:rPr>
                <w:rStyle w:val="FootnoteReference"/>
                <w:rFonts w:asciiTheme="majorHAnsi" w:hAnsiTheme="majorHAnsi" w:cstheme="majorHAnsi"/>
                <w:lang w:eastAsia="fr-CA"/>
              </w:rPr>
              <w:footnoteReference w:id="130"/>
            </w:r>
            <w:r>
              <w:rPr>
                <w:lang w:eastAsia="fr-CA"/>
              </w:rPr>
              <w:t xml:space="preserve"> The AER may also seek advice from the AEMC and industry or consumer representatives. </w:t>
            </w:r>
            <w:r w:rsidRPr="00C37D44">
              <w:rPr>
                <w:lang w:eastAsia="fr-CA"/>
              </w:rPr>
              <w:t xml:space="preserve">In deciding whether to </w:t>
            </w:r>
            <w:r>
              <w:rPr>
                <w:lang w:eastAsia="fr-CA"/>
              </w:rPr>
              <w:t>amend the Code</w:t>
            </w:r>
            <w:r w:rsidRPr="00C37D44">
              <w:rPr>
                <w:lang w:eastAsia="fr-CA"/>
              </w:rPr>
              <w:t>, the AER</w:t>
            </w:r>
            <w:r>
              <w:rPr>
                <w:lang w:eastAsia="fr-CA"/>
              </w:rPr>
              <w:t>:</w:t>
            </w:r>
            <w:r>
              <w:rPr>
                <w:rStyle w:val="FootnoteReference"/>
                <w:lang w:eastAsia="fr-CA"/>
              </w:rPr>
              <w:footnoteReference w:id="131"/>
            </w:r>
            <w:r w:rsidRPr="00C37D44">
              <w:rPr>
                <w:lang w:eastAsia="fr-CA"/>
              </w:rPr>
              <w:t xml:space="preserve"> </w:t>
            </w:r>
          </w:p>
          <w:p w14:paraId="6D030EDA" w14:textId="77777777" w:rsidR="00013985" w:rsidRDefault="00013985" w:rsidP="00013985">
            <w:pPr>
              <w:pStyle w:val="TableBullet1"/>
              <w:rPr>
                <w:lang w:eastAsia="fr-CA"/>
              </w:rPr>
            </w:pPr>
            <w:r w:rsidRPr="001D5FB9">
              <w:rPr>
                <w:b/>
                <w:lang w:eastAsia="fr-CA"/>
              </w:rPr>
              <w:t>must</w:t>
            </w:r>
            <w:r w:rsidRPr="00C37D44">
              <w:rPr>
                <w:lang w:eastAsia="fr-CA"/>
              </w:rPr>
              <w:t xml:space="preserve"> </w:t>
            </w:r>
            <w:r>
              <w:rPr>
                <w:lang w:eastAsia="fr-CA"/>
              </w:rPr>
              <w:t>take into account</w:t>
            </w:r>
            <w:r w:rsidRPr="00C37D44">
              <w:rPr>
                <w:lang w:eastAsia="fr-CA"/>
              </w:rPr>
              <w:t xml:space="preserve"> the Code objective</w:t>
            </w:r>
            <w:r>
              <w:rPr>
                <w:lang w:eastAsia="fr-CA"/>
              </w:rPr>
              <w:t>,</w:t>
            </w:r>
            <w:r>
              <w:rPr>
                <w:rStyle w:val="FootnoteReference"/>
                <w:rFonts w:asciiTheme="majorHAnsi" w:hAnsiTheme="majorHAnsi" w:cstheme="majorHAnsi"/>
                <w:lang w:eastAsia="fr-CA"/>
              </w:rPr>
              <w:footnoteReference w:id="132"/>
            </w:r>
            <w:r w:rsidRPr="00C37D44">
              <w:rPr>
                <w:lang w:eastAsia="fr-CA"/>
              </w:rPr>
              <w:t xml:space="preserve"> </w:t>
            </w:r>
            <w:r>
              <w:rPr>
                <w:lang w:eastAsia="fr-CA"/>
              </w:rPr>
              <w:t>give effect to the requirements for the Code specified in the NGR and the operational and technical requirements necessary for the safe and reliable operation of transportation facilities; and</w:t>
            </w:r>
          </w:p>
          <w:p w14:paraId="295DA886" w14:textId="77777777" w:rsidR="00013985" w:rsidRPr="0064242F" w:rsidRDefault="00013985" w:rsidP="00013985">
            <w:pPr>
              <w:pStyle w:val="TableBullet1"/>
              <w:rPr>
                <w:rFonts w:asciiTheme="majorHAnsi" w:hAnsiTheme="majorHAnsi" w:cstheme="majorHAnsi"/>
                <w:szCs w:val="18"/>
              </w:rPr>
            </w:pPr>
            <w:r w:rsidRPr="001D5FB9">
              <w:rPr>
                <w:b/>
                <w:lang w:eastAsia="fr-CA"/>
              </w:rPr>
              <w:t>may</w:t>
            </w:r>
            <w:r>
              <w:rPr>
                <w:lang w:eastAsia="fr-CA"/>
              </w:rPr>
              <w:t xml:space="preserve"> take into account the legitimate business interests of transportation services providers and the interests of all persons that have a right to use transportation facilities.</w:t>
            </w:r>
          </w:p>
        </w:tc>
      </w:tr>
      <w:tr w:rsidR="003C3093" w:rsidRPr="00C37D44" w14:paraId="3A7A192A" w14:textId="77777777" w:rsidTr="00F66437">
        <w:trPr>
          <w:cnfStyle w:val="000000010000" w:firstRow="0" w:lastRow="0" w:firstColumn="0" w:lastColumn="0" w:oddVBand="0" w:evenVBand="0" w:oddHBand="0" w:evenHBand="1" w:firstRowFirstColumn="0" w:firstRowLastColumn="0" w:lastRowFirstColumn="0" w:lastRowLastColumn="0"/>
          <w:trHeight w:val="60"/>
        </w:trPr>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4E054021" w14:textId="77777777" w:rsidR="003C3093" w:rsidRPr="00C37D44" w:rsidRDefault="003C3093" w:rsidP="003C3093">
            <w:pPr>
              <w:pStyle w:val="TableBodyText"/>
              <w:keepNext/>
              <w:spacing w:before="40" w:line="240" w:lineRule="auto"/>
              <w:jc w:val="center"/>
              <w:rPr>
                <w:rFonts w:asciiTheme="majorHAnsi" w:hAnsiTheme="majorHAnsi" w:cstheme="majorHAnsi"/>
                <w:b/>
                <w:color w:val="FFFFFF" w:themeColor="background1"/>
              </w:rPr>
            </w:pPr>
            <w:r w:rsidRPr="00C37D44">
              <w:rPr>
                <w:rFonts w:asciiTheme="majorHAnsi" w:hAnsiTheme="majorHAnsi" w:cstheme="majorHAnsi"/>
                <w:b/>
                <w:color w:val="FFFFFF" w:themeColor="background1"/>
              </w:rPr>
              <w:t>Measures to overcome contractual limitations on capacity trading</w:t>
            </w:r>
          </w:p>
        </w:tc>
      </w:tr>
      <w:tr w:rsidR="003C3093" w:rsidRPr="00C37D44" w14:paraId="267EC58A" w14:textId="77777777" w:rsidTr="00590352">
        <w:tc>
          <w:tcPr>
            <w:tcW w:w="649" w:type="pct"/>
            <w:tcBorders>
              <w:top w:val="single" w:sz="4" w:space="0" w:color="auto"/>
              <w:left w:val="nil"/>
              <w:bottom w:val="single" w:sz="4" w:space="0" w:color="auto"/>
              <w:right w:val="single" w:sz="4" w:space="0" w:color="auto"/>
            </w:tcBorders>
            <w:shd w:val="clear" w:color="auto" w:fill="auto"/>
          </w:tcPr>
          <w:p w14:paraId="79243EAA" w14:textId="77777777" w:rsidR="003C3093" w:rsidRPr="0064242F" w:rsidRDefault="003C3093" w:rsidP="003C3093">
            <w:pPr>
              <w:pStyle w:val="TableBodyText"/>
              <w:spacing w:before="80" w:after="80" w:line="240" w:lineRule="auto"/>
              <w:rPr>
                <w:rFonts w:asciiTheme="majorHAnsi" w:hAnsiTheme="majorHAnsi" w:cstheme="majorHAnsi"/>
              </w:rPr>
            </w:pPr>
            <w:r w:rsidRPr="00C37D44">
              <w:rPr>
                <w:rFonts w:asciiTheme="majorHAnsi" w:hAnsiTheme="majorHAnsi" w:cstheme="majorHAnsi"/>
              </w:rPr>
              <w:t>Amending facility agreements</w:t>
            </w:r>
          </w:p>
        </w:tc>
        <w:tc>
          <w:tcPr>
            <w:tcW w:w="4351" w:type="pct"/>
            <w:tcBorders>
              <w:top w:val="single" w:sz="4" w:space="0" w:color="auto"/>
              <w:left w:val="single" w:sz="4" w:space="0" w:color="auto"/>
              <w:bottom w:val="single" w:sz="4" w:space="0" w:color="auto"/>
              <w:right w:val="nil"/>
            </w:tcBorders>
            <w:shd w:val="clear" w:color="auto" w:fill="auto"/>
          </w:tcPr>
          <w:p w14:paraId="7E84FADD" w14:textId="77777777" w:rsidR="003C3093" w:rsidRPr="00C37D44" w:rsidRDefault="003C3093" w:rsidP="003C3093">
            <w:pPr>
              <w:pStyle w:val="TableBodyText"/>
              <w:spacing w:before="80" w:after="80" w:line="240" w:lineRule="auto"/>
              <w:rPr>
                <w:rFonts w:asciiTheme="majorHAnsi" w:hAnsiTheme="majorHAnsi" w:cstheme="majorHAnsi"/>
              </w:rPr>
            </w:pPr>
            <w:r w:rsidRPr="00D30678">
              <w:rPr>
                <w:rFonts w:asciiTheme="majorHAnsi" w:hAnsiTheme="majorHAnsi" w:cstheme="majorHAnsi"/>
                <w:szCs w:val="18"/>
              </w:rPr>
              <w:t xml:space="preserve">To ensure that contractual limitations in </w:t>
            </w:r>
            <w:r w:rsidRPr="00F04A8E">
              <w:rPr>
                <w:rFonts w:asciiTheme="majorHAnsi" w:hAnsiTheme="majorHAnsi" w:cstheme="majorHAnsi"/>
                <w:szCs w:val="18"/>
              </w:rPr>
              <w:t>facility agreements (primary facility agreements and OTSA</w:t>
            </w:r>
            <w:r w:rsidRPr="00C37D44">
              <w:rPr>
                <w:rFonts w:asciiTheme="majorHAnsi" w:hAnsiTheme="majorHAnsi" w:cstheme="majorHAnsi"/>
                <w:szCs w:val="18"/>
              </w:rPr>
              <w:t xml:space="preserve">s) do not act as a barrier to trade, </w:t>
            </w:r>
            <w:r w:rsidR="00DA16AB" w:rsidRPr="00DA16AB">
              <w:rPr>
                <w:szCs w:val="18"/>
              </w:rPr>
              <w:t xml:space="preserve">transportation </w:t>
            </w:r>
            <w:r w:rsidRPr="00C37D44">
              <w:rPr>
                <w:rFonts w:asciiTheme="majorHAnsi" w:hAnsiTheme="majorHAnsi" w:cstheme="majorHAnsi"/>
              </w:rPr>
              <w:t xml:space="preserve">service providers </w:t>
            </w:r>
            <w:r w:rsidR="00E41D4C">
              <w:rPr>
                <w:rFonts w:asciiTheme="majorHAnsi" w:hAnsiTheme="majorHAnsi" w:cstheme="majorHAnsi"/>
              </w:rPr>
              <w:t xml:space="preserve">of Part 24 facilities and conditionally exempt facilities </w:t>
            </w:r>
            <w:r>
              <w:rPr>
                <w:rFonts w:asciiTheme="majorHAnsi" w:hAnsiTheme="majorHAnsi" w:cstheme="majorHAnsi"/>
              </w:rPr>
              <w:t>must,</w:t>
            </w:r>
            <w:r w:rsidRPr="00C37D44">
              <w:rPr>
                <w:rFonts w:asciiTheme="majorHAnsi" w:hAnsiTheme="majorHAnsi" w:cstheme="majorHAnsi"/>
              </w:rPr>
              <w:t xml:space="preserve"> within 30 business days </w:t>
            </w:r>
            <w:r>
              <w:rPr>
                <w:rFonts w:asciiTheme="majorHAnsi" w:hAnsiTheme="majorHAnsi" w:cstheme="majorHAnsi"/>
              </w:rPr>
              <w:t xml:space="preserve">of a request </w:t>
            </w:r>
            <w:r w:rsidRPr="00C37D44">
              <w:rPr>
                <w:rFonts w:asciiTheme="majorHAnsi" w:hAnsiTheme="majorHAnsi" w:cstheme="majorHAnsi"/>
              </w:rPr>
              <w:t>(or 45 business days during the transitional period leading up to the commencement of the auction</w:t>
            </w:r>
            <w:r>
              <w:rPr>
                <w:rFonts w:asciiTheme="majorHAnsi" w:hAnsiTheme="majorHAnsi" w:cstheme="majorHAnsi"/>
              </w:rPr>
              <w:t xml:space="preserve"> and capacity trading platform</w:t>
            </w:r>
            <w:r w:rsidRPr="00C37D44">
              <w:rPr>
                <w:rFonts w:asciiTheme="majorHAnsi" w:hAnsiTheme="majorHAnsi" w:cstheme="majorHAnsi"/>
              </w:rPr>
              <w:t xml:space="preserve">), provide users an amending </w:t>
            </w:r>
            <w:r>
              <w:rPr>
                <w:rFonts w:asciiTheme="majorHAnsi" w:hAnsiTheme="majorHAnsi" w:cstheme="majorHAnsi"/>
              </w:rPr>
              <w:t xml:space="preserve">facility </w:t>
            </w:r>
            <w:r w:rsidRPr="00C37D44">
              <w:rPr>
                <w:rFonts w:asciiTheme="majorHAnsi" w:hAnsiTheme="majorHAnsi" w:cstheme="majorHAnsi"/>
              </w:rPr>
              <w:t>agreement that:</w:t>
            </w:r>
            <w:r>
              <w:rPr>
                <w:rStyle w:val="FootnoteReference"/>
                <w:rFonts w:asciiTheme="majorHAnsi" w:hAnsiTheme="majorHAnsi" w:cstheme="majorHAnsi"/>
              </w:rPr>
              <w:footnoteReference w:id="133"/>
            </w:r>
            <w:r w:rsidRPr="00C37D44">
              <w:rPr>
                <w:rFonts w:asciiTheme="majorHAnsi" w:hAnsiTheme="majorHAnsi" w:cstheme="majorHAnsi"/>
              </w:rPr>
              <w:t xml:space="preserve"> </w:t>
            </w:r>
          </w:p>
          <w:p w14:paraId="4E98DAE8" w14:textId="77777777" w:rsidR="003C3093" w:rsidRPr="00C37D44" w:rsidRDefault="003C3093" w:rsidP="003C3093">
            <w:pPr>
              <w:pStyle w:val="TableBullet1"/>
              <w:numPr>
                <w:ilvl w:val="0"/>
                <w:numId w:val="27"/>
              </w:numPr>
              <w:spacing w:before="80" w:after="80" w:line="240" w:lineRule="auto"/>
              <w:rPr>
                <w:rFonts w:asciiTheme="majorHAnsi" w:hAnsiTheme="majorHAnsi" w:cstheme="majorHAnsi"/>
                <w:lang w:eastAsia="fr-CA"/>
              </w:rPr>
            </w:pPr>
            <w:r w:rsidRPr="00C37D44">
              <w:rPr>
                <w:rFonts w:asciiTheme="majorHAnsi" w:hAnsiTheme="majorHAnsi" w:cstheme="majorHAnsi"/>
                <w:lang w:eastAsia="fr-CA"/>
              </w:rPr>
              <w:t>enables the user to sell the capacity</w:t>
            </w:r>
            <w:r w:rsidR="001C0945">
              <w:rPr>
                <w:rFonts w:asciiTheme="majorHAnsi" w:hAnsiTheme="majorHAnsi" w:cstheme="majorHAnsi"/>
                <w:lang w:eastAsia="fr-CA"/>
              </w:rPr>
              <w:t>, which is</w:t>
            </w:r>
            <w:r w:rsidRPr="00C37D44">
              <w:rPr>
                <w:rFonts w:asciiTheme="majorHAnsi" w:hAnsiTheme="majorHAnsi" w:cstheme="majorHAnsi"/>
                <w:lang w:eastAsia="fr-CA"/>
              </w:rPr>
              <w:t xml:space="preserve"> the subject of the agreement</w:t>
            </w:r>
            <w:r w:rsidR="001C0945">
              <w:rPr>
                <w:rFonts w:asciiTheme="majorHAnsi" w:hAnsiTheme="majorHAnsi" w:cstheme="majorHAnsi"/>
                <w:lang w:eastAsia="fr-CA"/>
              </w:rPr>
              <w:t>,</w:t>
            </w:r>
            <w:r w:rsidRPr="00C37D44">
              <w:rPr>
                <w:rFonts w:asciiTheme="majorHAnsi" w:hAnsiTheme="majorHAnsi" w:cstheme="majorHAnsi"/>
                <w:lang w:eastAsia="fr-CA"/>
              </w:rPr>
              <w:t xml:space="preserve"> for use under an OTSA; and</w:t>
            </w:r>
          </w:p>
          <w:p w14:paraId="5912E267" w14:textId="77777777" w:rsidR="003C3093" w:rsidRPr="00C37D44" w:rsidRDefault="003C3093" w:rsidP="003C3093">
            <w:pPr>
              <w:pStyle w:val="TableBullet1"/>
              <w:numPr>
                <w:ilvl w:val="0"/>
                <w:numId w:val="27"/>
              </w:numPr>
              <w:spacing w:before="80" w:after="80" w:line="240" w:lineRule="auto"/>
              <w:rPr>
                <w:rFonts w:asciiTheme="majorHAnsi" w:hAnsiTheme="majorHAnsi" w:cstheme="majorHAnsi"/>
                <w:szCs w:val="18"/>
              </w:rPr>
            </w:pPr>
            <w:r w:rsidRPr="00C37D44">
              <w:rPr>
                <w:rFonts w:asciiTheme="majorHAnsi" w:hAnsiTheme="majorHAnsi" w:cstheme="majorHAnsi"/>
                <w:lang w:eastAsia="fr-CA"/>
              </w:rPr>
              <w:t xml:space="preserve">gives effect to </w:t>
            </w:r>
            <w:r>
              <w:rPr>
                <w:rFonts w:asciiTheme="majorHAnsi" w:hAnsiTheme="majorHAnsi" w:cstheme="majorHAnsi"/>
                <w:lang w:eastAsia="fr-CA"/>
              </w:rPr>
              <w:t xml:space="preserve">the </w:t>
            </w:r>
            <w:r w:rsidR="00E41D4C">
              <w:rPr>
                <w:rFonts w:asciiTheme="majorHAnsi" w:hAnsiTheme="majorHAnsi" w:cstheme="majorHAnsi"/>
                <w:lang w:eastAsia="fr-CA"/>
              </w:rPr>
              <w:t xml:space="preserve">facilitation of trade </w:t>
            </w:r>
            <w:r>
              <w:rPr>
                <w:rFonts w:asciiTheme="majorHAnsi" w:hAnsiTheme="majorHAnsi" w:cstheme="majorHAnsi"/>
                <w:lang w:eastAsia="fr-CA"/>
              </w:rPr>
              <w:t xml:space="preserve">principles </w:t>
            </w:r>
            <w:r w:rsidRPr="00C37D44">
              <w:rPr>
                <w:rFonts w:asciiTheme="majorHAnsi" w:hAnsiTheme="majorHAnsi" w:cstheme="majorHAnsi"/>
                <w:lang w:eastAsia="fr-CA"/>
              </w:rPr>
              <w:t>in the NGR.</w:t>
            </w:r>
            <w:r w:rsidR="00E41D4C">
              <w:rPr>
                <w:rStyle w:val="FootnoteReference"/>
                <w:rFonts w:asciiTheme="majorHAnsi" w:hAnsiTheme="majorHAnsi" w:cstheme="majorHAnsi"/>
                <w:lang w:eastAsia="fr-CA"/>
              </w:rPr>
              <w:footnoteReference w:id="134"/>
            </w:r>
          </w:p>
          <w:p w14:paraId="44846761" w14:textId="77777777" w:rsidR="003C3093" w:rsidRPr="0064242F" w:rsidRDefault="00DA16AB" w:rsidP="003C3093">
            <w:pPr>
              <w:pStyle w:val="TableBullet1"/>
              <w:spacing w:before="80" w:after="80" w:line="240" w:lineRule="auto"/>
              <w:ind w:left="85"/>
              <w:rPr>
                <w:rFonts w:asciiTheme="majorHAnsi" w:hAnsiTheme="majorHAnsi" w:cstheme="majorHAnsi"/>
                <w:szCs w:val="18"/>
              </w:rPr>
            </w:pPr>
            <w:r>
              <w:rPr>
                <w:szCs w:val="18"/>
              </w:rPr>
              <w:t>T</w:t>
            </w:r>
            <w:r w:rsidRPr="00DA16AB">
              <w:rPr>
                <w:szCs w:val="18"/>
              </w:rPr>
              <w:t xml:space="preserve">ransportation </w:t>
            </w:r>
            <w:r>
              <w:rPr>
                <w:rFonts w:asciiTheme="majorHAnsi" w:hAnsiTheme="majorHAnsi" w:cstheme="majorHAnsi"/>
                <w:szCs w:val="18"/>
              </w:rPr>
              <w:t>s</w:t>
            </w:r>
            <w:r w:rsidR="003C3093" w:rsidRPr="00C37D44">
              <w:rPr>
                <w:rFonts w:asciiTheme="majorHAnsi" w:hAnsiTheme="majorHAnsi" w:cstheme="majorHAnsi"/>
                <w:szCs w:val="18"/>
              </w:rPr>
              <w:t xml:space="preserve">ervice providers and </w:t>
            </w:r>
            <w:r w:rsidR="00E41D4C">
              <w:rPr>
                <w:rFonts w:asciiTheme="majorHAnsi" w:hAnsiTheme="majorHAnsi" w:cstheme="majorHAnsi"/>
                <w:szCs w:val="18"/>
              </w:rPr>
              <w:t>shippers</w:t>
            </w:r>
            <w:r w:rsidR="003C3093" w:rsidRPr="00C37D44">
              <w:rPr>
                <w:rFonts w:asciiTheme="majorHAnsi" w:hAnsiTheme="majorHAnsi" w:cstheme="majorHAnsi"/>
                <w:szCs w:val="18"/>
              </w:rPr>
              <w:t xml:space="preserve"> </w:t>
            </w:r>
            <w:r w:rsidR="003C3093">
              <w:rPr>
                <w:rFonts w:asciiTheme="majorHAnsi" w:hAnsiTheme="majorHAnsi" w:cstheme="majorHAnsi"/>
                <w:szCs w:val="18"/>
              </w:rPr>
              <w:t xml:space="preserve">must </w:t>
            </w:r>
            <w:r w:rsidR="003C3093" w:rsidRPr="00C37D44">
              <w:rPr>
                <w:rFonts w:asciiTheme="majorHAnsi" w:hAnsiTheme="majorHAnsi" w:cstheme="majorHAnsi"/>
                <w:szCs w:val="18"/>
              </w:rPr>
              <w:t xml:space="preserve">negotiate any amendments in good faith, but if a dispute arises, </w:t>
            </w:r>
            <w:r w:rsidR="003C3093">
              <w:rPr>
                <w:rFonts w:asciiTheme="majorHAnsi" w:hAnsiTheme="majorHAnsi" w:cstheme="majorHAnsi"/>
                <w:szCs w:val="18"/>
              </w:rPr>
              <w:t xml:space="preserve">the </w:t>
            </w:r>
            <w:r w:rsidR="003C3093" w:rsidRPr="008026F0">
              <w:rPr>
                <w:rFonts w:asciiTheme="majorHAnsi" w:hAnsiTheme="majorHAnsi" w:cstheme="majorHAnsi"/>
                <w:szCs w:val="18"/>
              </w:rPr>
              <w:t xml:space="preserve">relevant dispute resolution </w:t>
            </w:r>
            <w:r w:rsidR="003C3093">
              <w:rPr>
                <w:rFonts w:asciiTheme="majorHAnsi" w:hAnsiTheme="majorHAnsi" w:cstheme="majorHAnsi"/>
                <w:szCs w:val="18"/>
              </w:rPr>
              <w:t xml:space="preserve">provisions </w:t>
            </w:r>
            <w:r w:rsidR="003C3093" w:rsidRPr="008026F0">
              <w:rPr>
                <w:rFonts w:asciiTheme="majorHAnsi" w:hAnsiTheme="majorHAnsi" w:cstheme="majorHAnsi"/>
                <w:szCs w:val="18"/>
              </w:rPr>
              <w:t xml:space="preserve">in the </w:t>
            </w:r>
            <w:r w:rsidR="003C3093">
              <w:rPr>
                <w:rFonts w:asciiTheme="majorHAnsi" w:hAnsiTheme="majorHAnsi" w:cstheme="majorHAnsi"/>
                <w:szCs w:val="18"/>
              </w:rPr>
              <w:t xml:space="preserve">facility agreement apply </w:t>
            </w:r>
            <w:r w:rsidR="003C3093" w:rsidRPr="008026F0">
              <w:rPr>
                <w:rFonts w:asciiTheme="majorHAnsi" w:hAnsiTheme="majorHAnsi" w:cstheme="majorHAnsi"/>
                <w:szCs w:val="18"/>
              </w:rPr>
              <w:t xml:space="preserve">or, in the event </w:t>
            </w:r>
            <w:r w:rsidR="003C3093">
              <w:rPr>
                <w:rFonts w:asciiTheme="majorHAnsi" w:hAnsiTheme="majorHAnsi" w:cstheme="majorHAnsi"/>
                <w:szCs w:val="18"/>
              </w:rPr>
              <w:t xml:space="preserve">such </w:t>
            </w:r>
            <w:r w:rsidR="003C3093" w:rsidRPr="008026F0">
              <w:rPr>
                <w:rFonts w:asciiTheme="majorHAnsi" w:hAnsiTheme="majorHAnsi" w:cstheme="majorHAnsi"/>
                <w:szCs w:val="18"/>
              </w:rPr>
              <w:t>provisions do not apply,</w:t>
            </w:r>
            <w:r w:rsidR="003C3093" w:rsidRPr="00C37D44">
              <w:rPr>
                <w:rFonts w:asciiTheme="majorHAnsi" w:hAnsiTheme="majorHAnsi" w:cstheme="majorHAnsi"/>
                <w:szCs w:val="18"/>
              </w:rPr>
              <w:t xml:space="preserve"> either party may refer the matter for determination by an expert.</w:t>
            </w:r>
          </w:p>
        </w:tc>
      </w:tr>
      <w:tr w:rsidR="003C3093" w:rsidRPr="00C37D44" w14:paraId="7A272ADF" w14:textId="77777777" w:rsidTr="00590352">
        <w:trPr>
          <w:cnfStyle w:val="000000010000" w:firstRow="0" w:lastRow="0" w:firstColumn="0" w:lastColumn="0" w:oddVBand="0" w:evenVBand="0" w:oddHBand="0" w:evenHBand="1" w:firstRowFirstColumn="0" w:firstRowLastColumn="0" w:lastRowFirstColumn="0" w:lastRowLastColumn="0"/>
        </w:trPr>
        <w:tc>
          <w:tcPr>
            <w:tcW w:w="649" w:type="pct"/>
            <w:tcBorders>
              <w:top w:val="single" w:sz="4" w:space="0" w:color="auto"/>
              <w:left w:val="nil"/>
              <w:bottom w:val="single" w:sz="4" w:space="0" w:color="auto"/>
              <w:right w:val="single" w:sz="4" w:space="0" w:color="auto"/>
            </w:tcBorders>
          </w:tcPr>
          <w:p w14:paraId="686CF5AE" w14:textId="77777777" w:rsidR="003C3093" w:rsidRPr="0064242F" w:rsidRDefault="003C3093" w:rsidP="003C3093">
            <w:pPr>
              <w:pStyle w:val="TableBodyText"/>
              <w:spacing w:before="80" w:after="80" w:line="240" w:lineRule="auto"/>
              <w:rPr>
                <w:rFonts w:asciiTheme="majorHAnsi" w:hAnsiTheme="majorHAnsi" w:cstheme="majorHAnsi"/>
              </w:rPr>
            </w:pPr>
            <w:r>
              <w:rPr>
                <w:rFonts w:asciiTheme="majorHAnsi" w:hAnsiTheme="majorHAnsi" w:cstheme="majorHAnsi"/>
              </w:rPr>
              <w:t xml:space="preserve">New facility agreements </w:t>
            </w:r>
          </w:p>
        </w:tc>
        <w:tc>
          <w:tcPr>
            <w:tcW w:w="4351" w:type="pct"/>
            <w:tcBorders>
              <w:top w:val="single" w:sz="4" w:space="0" w:color="auto"/>
              <w:left w:val="single" w:sz="4" w:space="0" w:color="auto"/>
              <w:bottom w:val="single" w:sz="4" w:space="0" w:color="auto"/>
              <w:right w:val="nil"/>
            </w:tcBorders>
          </w:tcPr>
          <w:p w14:paraId="3719F70B" w14:textId="77777777" w:rsidR="003C3093" w:rsidRPr="0064242F" w:rsidRDefault="003C3093" w:rsidP="003C3093">
            <w:pPr>
              <w:pStyle w:val="TableBullet1"/>
              <w:spacing w:before="80" w:after="80" w:line="240" w:lineRule="auto"/>
              <w:ind w:left="85"/>
              <w:rPr>
                <w:rFonts w:asciiTheme="majorHAnsi" w:hAnsiTheme="majorHAnsi" w:cstheme="majorHAnsi"/>
                <w:szCs w:val="18"/>
              </w:rPr>
            </w:pPr>
            <w:r>
              <w:t xml:space="preserve">Any new facility agreements entered into for services provided by a Part 24 facility or a conditionally exempt facility after the commencement of Part 24 of the NGR, must permit a </w:t>
            </w:r>
            <w:r w:rsidR="00951BF8">
              <w:t xml:space="preserve">shipper </w:t>
            </w:r>
            <w:r>
              <w:t xml:space="preserve">to sell capacity under an OTSA and give effect </w:t>
            </w:r>
            <w:r w:rsidRPr="00C37D44">
              <w:rPr>
                <w:lang w:eastAsia="fr-CA"/>
              </w:rPr>
              <w:t xml:space="preserve">to </w:t>
            </w:r>
            <w:r>
              <w:rPr>
                <w:lang w:eastAsia="fr-CA"/>
              </w:rPr>
              <w:t xml:space="preserve">the </w:t>
            </w:r>
            <w:r w:rsidR="00951BF8">
              <w:rPr>
                <w:lang w:eastAsia="fr-CA"/>
              </w:rPr>
              <w:t xml:space="preserve">facilitation of trade </w:t>
            </w:r>
            <w:r w:rsidRPr="00C37D44">
              <w:rPr>
                <w:lang w:eastAsia="fr-CA"/>
              </w:rPr>
              <w:t xml:space="preserve">principles </w:t>
            </w:r>
            <w:r w:rsidR="00951BF8">
              <w:rPr>
                <w:lang w:eastAsia="fr-CA"/>
              </w:rPr>
              <w:t xml:space="preserve">in </w:t>
            </w:r>
            <w:r w:rsidRPr="00C37D44">
              <w:rPr>
                <w:lang w:eastAsia="fr-CA"/>
              </w:rPr>
              <w:t>the NGR.</w:t>
            </w:r>
            <w:r>
              <w:rPr>
                <w:rStyle w:val="FootnoteReference"/>
                <w:rFonts w:asciiTheme="majorHAnsi" w:hAnsiTheme="majorHAnsi" w:cstheme="majorHAnsi"/>
                <w:lang w:eastAsia="fr-CA"/>
              </w:rPr>
              <w:footnoteReference w:id="135"/>
            </w:r>
          </w:p>
        </w:tc>
      </w:tr>
      <w:tr w:rsidR="003C3093" w:rsidRPr="00C37D44" w14:paraId="31009D9D" w14:textId="77777777" w:rsidTr="003C3093">
        <w:tc>
          <w:tcPr>
            <w:tcW w:w="649" w:type="pct"/>
            <w:tcBorders>
              <w:top w:val="single" w:sz="4" w:space="0" w:color="auto"/>
              <w:left w:val="nil"/>
              <w:bottom w:val="single" w:sz="4" w:space="0" w:color="auto"/>
              <w:right w:val="single" w:sz="4" w:space="0" w:color="auto"/>
            </w:tcBorders>
            <w:shd w:val="clear" w:color="auto" w:fill="auto"/>
          </w:tcPr>
          <w:p w14:paraId="4BA4B0F6" w14:textId="77777777" w:rsidR="003C3093" w:rsidRPr="0064242F" w:rsidRDefault="003C3093" w:rsidP="003C3093">
            <w:pPr>
              <w:pStyle w:val="TableBodyText"/>
              <w:spacing w:before="80" w:after="80" w:line="240" w:lineRule="auto"/>
              <w:rPr>
                <w:rFonts w:asciiTheme="majorHAnsi" w:hAnsiTheme="majorHAnsi" w:cstheme="majorHAnsi"/>
              </w:rPr>
            </w:pPr>
            <w:r w:rsidRPr="00C37D44">
              <w:rPr>
                <w:rFonts w:asciiTheme="majorHAnsi" w:hAnsiTheme="majorHAnsi" w:cstheme="majorHAnsi"/>
              </w:rPr>
              <w:t xml:space="preserve">Receipt and delivery point changes </w:t>
            </w:r>
          </w:p>
        </w:tc>
        <w:tc>
          <w:tcPr>
            <w:tcW w:w="4351" w:type="pct"/>
            <w:tcBorders>
              <w:top w:val="single" w:sz="4" w:space="0" w:color="auto"/>
              <w:left w:val="single" w:sz="4" w:space="0" w:color="auto"/>
              <w:bottom w:val="single" w:sz="4" w:space="0" w:color="auto"/>
              <w:right w:val="nil"/>
            </w:tcBorders>
            <w:shd w:val="clear" w:color="auto" w:fill="auto"/>
          </w:tcPr>
          <w:p w14:paraId="0825A244" w14:textId="77777777" w:rsidR="003C3093" w:rsidRPr="00C37D44" w:rsidRDefault="003C3093" w:rsidP="003C3093">
            <w:pPr>
              <w:pStyle w:val="TableBodyText"/>
              <w:spacing w:before="80" w:after="80" w:line="240" w:lineRule="auto"/>
              <w:rPr>
                <w:rFonts w:asciiTheme="majorHAnsi" w:hAnsiTheme="majorHAnsi" w:cstheme="majorHAnsi"/>
                <w:lang w:eastAsia="fr-CA"/>
              </w:rPr>
            </w:pPr>
            <w:r w:rsidRPr="00C37D44">
              <w:rPr>
                <w:rFonts w:asciiTheme="majorHAnsi" w:hAnsiTheme="majorHAnsi" w:cstheme="majorHAnsi"/>
              </w:rPr>
              <w:t xml:space="preserve">Provisions </w:t>
            </w:r>
            <w:r>
              <w:rPr>
                <w:rFonts w:asciiTheme="majorHAnsi" w:hAnsiTheme="majorHAnsi" w:cstheme="majorHAnsi"/>
              </w:rPr>
              <w:t xml:space="preserve">have been included </w:t>
            </w:r>
            <w:r w:rsidRPr="00C37D44">
              <w:rPr>
                <w:rFonts w:asciiTheme="majorHAnsi" w:hAnsiTheme="majorHAnsi" w:cstheme="majorHAnsi"/>
              </w:rPr>
              <w:t xml:space="preserve">in the NGR </w:t>
            </w:r>
            <w:r>
              <w:rPr>
                <w:rFonts w:asciiTheme="majorHAnsi" w:hAnsiTheme="majorHAnsi" w:cstheme="majorHAnsi"/>
              </w:rPr>
              <w:t xml:space="preserve">to </w:t>
            </w:r>
            <w:r w:rsidRPr="00C37D44">
              <w:rPr>
                <w:rFonts w:asciiTheme="majorHAnsi" w:hAnsiTheme="majorHAnsi" w:cstheme="majorHAnsi"/>
                <w:lang w:eastAsia="fr-CA"/>
              </w:rPr>
              <w:t xml:space="preserve">provide shippers and </w:t>
            </w:r>
            <w:r w:rsidR="00DA16AB" w:rsidRPr="00DA16AB">
              <w:rPr>
                <w:szCs w:val="18"/>
              </w:rPr>
              <w:t xml:space="preserve">transportation </w:t>
            </w:r>
            <w:r w:rsidRPr="00C37D44">
              <w:rPr>
                <w:rFonts w:asciiTheme="majorHAnsi" w:hAnsiTheme="majorHAnsi" w:cstheme="majorHAnsi"/>
                <w:lang w:eastAsia="fr-CA"/>
              </w:rPr>
              <w:t>service providers with greater guidance on:</w:t>
            </w:r>
            <w:r>
              <w:rPr>
                <w:rStyle w:val="FootnoteReference"/>
                <w:rFonts w:asciiTheme="majorHAnsi" w:hAnsiTheme="majorHAnsi" w:cstheme="majorHAnsi"/>
                <w:lang w:eastAsia="fr-CA"/>
              </w:rPr>
              <w:footnoteReference w:id="136"/>
            </w:r>
            <w:r w:rsidRPr="00C37D44">
              <w:rPr>
                <w:rFonts w:asciiTheme="majorHAnsi" w:hAnsiTheme="majorHAnsi" w:cstheme="majorHAnsi"/>
                <w:lang w:eastAsia="fr-CA"/>
              </w:rPr>
              <w:t xml:space="preserve"> </w:t>
            </w:r>
          </w:p>
          <w:p w14:paraId="26CEB677" w14:textId="77777777" w:rsidR="003C3093" w:rsidRPr="00C37D44" w:rsidRDefault="003C3093" w:rsidP="003C3093">
            <w:pPr>
              <w:pStyle w:val="TableBullet1"/>
              <w:numPr>
                <w:ilvl w:val="0"/>
                <w:numId w:val="27"/>
              </w:numPr>
              <w:spacing w:before="80" w:after="80" w:line="240" w:lineRule="auto"/>
              <w:rPr>
                <w:rFonts w:asciiTheme="majorHAnsi" w:hAnsiTheme="majorHAnsi" w:cstheme="majorHAnsi"/>
                <w:lang w:eastAsia="fr-CA"/>
              </w:rPr>
            </w:pPr>
            <w:r w:rsidRPr="00C37D44">
              <w:rPr>
                <w:rFonts w:asciiTheme="majorHAnsi" w:hAnsiTheme="majorHAnsi" w:cstheme="majorHAnsi"/>
                <w:lang w:eastAsia="fr-CA"/>
              </w:rPr>
              <w:t>the rights shippers have to seek a change to their receipt or delivery points</w:t>
            </w:r>
            <w:r>
              <w:rPr>
                <w:rFonts w:asciiTheme="majorHAnsi" w:hAnsiTheme="majorHAnsi" w:cstheme="majorHAnsi"/>
                <w:lang w:eastAsia="fr-CA"/>
              </w:rPr>
              <w:t xml:space="preserve"> </w:t>
            </w:r>
            <w:r w:rsidRPr="00C37D44">
              <w:rPr>
                <w:rFonts w:asciiTheme="majorHAnsi" w:hAnsiTheme="majorHAnsi" w:cstheme="majorHAnsi"/>
                <w:lang w:eastAsia="fr-CA"/>
              </w:rPr>
              <w:t xml:space="preserve">and the circumstances in which </w:t>
            </w:r>
            <w:r>
              <w:rPr>
                <w:rFonts w:asciiTheme="majorHAnsi" w:hAnsiTheme="majorHAnsi" w:cstheme="majorHAnsi"/>
                <w:lang w:eastAsia="fr-CA"/>
              </w:rPr>
              <w:t>consent can be withheld</w:t>
            </w:r>
            <w:r w:rsidR="00951BF8">
              <w:rPr>
                <w:rFonts w:asciiTheme="majorHAnsi" w:hAnsiTheme="majorHAnsi" w:cstheme="majorHAnsi"/>
                <w:lang w:eastAsia="fr-CA"/>
              </w:rPr>
              <w:t xml:space="preserve"> by a transportation service provider</w:t>
            </w:r>
            <w:r w:rsidRPr="00C37D44">
              <w:rPr>
                <w:rFonts w:asciiTheme="majorHAnsi" w:hAnsiTheme="majorHAnsi" w:cstheme="majorHAnsi"/>
                <w:lang w:eastAsia="fr-CA"/>
              </w:rPr>
              <w:t xml:space="preserve">; </w:t>
            </w:r>
          </w:p>
          <w:p w14:paraId="633AA9B4" w14:textId="77777777" w:rsidR="003C3093" w:rsidRDefault="003C3093" w:rsidP="003C3093">
            <w:pPr>
              <w:pStyle w:val="TableBullet1"/>
              <w:numPr>
                <w:ilvl w:val="0"/>
                <w:numId w:val="27"/>
              </w:numPr>
              <w:spacing w:before="80" w:after="80" w:line="240" w:lineRule="auto"/>
              <w:rPr>
                <w:rFonts w:asciiTheme="majorHAnsi" w:hAnsiTheme="majorHAnsi" w:cstheme="majorHAnsi"/>
              </w:rPr>
            </w:pPr>
            <w:r w:rsidRPr="00C37D44">
              <w:rPr>
                <w:rFonts w:asciiTheme="majorHAnsi" w:hAnsiTheme="majorHAnsi" w:cstheme="majorHAnsi"/>
                <w:lang w:eastAsia="fr-CA"/>
              </w:rPr>
              <w:t xml:space="preserve">the timeframes within which </w:t>
            </w:r>
            <w:r w:rsidR="00DA16AB" w:rsidRPr="00DA16AB">
              <w:rPr>
                <w:szCs w:val="18"/>
              </w:rPr>
              <w:t xml:space="preserve">transportation </w:t>
            </w:r>
            <w:r w:rsidRPr="00C37D44">
              <w:rPr>
                <w:rFonts w:asciiTheme="majorHAnsi" w:hAnsiTheme="majorHAnsi" w:cstheme="majorHAnsi"/>
                <w:lang w:eastAsia="fr-CA"/>
              </w:rPr>
              <w:t>service providers must respond to a request to change a receipt or delivery point</w:t>
            </w:r>
            <w:r w:rsidRPr="00C37D44">
              <w:rPr>
                <w:rFonts w:asciiTheme="majorHAnsi" w:hAnsiTheme="majorHAnsi" w:cstheme="majorHAnsi"/>
              </w:rPr>
              <w:t>; an</w:t>
            </w:r>
            <w:r w:rsidR="005E6FB8">
              <w:rPr>
                <w:rFonts w:asciiTheme="majorHAnsi" w:hAnsiTheme="majorHAnsi" w:cstheme="majorHAnsi"/>
              </w:rPr>
              <w:t>d</w:t>
            </w:r>
          </w:p>
          <w:p w14:paraId="5C8D3A40" w14:textId="77777777" w:rsidR="003C3093" w:rsidRPr="003C3093" w:rsidRDefault="003C3093" w:rsidP="003C3093">
            <w:pPr>
              <w:pStyle w:val="TableBullet1"/>
              <w:numPr>
                <w:ilvl w:val="0"/>
                <w:numId w:val="27"/>
              </w:numPr>
              <w:spacing w:before="80" w:after="80" w:line="240" w:lineRule="auto"/>
              <w:rPr>
                <w:rFonts w:asciiTheme="majorHAnsi" w:hAnsiTheme="majorHAnsi" w:cstheme="majorHAnsi"/>
              </w:rPr>
            </w:pPr>
            <w:r w:rsidRPr="003C3093">
              <w:rPr>
                <w:rFonts w:asciiTheme="majorHAnsi" w:hAnsiTheme="majorHAnsi" w:cstheme="majorHAnsi"/>
                <w:lang w:eastAsia="fr-CA"/>
              </w:rPr>
              <w:t xml:space="preserve">the charges that </w:t>
            </w:r>
            <w:r w:rsidR="00DA16AB" w:rsidRPr="00DA16AB">
              <w:rPr>
                <w:szCs w:val="18"/>
              </w:rPr>
              <w:t xml:space="preserve">transportation </w:t>
            </w:r>
            <w:r w:rsidRPr="003C3093">
              <w:rPr>
                <w:rFonts w:asciiTheme="majorHAnsi" w:hAnsiTheme="majorHAnsi" w:cstheme="majorHAnsi"/>
                <w:lang w:eastAsia="fr-CA"/>
              </w:rPr>
              <w:t>service providers can levy for, or conditions they can impose on, receipt or delivery point changes, which must be reasonable.</w:t>
            </w:r>
          </w:p>
        </w:tc>
      </w:tr>
      <w:tr w:rsidR="006031B9" w:rsidRPr="00C37D44" w14:paraId="6E8AE23A" w14:textId="77777777" w:rsidTr="00590352">
        <w:trPr>
          <w:cnfStyle w:val="000000010000" w:firstRow="0" w:lastRow="0" w:firstColumn="0" w:lastColumn="0" w:oddVBand="0" w:evenVBand="0" w:oddHBand="0" w:evenHBand="1" w:firstRowFirstColumn="0" w:firstRowLastColumn="0" w:lastRowFirstColumn="0" w:lastRowLastColumn="0"/>
        </w:trPr>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7FAB6D3E" w14:textId="77777777" w:rsidR="006031B9" w:rsidRPr="00C37D44" w:rsidRDefault="006031B9" w:rsidP="003C3093">
            <w:pPr>
              <w:pStyle w:val="TableBodyText"/>
              <w:keepNext/>
              <w:spacing w:before="40" w:after="20" w:line="240" w:lineRule="auto"/>
              <w:jc w:val="center"/>
              <w:rPr>
                <w:rFonts w:asciiTheme="majorHAnsi" w:hAnsiTheme="majorHAnsi" w:cstheme="majorHAnsi"/>
                <w:b/>
                <w:color w:val="FFFFFF" w:themeColor="background1"/>
              </w:rPr>
            </w:pPr>
            <w:r w:rsidRPr="00C37D44">
              <w:rPr>
                <w:rFonts w:asciiTheme="majorHAnsi" w:hAnsiTheme="majorHAnsi" w:cstheme="majorHAnsi"/>
                <w:b/>
                <w:color w:val="FFFFFF" w:themeColor="background1"/>
              </w:rPr>
              <w:lastRenderedPageBreak/>
              <w:t>Transaction support arrangements</w:t>
            </w:r>
          </w:p>
        </w:tc>
      </w:tr>
      <w:tr w:rsidR="006031B9" w:rsidRPr="00C37D44" w14:paraId="6269FE46" w14:textId="77777777" w:rsidTr="00590352">
        <w:tc>
          <w:tcPr>
            <w:tcW w:w="649" w:type="pct"/>
            <w:tcBorders>
              <w:top w:val="single" w:sz="4" w:space="0" w:color="auto"/>
              <w:left w:val="nil"/>
              <w:bottom w:val="single" w:sz="4" w:space="0" w:color="auto"/>
              <w:right w:val="single" w:sz="4" w:space="0" w:color="auto"/>
            </w:tcBorders>
            <w:hideMark/>
          </w:tcPr>
          <w:p w14:paraId="6115AAE7" w14:textId="77777777" w:rsidR="006031B9" w:rsidRPr="0064242F" w:rsidRDefault="006031B9" w:rsidP="003C3093">
            <w:pPr>
              <w:pStyle w:val="TableBodyText"/>
              <w:spacing w:before="80" w:after="80" w:line="240" w:lineRule="auto"/>
              <w:rPr>
                <w:rFonts w:asciiTheme="majorHAnsi" w:hAnsiTheme="majorHAnsi" w:cstheme="majorHAnsi"/>
              </w:rPr>
            </w:pPr>
            <w:r w:rsidRPr="0064242F">
              <w:rPr>
                <w:rFonts w:asciiTheme="majorHAnsi" w:hAnsiTheme="majorHAnsi" w:cstheme="majorHAnsi"/>
              </w:rPr>
              <w:t>Transaction support arrangements</w:t>
            </w:r>
          </w:p>
        </w:tc>
        <w:tc>
          <w:tcPr>
            <w:tcW w:w="4351" w:type="pct"/>
            <w:tcBorders>
              <w:top w:val="single" w:sz="4" w:space="0" w:color="auto"/>
              <w:left w:val="single" w:sz="4" w:space="0" w:color="auto"/>
              <w:bottom w:val="single" w:sz="4" w:space="0" w:color="auto"/>
              <w:right w:val="nil"/>
            </w:tcBorders>
            <w:hideMark/>
          </w:tcPr>
          <w:p w14:paraId="174A460C" w14:textId="77777777" w:rsidR="006031B9" w:rsidRPr="0064242F" w:rsidRDefault="006031B9" w:rsidP="003C3093">
            <w:pPr>
              <w:pStyle w:val="TableBodyText"/>
              <w:spacing w:before="80" w:after="80" w:line="240" w:lineRule="auto"/>
              <w:rPr>
                <w:rFonts w:asciiTheme="majorHAnsi" w:hAnsiTheme="majorHAnsi" w:cstheme="majorHAnsi"/>
              </w:rPr>
            </w:pPr>
            <w:r w:rsidRPr="0064242F">
              <w:rPr>
                <w:rFonts w:asciiTheme="majorHAnsi" w:hAnsiTheme="majorHAnsi" w:cstheme="majorHAnsi"/>
              </w:rPr>
              <w:t xml:space="preserve">To facilitate trade conducted through the </w:t>
            </w:r>
            <w:r>
              <w:rPr>
                <w:rFonts w:asciiTheme="majorHAnsi" w:hAnsiTheme="majorHAnsi" w:cstheme="majorHAnsi"/>
              </w:rPr>
              <w:t xml:space="preserve">capacity trading platform </w:t>
            </w:r>
            <w:r w:rsidRPr="0064242F">
              <w:rPr>
                <w:rFonts w:asciiTheme="majorHAnsi" w:hAnsiTheme="majorHAnsi" w:cstheme="majorHAnsi"/>
              </w:rPr>
              <w:t xml:space="preserve">and </w:t>
            </w:r>
            <w:r>
              <w:rPr>
                <w:rFonts w:asciiTheme="majorHAnsi" w:hAnsiTheme="majorHAnsi" w:cstheme="majorHAnsi"/>
              </w:rPr>
              <w:t xml:space="preserve">day-ahead </w:t>
            </w:r>
            <w:r w:rsidRPr="0064242F">
              <w:rPr>
                <w:rFonts w:asciiTheme="majorHAnsi" w:hAnsiTheme="majorHAnsi" w:cstheme="majorHAnsi"/>
              </w:rPr>
              <w:t xml:space="preserve">auction, </w:t>
            </w:r>
            <w:r w:rsidR="003C3093">
              <w:rPr>
                <w:rFonts w:asciiTheme="majorHAnsi" w:hAnsiTheme="majorHAnsi" w:cstheme="majorHAnsi"/>
              </w:rPr>
              <w:t xml:space="preserve">transportation </w:t>
            </w:r>
            <w:r w:rsidRPr="0064242F">
              <w:rPr>
                <w:rFonts w:asciiTheme="majorHAnsi" w:hAnsiTheme="majorHAnsi" w:cstheme="majorHAnsi"/>
              </w:rPr>
              <w:t xml:space="preserve">service providers </w:t>
            </w:r>
            <w:r w:rsidR="003C3093">
              <w:rPr>
                <w:rFonts w:asciiTheme="majorHAnsi" w:hAnsiTheme="majorHAnsi" w:cstheme="majorHAnsi"/>
              </w:rPr>
              <w:t xml:space="preserve">of Part 24 facilities </w:t>
            </w:r>
            <w:r w:rsidR="00EF06D9">
              <w:rPr>
                <w:rFonts w:asciiTheme="majorHAnsi" w:hAnsiTheme="majorHAnsi" w:cstheme="majorHAnsi"/>
              </w:rPr>
              <w:t xml:space="preserve">are </w:t>
            </w:r>
            <w:r w:rsidRPr="0064242F">
              <w:rPr>
                <w:rFonts w:asciiTheme="majorHAnsi" w:hAnsiTheme="majorHAnsi" w:cstheme="majorHAnsi"/>
              </w:rPr>
              <w:t xml:space="preserve">required to comply with the transaction support arrangements in the </w:t>
            </w:r>
            <w:r w:rsidR="00201550">
              <w:rPr>
                <w:rFonts w:asciiTheme="majorHAnsi" w:hAnsiTheme="majorHAnsi" w:cstheme="majorHAnsi"/>
              </w:rPr>
              <w:t>CT&amp;A Procedures</w:t>
            </w:r>
            <w:r w:rsidR="003C3093">
              <w:rPr>
                <w:rStyle w:val="FootnoteReference"/>
                <w:rFonts w:asciiTheme="majorHAnsi" w:hAnsiTheme="majorHAnsi" w:cstheme="majorHAnsi"/>
              </w:rPr>
              <w:footnoteReference w:id="137"/>
            </w:r>
            <w:r w:rsidRPr="0064242F">
              <w:rPr>
                <w:rFonts w:asciiTheme="majorHAnsi" w:hAnsiTheme="majorHAnsi" w:cstheme="majorHAnsi"/>
              </w:rPr>
              <w:t xml:space="preserve"> and, subject to some limitations, give effect to operational transfers.</w:t>
            </w:r>
            <w:r w:rsidR="003C3093">
              <w:rPr>
                <w:rStyle w:val="FootnoteReference"/>
                <w:rFonts w:asciiTheme="majorHAnsi" w:hAnsiTheme="majorHAnsi" w:cstheme="majorHAnsi"/>
              </w:rPr>
              <w:footnoteReference w:id="138"/>
            </w:r>
            <w:r w:rsidRPr="0064242F">
              <w:rPr>
                <w:rFonts w:asciiTheme="majorHAnsi" w:hAnsiTheme="majorHAnsi" w:cstheme="majorHAnsi"/>
              </w:rPr>
              <w:t xml:space="preserve"> Amongst other things, the transaction support arrangements </w:t>
            </w:r>
            <w:r w:rsidR="00EF06D9">
              <w:rPr>
                <w:rFonts w:asciiTheme="majorHAnsi" w:hAnsiTheme="majorHAnsi" w:cstheme="majorHAnsi"/>
              </w:rPr>
              <w:t xml:space="preserve">in these procedures </w:t>
            </w:r>
            <w:r w:rsidRPr="0064242F">
              <w:rPr>
                <w:rFonts w:asciiTheme="majorHAnsi" w:hAnsiTheme="majorHAnsi" w:cstheme="majorHAnsi"/>
              </w:rPr>
              <w:t>set out:</w:t>
            </w:r>
            <w:r w:rsidR="003C3093">
              <w:rPr>
                <w:rStyle w:val="FootnoteReference"/>
                <w:rFonts w:asciiTheme="majorHAnsi" w:hAnsiTheme="majorHAnsi" w:cstheme="majorHAnsi"/>
              </w:rPr>
              <w:footnoteReference w:id="139"/>
            </w:r>
            <w:r w:rsidRPr="0064242F">
              <w:rPr>
                <w:rFonts w:asciiTheme="majorHAnsi" w:hAnsiTheme="majorHAnsi" w:cstheme="majorHAnsi"/>
              </w:rPr>
              <w:t xml:space="preserve"> </w:t>
            </w:r>
          </w:p>
          <w:p w14:paraId="176E03F1" w14:textId="77777777" w:rsidR="006031B9" w:rsidRPr="0064242F" w:rsidRDefault="006031B9" w:rsidP="003C3093">
            <w:pPr>
              <w:pStyle w:val="TableBullet1"/>
              <w:spacing w:before="80" w:after="80" w:line="240" w:lineRule="auto"/>
              <w:rPr>
                <w:rFonts w:asciiTheme="majorHAnsi" w:hAnsiTheme="majorHAnsi" w:cstheme="majorHAnsi"/>
              </w:rPr>
            </w:pPr>
            <w:r w:rsidRPr="0064242F">
              <w:rPr>
                <w:rFonts w:asciiTheme="majorHAnsi" w:hAnsiTheme="majorHAnsi" w:cstheme="majorHAnsi"/>
              </w:rPr>
              <w:t xml:space="preserve">the process, form and timing of the exchanges of information between AEMO and </w:t>
            </w:r>
            <w:r w:rsidR="00DA16AB" w:rsidRPr="00DA16AB">
              <w:rPr>
                <w:szCs w:val="18"/>
              </w:rPr>
              <w:t xml:space="preserve">transportation </w:t>
            </w:r>
            <w:r w:rsidRPr="0064242F">
              <w:rPr>
                <w:rFonts w:asciiTheme="majorHAnsi" w:hAnsiTheme="majorHAnsi" w:cstheme="majorHAnsi"/>
              </w:rPr>
              <w:t xml:space="preserve">service providers and the validation process; </w:t>
            </w:r>
          </w:p>
          <w:p w14:paraId="7299F643" w14:textId="77777777" w:rsidR="006031B9" w:rsidRPr="0064242F" w:rsidRDefault="006031B9" w:rsidP="003C3093">
            <w:pPr>
              <w:pStyle w:val="TableBullet1"/>
              <w:spacing w:before="80" w:after="80" w:line="240" w:lineRule="auto"/>
              <w:rPr>
                <w:rFonts w:asciiTheme="majorHAnsi" w:hAnsiTheme="majorHAnsi" w:cstheme="majorHAnsi"/>
              </w:rPr>
            </w:pPr>
            <w:r w:rsidRPr="0064242F">
              <w:rPr>
                <w:rFonts w:asciiTheme="majorHAnsi" w:hAnsiTheme="majorHAnsi" w:cstheme="majorHAnsi"/>
              </w:rPr>
              <w:t xml:space="preserve">the contingency arrangements that will apply if there is a failure of systems or processes or default in the performance of obligations; </w:t>
            </w:r>
          </w:p>
          <w:p w14:paraId="17894DA5" w14:textId="77777777" w:rsidR="006031B9" w:rsidRPr="0064242F" w:rsidRDefault="006031B9" w:rsidP="003C3093">
            <w:pPr>
              <w:pStyle w:val="TableBullet1"/>
              <w:spacing w:before="80" w:after="80" w:line="240" w:lineRule="auto"/>
              <w:rPr>
                <w:rFonts w:asciiTheme="majorHAnsi" w:hAnsiTheme="majorHAnsi" w:cstheme="majorHAnsi"/>
              </w:rPr>
            </w:pPr>
            <w:r w:rsidRPr="0064242F">
              <w:rPr>
                <w:rFonts w:asciiTheme="majorHAnsi" w:hAnsiTheme="majorHAnsi" w:cstheme="majorHAnsi"/>
              </w:rPr>
              <w:t xml:space="preserve">the circumstances in which </w:t>
            </w:r>
            <w:r w:rsidR="00DA16AB" w:rsidRPr="00DA16AB">
              <w:rPr>
                <w:szCs w:val="18"/>
              </w:rPr>
              <w:t xml:space="preserve">transportation </w:t>
            </w:r>
            <w:r w:rsidRPr="0064242F">
              <w:rPr>
                <w:rFonts w:asciiTheme="majorHAnsi" w:hAnsiTheme="majorHAnsi" w:cstheme="majorHAnsi"/>
              </w:rPr>
              <w:t xml:space="preserve">service providers can decline to give effect to a transfer; </w:t>
            </w:r>
          </w:p>
          <w:p w14:paraId="09747C99" w14:textId="77777777" w:rsidR="006031B9" w:rsidRPr="0064242F" w:rsidRDefault="006031B9" w:rsidP="003C3093">
            <w:pPr>
              <w:pStyle w:val="TableBullet1"/>
              <w:spacing w:before="80" w:after="80" w:line="240" w:lineRule="auto"/>
              <w:rPr>
                <w:rFonts w:asciiTheme="majorHAnsi" w:hAnsiTheme="majorHAnsi" w:cstheme="majorHAnsi"/>
              </w:rPr>
            </w:pPr>
            <w:r w:rsidRPr="0064242F">
              <w:rPr>
                <w:rFonts w:asciiTheme="majorHAnsi" w:hAnsiTheme="majorHAnsi" w:cstheme="majorHAnsi"/>
              </w:rPr>
              <w:t xml:space="preserve">the method to be used to determine the amount to be paid to </w:t>
            </w:r>
            <w:r w:rsidR="00DA16AB" w:rsidRPr="00DA16AB">
              <w:rPr>
                <w:szCs w:val="18"/>
              </w:rPr>
              <w:t xml:space="preserve">transportation </w:t>
            </w:r>
            <w:r w:rsidRPr="0064242F">
              <w:rPr>
                <w:rFonts w:asciiTheme="majorHAnsi" w:hAnsiTheme="majorHAnsi" w:cstheme="majorHAnsi"/>
              </w:rPr>
              <w:t xml:space="preserve">service providers if a primary facility agreement is terminated and an exchange trade is still on foot, which will be determined by reference to the price (or prices) at which the primary shipper sold the capacity; and </w:t>
            </w:r>
          </w:p>
          <w:p w14:paraId="54DCC243" w14:textId="77777777" w:rsidR="006031B9" w:rsidRDefault="006031B9" w:rsidP="003C3093">
            <w:pPr>
              <w:pStyle w:val="TableBullet1"/>
              <w:spacing w:before="80" w:after="80" w:line="240" w:lineRule="auto"/>
              <w:rPr>
                <w:rFonts w:asciiTheme="majorHAnsi" w:hAnsiTheme="majorHAnsi" w:cstheme="majorHAnsi"/>
              </w:rPr>
            </w:pPr>
            <w:r w:rsidRPr="0064242F">
              <w:rPr>
                <w:rFonts w:asciiTheme="majorHAnsi" w:hAnsiTheme="majorHAnsi" w:cstheme="majorHAnsi"/>
              </w:rPr>
              <w:t xml:space="preserve">other obligations </w:t>
            </w:r>
            <w:r w:rsidR="003C3093">
              <w:rPr>
                <w:rFonts w:asciiTheme="majorHAnsi" w:hAnsiTheme="majorHAnsi" w:cstheme="majorHAnsi"/>
              </w:rPr>
              <w:t xml:space="preserve">transportation </w:t>
            </w:r>
            <w:r w:rsidRPr="0064242F">
              <w:rPr>
                <w:rFonts w:asciiTheme="majorHAnsi" w:hAnsiTheme="majorHAnsi" w:cstheme="majorHAnsi"/>
              </w:rPr>
              <w:t xml:space="preserve">service providers will have, including: arrangements for access to and use of the systems established by AEMO; the provision of contract reference information and information about service points, nominations and curtailments; the information required and processes to be followed to give effect to trades on the exchange or through the </w:t>
            </w:r>
            <w:r>
              <w:rPr>
                <w:rFonts w:asciiTheme="majorHAnsi" w:hAnsiTheme="majorHAnsi" w:cstheme="majorHAnsi"/>
              </w:rPr>
              <w:t xml:space="preserve">day-ahead </w:t>
            </w:r>
            <w:r w:rsidRPr="0064242F">
              <w:rPr>
                <w:rFonts w:asciiTheme="majorHAnsi" w:hAnsiTheme="majorHAnsi" w:cstheme="majorHAnsi"/>
              </w:rPr>
              <w:t>auction; and integration with other markets.</w:t>
            </w:r>
          </w:p>
          <w:p w14:paraId="34156586" w14:textId="77777777" w:rsidR="003C3093" w:rsidRDefault="003C3093" w:rsidP="003C3093">
            <w:pPr>
              <w:pStyle w:val="TableBullet1"/>
              <w:numPr>
                <w:ilvl w:val="0"/>
                <w:numId w:val="0"/>
              </w:numPr>
              <w:spacing w:before="80" w:after="80" w:line="240" w:lineRule="auto"/>
              <w:ind w:left="85"/>
              <w:rPr>
                <w:rFonts w:asciiTheme="majorHAnsi" w:hAnsiTheme="majorHAnsi" w:cstheme="majorHAnsi"/>
              </w:rPr>
            </w:pPr>
            <w:r>
              <w:rPr>
                <w:rFonts w:asciiTheme="majorHAnsi" w:hAnsiTheme="majorHAnsi" w:cstheme="majorHAnsi"/>
              </w:rPr>
              <w:t>Facility operators for Part 24 facilities must also provide AEM</w:t>
            </w:r>
            <w:r w:rsidR="00951BF8">
              <w:rPr>
                <w:rFonts w:asciiTheme="majorHAnsi" w:hAnsiTheme="majorHAnsi" w:cstheme="majorHAnsi"/>
              </w:rPr>
              <w:t>O</w:t>
            </w:r>
            <w:r>
              <w:rPr>
                <w:rFonts w:asciiTheme="majorHAnsi" w:hAnsiTheme="majorHAnsi" w:cstheme="majorHAnsi"/>
              </w:rPr>
              <w:t xml:space="preserve"> with information about facility agreements to allow the accurate identification of those agreements for the purposes of the transaction support arrangements.</w:t>
            </w:r>
            <w:r>
              <w:rPr>
                <w:rStyle w:val="FootnoteReference"/>
                <w:rFonts w:asciiTheme="majorHAnsi" w:hAnsiTheme="majorHAnsi" w:cstheme="majorHAnsi"/>
              </w:rPr>
              <w:footnoteReference w:id="140"/>
            </w:r>
            <w:r>
              <w:rPr>
                <w:rFonts w:asciiTheme="majorHAnsi" w:hAnsiTheme="majorHAnsi" w:cstheme="majorHAnsi"/>
              </w:rPr>
              <w:t xml:space="preserve"> </w:t>
            </w:r>
          </w:p>
          <w:p w14:paraId="33E48FB6" w14:textId="77777777" w:rsidR="003C3093" w:rsidRPr="0064242F" w:rsidRDefault="003C3093" w:rsidP="003C3093">
            <w:pPr>
              <w:pStyle w:val="TableBullet1"/>
              <w:numPr>
                <w:ilvl w:val="0"/>
                <w:numId w:val="0"/>
              </w:numPr>
              <w:spacing w:before="80" w:after="80" w:line="240" w:lineRule="auto"/>
              <w:ind w:left="85"/>
              <w:rPr>
                <w:rFonts w:asciiTheme="majorHAnsi" w:hAnsiTheme="majorHAnsi" w:cstheme="majorHAnsi"/>
              </w:rPr>
            </w:pPr>
            <w:r>
              <w:rPr>
                <w:rFonts w:asciiTheme="majorHAnsi" w:hAnsiTheme="majorHAnsi" w:cstheme="majorHAnsi"/>
              </w:rPr>
              <w:t>While transportation service providers of conditionally exempt facilities are not required to comply with the transaction support arrangements, they must give effect to operational transfers notified by parties to the transaction.</w:t>
            </w:r>
            <w:r>
              <w:rPr>
                <w:rStyle w:val="FootnoteReference"/>
                <w:rFonts w:asciiTheme="majorHAnsi" w:hAnsiTheme="majorHAnsi" w:cstheme="majorHAnsi"/>
              </w:rPr>
              <w:footnoteReference w:id="141"/>
            </w:r>
          </w:p>
        </w:tc>
      </w:tr>
      <w:tr w:rsidR="006031B9" w:rsidRPr="00C37D44" w14:paraId="74FD2669" w14:textId="77777777" w:rsidTr="003C3093">
        <w:trPr>
          <w:cnfStyle w:val="000000010000" w:firstRow="0" w:lastRow="0" w:firstColumn="0" w:lastColumn="0" w:oddVBand="0" w:evenVBand="0" w:oddHBand="0" w:evenHBand="1" w:firstRowFirstColumn="0" w:firstRowLastColumn="0" w:lastRowFirstColumn="0" w:lastRowLastColumn="0"/>
        </w:trPr>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14:paraId="174CB65F" w14:textId="77777777" w:rsidR="006031B9" w:rsidRPr="0064242F" w:rsidRDefault="006031B9" w:rsidP="00013985">
            <w:pPr>
              <w:pStyle w:val="TableBodyText"/>
              <w:spacing w:before="40" w:after="20" w:line="240" w:lineRule="auto"/>
              <w:jc w:val="center"/>
              <w:rPr>
                <w:rFonts w:asciiTheme="majorHAnsi" w:hAnsiTheme="majorHAnsi" w:cstheme="majorHAnsi"/>
                <w:b/>
                <w:color w:val="FFFFFF" w:themeColor="background1"/>
              </w:rPr>
            </w:pPr>
            <w:r w:rsidRPr="0064242F">
              <w:rPr>
                <w:rFonts w:asciiTheme="majorHAnsi" w:hAnsiTheme="majorHAnsi" w:cstheme="majorHAnsi"/>
                <w:b/>
                <w:color w:val="FFFFFF" w:themeColor="background1"/>
              </w:rPr>
              <w:t xml:space="preserve">Specification of </w:t>
            </w:r>
            <w:r w:rsidR="00864E08">
              <w:rPr>
                <w:rFonts w:asciiTheme="majorHAnsi" w:hAnsiTheme="majorHAnsi" w:cstheme="majorHAnsi"/>
                <w:b/>
                <w:color w:val="FFFFFF" w:themeColor="background1"/>
              </w:rPr>
              <w:t xml:space="preserve">zones, pipeline segments and </w:t>
            </w:r>
            <w:r w:rsidRPr="0064242F">
              <w:rPr>
                <w:rFonts w:asciiTheme="majorHAnsi" w:hAnsiTheme="majorHAnsi" w:cstheme="majorHAnsi"/>
                <w:b/>
                <w:color w:val="FFFFFF" w:themeColor="background1"/>
              </w:rPr>
              <w:t xml:space="preserve">service </w:t>
            </w:r>
            <w:r w:rsidR="00864E08">
              <w:rPr>
                <w:rFonts w:asciiTheme="majorHAnsi" w:hAnsiTheme="majorHAnsi" w:cstheme="majorHAnsi"/>
                <w:b/>
                <w:color w:val="FFFFFF" w:themeColor="background1"/>
              </w:rPr>
              <w:t>points</w:t>
            </w:r>
          </w:p>
        </w:tc>
      </w:tr>
      <w:tr w:rsidR="006031B9" w:rsidRPr="00C37D44" w14:paraId="68C14BA4" w14:textId="77777777" w:rsidTr="00590352">
        <w:tc>
          <w:tcPr>
            <w:tcW w:w="649" w:type="pct"/>
            <w:tcBorders>
              <w:top w:val="single" w:sz="4" w:space="0" w:color="auto"/>
              <w:left w:val="nil"/>
              <w:bottom w:val="single" w:sz="4" w:space="0" w:color="auto"/>
              <w:right w:val="single" w:sz="4" w:space="0" w:color="auto"/>
            </w:tcBorders>
            <w:shd w:val="clear" w:color="auto" w:fill="auto"/>
            <w:hideMark/>
          </w:tcPr>
          <w:p w14:paraId="2EB78A6C" w14:textId="77777777" w:rsidR="006031B9" w:rsidRPr="0064242F" w:rsidRDefault="006031B9" w:rsidP="00013985">
            <w:pPr>
              <w:pStyle w:val="TableBodyText"/>
              <w:spacing w:before="40" w:after="120" w:line="240" w:lineRule="auto"/>
              <w:rPr>
                <w:rFonts w:asciiTheme="majorHAnsi" w:hAnsiTheme="majorHAnsi" w:cstheme="majorHAnsi"/>
              </w:rPr>
            </w:pPr>
            <w:r w:rsidRPr="0064242F">
              <w:rPr>
                <w:rFonts w:asciiTheme="majorHAnsi" w:hAnsiTheme="majorHAnsi" w:cstheme="majorHAnsi"/>
              </w:rPr>
              <w:t xml:space="preserve">Service points </w:t>
            </w:r>
          </w:p>
        </w:tc>
        <w:tc>
          <w:tcPr>
            <w:tcW w:w="4351" w:type="pct"/>
            <w:tcBorders>
              <w:top w:val="single" w:sz="4" w:space="0" w:color="auto"/>
              <w:left w:val="single" w:sz="4" w:space="0" w:color="auto"/>
              <w:bottom w:val="single" w:sz="4" w:space="0" w:color="auto"/>
              <w:right w:val="nil"/>
            </w:tcBorders>
            <w:shd w:val="clear" w:color="auto" w:fill="auto"/>
            <w:hideMark/>
          </w:tcPr>
          <w:p w14:paraId="524629E0" w14:textId="77777777" w:rsidR="006031B9" w:rsidRPr="0064242F" w:rsidRDefault="003C3093" w:rsidP="00013985">
            <w:pPr>
              <w:pStyle w:val="TableBodyText"/>
              <w:spacing w:before="40" w:after="120" w:line="240" w:lineRule="auto"/>
              <w:rPr>
                <w:rFonts w:asciiTheme="majorHAnsi" w:hAnsiTheme="majorHAnsi" w:cstheme="majorHAnsi"/>
              </w:rPr>
            </w:pPr>
            <w:r>
              <w:rPr>
                <w:rFonts w:asciiTheme="majorHAnsi" w:hAnsiTheme="majorHAnsi" w:cstheme="majorHAnsi"/>
              </w:rPr>
              <w:t xml:space="preserve">Facility operators for Part 24 facilities </w:t>
            </w:r>
            <w:r w:rsidR="00EF06D9">
              <w:rPr>
                <w:rFonts w:asciiTheme="majorHAnsi" w:hAnsiTheme="majorHAnsi" w:cstheme="majorHAnsi"/>
              </w:rPr>
              <w:t xml:space="preserve">must </w:t>
            </w:r>
            <w:r w:rsidR="006031B9" w:rsidRPr="0064242F">
              <w:rPr>
                <w:rFonts w:asciiTheme="majorHAnsi" w:hAnsiTheme="majorHAnsi" w:cstheme="majorHAnsi"/>
              </w:rPr>
              <w:t xml:space="preserve">provide AEMO and keep up to date a specification of </w:t>
            </w:r>
            <w:r w:rsidR="006031B9" w:rsidRPr="0064242F">
              <w:rPr>
                <w:rFonts w:asciiTheme="majorHAnsi" w:hAnsiTheme="majorHAnsi" w:cstheme="majorHAnsi"/>
                <w:lang w:eastAsia="fr-CA"/>
              </w:rPr>
              <w:t xml:space="preserve">each service point (e.g. receipt point, delivery point, notional point, in-pipe trading points) at or between which transportation services are provided and each park service point, in accordance with the </w:t>
            </w:r>
            <w:r w:rsidR="00201550">
              <w:rPr>
                <w:rFonts w:asciiTheme="majorHAnsi" w:hAnsiTheme="majorHAnsi" w:cstheme="majorHAnsi"/>
                <w:lang w:eastAsia="fr-CA"/>
              </w:rPr>
              <w:t>CT&amp;A Procedures</w:t>
            </w:r>
            <w:r w:rsidR="006031B9" w:rsidRPr="0064242F">
              <w:rPr>
                <w:rFonts w:asciiTheme="majorHAnsi" w:hAnsiTheme="majorHAnsi" w:cstheme="majorHAnsi"/>
                <w:lang w:eastAsia="fr-CA"/>
              </w:rPr>
              <w:t>.</w:t>
            </w:r>
            <w:r>
              <w:rPr>
                <w:rStyle w:val="FootnoteReference"/>
                <w:rFonts w:asciiTheme="majorHAnsi" w:hAnsiTheme="majorHAnsi" w:cstheme="majorHAnsi"/>
                <w:lang w:eastAsia="fr-CA"/>
              </w:rPr>
              <w:footnoteReference w:id="142"/>
            </w:r>
            <w:r w:rsidR="006031B9" w:rsidRPr="0064242F">
              <w:rPr>
                <w:rFonts w:asciiTheme="majorHAnsi" w:hAnsiTheme="majorHAnsi" w:cstheme="majorHAnsi"/>
                <w:lang w:eastAsia="fr-CA"/>
              </w:rPr>
              <w:t xml:space="preserve"> </w:t>
            </w:r>
          </w:p>
        </w:tc>
      </w:tr>
      <w:tr w:rsidR="006031B9" w:rsidRPr="00C37D44" w14:paraId="6891F12C" w14:textId="77777777" w:rsidTr="00590352">
        <w:trPr>
          <w:cnfStyle w:val="000000010000" w:firstRow="0" w:lastRow="0" w:firstColumn="0" w:lastColumn="0" w:oddVBand="0" w:evenVBand="0" w:oddHBand="0" w:evenHBand="1" w:firstRowFirstColumn="0" w:firstRowLastColumn="0" w:lastRowFirstColumn="0" w:lastRowLastColumn="0"/>
        </w:trPr>
        <w:tc>
          <w:tcPr>
            <w:tcW w:w="649" w:type="pct"/>
            <w:tcBorders>
              <w:top w:val="single" w:sz="4" w:space="0" w:color="auto"/>
              <w:left w:val="nil"/>
              <w:bottom w:val="single" w:sz="4" w:space="0" w:color="auto"/>
              <w:right w:val="single" w:sz="4" w:space="0" w:color="auto"/>
            </w:tcBorders>
          </w:tcPr>
          <w:p w14:paraId="5A7FC78A" w14:textId="77777777" w:rsidR="006031B9" w:rsidRPr="0064242F" w:rsidRDefault="006031B9" w:rsidP="003C3093">
            <w:pPr>
              <w:pStyle w:val="TableBodyText"/>
              <w:keepNext/>
              <w:spacing w:before="40" w:after="120" w:line="240" w:lineRule="auto"/>
              <w:rPr>
                <w:rFonts w:asciiTheme="majorHAnsi" w:hAnsiTheme="majorHAnsi" w:cstheme="majorHAnsi"/>
              </w:rPr>
            </w:pPr>
            <w:r w:rsidRPr="0064242F">
              <w:rPr>
                <w:rFonts w:asciiTheme="majorHAnsi" w:hAnsiTheme="majorHAnsi" w:cstheme="majorHAnsi"/>
              </w:rPr>
              <w:lastRenderedPageBreak/>
              <w:t>Determination of zones and pipeline segments</w:t>
            </w:r>
          </w:p>
        </w:tc>
        <w:tc>
          <w:tcPr>
            <w:tcW w:w="4351" w:type="pct"/>
            <w:tcBorders>
              <w:top w:val="single" w:sz="4" w:space="0" w:color="auto"/>
              <w:left w:val="single" w:sz="4" w:space="0" w:color="auto"/>
              <w:bottom w:val="single" w:sz="4" w:space="0" w:color="auto"/>
              <w:right w:val="nil"/>
            </w:tcBorders>
          </w:tcPr>
          <w:p w14:paraId="7316E7B9" w14:textId="77777777" w:rsidR="003C3093" w:rsidRDefault="006031B9" w:rsidP="003C3093">
            <w:pPr>
              <w:pStyle w:val="TableBodyText"/>
              <w:keepNext/>
              <w:spacing w:before="40" w:after="120" w:line="240" w:lineRule="auto"/>
              <w:rPr>
                <w:rFonts w:asciiTheme="majorHAnsi" w:hAnsiTheme="majorHAnsi" w:cstheme="majorHAnsi"/>
              </w:rPr>
            </w:pPr>
            <w:r w:rsidRPr="0064242F">
              <w:rPr>
                <w:rFonts w:asciiTheme="majorHAnsi" w:hAnsiTheme="majorHAnsi" w:cstheme="majorHAnsi"/>
              </w:rPr>
              <w:t xml:space="preserve">AEMO </w:t>
            </w:r>
            <w:r w:rsidR="00EF06D9">
              <w:rPr>
                <w:rFonts w:asciiTheme="majorHAnsi" w:hAnsiTheme="majorHAnsi" w:cstheme="majorHAnsi"/>
              </w:rPr>
              <w:t xml:space="preserve">is </w:t>
            </w:r>
            <w:r w:rsidRPr="0064242F">
              <w:rPr>
                <w:rFonts w:asciiTheme="majorHAnsi" w:hAnsiTheme="majorHAnsi" w:cstheme="majorHAnsi"/>
              </w:rPr>
              <w:t>responsible for determining the zones and pipeline segments that will be used in the capacity trading platform and the auction, following consultation with interested parties.</w:t>
            </w:r>
            <w:r w:rsidR="003C3093">
              <w:rPr>
                <w:rStyle w:val="FootnoteReference"/>
                <w:rFonts w:asciiTheme="majorHAnsi" w:hAnsiTheme="majorHAnsi" w:cstheme="majorHAnsi"/>
              </w:rPr>
              <w:footnoteReference w:id="143"/>
            </w:r>
            <w:r w:rsidRPr="0064242F">
              <w:rPr>
                <w:rFonts w:asciiTheme="majorHAnsi" w:hAnsiTheme="majorHAnsi" w:cstheme="majorHAnsi"/>
              </w:rPr>
              <w:t xml:space="preserve"> The </w:t>
            </w:r>
            <w:r w:rsidR="00201550">
              <w:rPr>
                <w:rFonts w:asciiTheme="majorHAnsi" w:hAnsiTheme="majorHAnsi" w:cstheme="majorHAnsi"/>
              </w:rPr>
              <w:t>CT&amp;A Procedures</w:t>
            </w:r>
            <w:r w:rsidRPr="0064242F">
              <w:rPr>
                <w:rFonts w:asciiTheme="majorHAnsi" w:hAnsiTheme="majorHAnsi" w:cstheme="majorHAnsi"/>
              </w:rPr>
              <w:t xml:space="preserve"> </w:t>
            </w:r>
            <w:r w:rsidR="00EF06D9">
              <w:rPr>
                <w:rFonts w:asciiTheme="majorHAnsi" w:hAnsiTheme="majorHAnsi" w:cstheme="majorHAnsi"/>
              </w:rPr>
              <w:t xml:space="preserve">must </w:t>
            </w:r>
            <w:r w:rsidRPr="0064242F">
              <w:rPr>
                <w:rFonts w:asciiTheme="majorHAnsi" w:hAnsiTheme="majorHAnsi" w:cstheme="majorHAnsi"/>
              </w:rPr>
              <w:t xml:space="preserve">set out the arrangements AEMO will use to consult on and determine the zones and pipeline segments, the information to be published in the consultation </w:t>
            </w:r>
            <w:r>
              <w:rPr>
                <w:rFonts w:asciiTheme="majorHAnsi" w:hAnsiTheme="majorHAnsi" w:cstheme="majorHAnsi"/>
              </w:rPr>
              <w:t>process</w:t>
            </w:r>
            <w:r w:rsidRPr="0064242F">
              <w:rPr>
                <w:rFonts w:asciiTheme="majorHAnsi" w:hAnsiTheme="majorHAnsi" w:cstheme="majorHAnsi"/>
              </w:rPr>
              <w:t>, time frames and confidentiality arrangements.</w:t>
            </w:r>
            <w:r w:rsidR="003C3093">
              <w:rPr>
                <w:rStyle w:val="FootnoteReference"/>
                <w:rFonts w:asciiTheme="majorHAnsi" w:hAnsiTheme="majorHAnsi" w:cstheme="majorHAnsi"/>
              </w:rPr>
              <w:footnoteReference w:id="144"/>
            </w:r>
            <w:r w:rsidRPr="0064242F">
              <w:rPr>
                <w:rFonts w:asciiTheme="majorHAnsi" w:hAnsiTheme="majorHAnsi" w:cstheme="majorHAnsi"/>
              </w:rPr>
              <w:t xml:space="preserve"> </w:t>
            </w:r>
          </w:p>
          <w:p w14:paraId="50C4A84E" w14:textId="77777777" w:rsidR="006031B9" w:rsidRPr="0064242F" w:rsidRDefault="00EF06D9" w:rsidP="003C3093">
            <w:pPr>
              <w:pStyle w:val="TableBodyText"/>
              <w:keepNext/>
              <w:spacing w:before="40" w:after="120" w:line="240" w:lineRule="auto"/>
              <w:rPr>
                <w:rFonts w:asciiTheme="majorHAnsi" w:hAnsiTheme="majorHAnsi" w:cstheme="majorHAnsi"/>
                <w:szCs w:val="18"/>
              </w:rPr>
            </w:pPr>
            <w:r>
              <w:rPr>
                <w:rFonts w:asciiTheme="majorHAnsi" w:hAnsiTheme="majorHAnsi" w:cstheme="majorHAnsi"/>
              </w:rPr>
              <w:t xml:space="preserve">When making a </w:t>
            </w:r>
            <w:r w:rsidR="006031B9" w:rsidRPr="0064242F">
              <w:rPr>
                <w:rFonts w:asciiTheme="majorHAnsi" w:hAnsiTheme="majorHAnsi" w:cstheme="majorHAnsi"/>
              </w:rPr>
              <w:t xml:space="preserve">decision about zones AEMO </w:t>
            </w:r>
            <w:r>
              <w:rPr>
                <w:rFonts w:asciiTheme="majorHAnsi" w:hAnsiTheme="majorHAnsi" w:cstheme="majorHAnsi"/>
              </w:rPr>
              <w:t xml:space="preserve">may </w:t>
            </w:r>
            <w:r w:rsidR="006031B9" w:rsidRPr="0064242F">
              <w:rPr>
                <w:rFonts w:asciiTheme="majorHAnsi" w:hAnsiTheme="majorHAnsi" w:cstheme="majorHAnsi"/>
              </w:rPr>
              <w:t xml:space="preserve">have </w:t>
            </w:r>
            <w:r w:rsidR="006031B9" w:rsidRPr="0064242F">
              <w:rPr>
                <w:rFonts w:asciiTheme="majorHAnsi" w:hAnsiTheme="majorHAnsi" w:cstheme="majorHAnsi"/>
                <w:szCs w:val="18"/>
              </w:rPr>
              <w:t>regard to:</w:t>
            </w:r>
            <w:r w:rsidR="003C3093">
              <w:rPr>
                <w:rStyle w:val="FootnoteReference"/>
                <w:rFonts w:asciiTheme="majorHAnsi" w:hAnsiTheme="majorHAnsi" w:cstheme="majorHAnsi"/>
                <w:szCs w:val="18"/>
              </w:rPr>
              <w:footnoteReference w:id="145"/>
            </w:r>
          </w:p>
          <w:p w14:paraId="23799B2B" w14:textId="77777777" w:rsidR="006031B9" w:rsidRPr="0064242F" w:rsidRDefault="006031B9" w:rsidP="003C3093">
            <w:pPr>
              <w:pStyle w:val="TableBullet1"/>
              <w:keepNext/>
              <w:spacing w:before="40" w:after="120" w:line="240" w:lineRule="auto"/>
              <w:ind w:left="85" w:firstLine="0"/>
              <w:rPr>
                <w:rFonts w:asciiTheme="majorHAnsi" w:hAnsiTheme="majorHAnsi" w:cstheme="majorHAnsi"/>
                <w:lang w:eastAsia="fr-CA"/>
              </w:rPr>
            </w:pPr>
            <w:r w:rsidRPr="0064242F">
              <w:rPr>
                <w:rFonts w:asciiTheme="majorHAnsi" w:hAnsiTheme="majorHAnsi" w:cstheme="majorHAnsi"/>
                <w:lang w:eastAsia="fr-CA"/>
              </w:rPr>
              <w:t xml:space="preserve">the impact of the proposed allocation of points on trade in auction and exchange products, including the impact on demand or liquidity; </w:t>
            </w:r>
          </w:p>
          <w:p w14:paraId="0B428A81" w14:textId="77777777" w:rsidR="006031B9" w:rsidRPr="0064242F" w:rsidRDefault="006031B9" w:rsidP="003C3093">
            <w:pPr>
              <w:pStyle w:val="TableBullet1"/>
              <w:keepNext/>
              <w:spacing w:before="40" w:after="120" w:line="240" w:lineRule="auto"/>
              <w:ind w:left="85" w:firstLine="0"/>
              <w:rPr>
                <w:rFonts w:asciiTheme="majorHAnsi" w:hAnsiTheme="majorHAnsi" w:cstheme="majorHAnsi"/>
                <w:lang w:eastAsia="fr-CA"/>
              </w:rPr>
            </w:pPr>
            <w:r w:rsidRPr="0064242F">
              <w:rPr>
                <w:rFonts w:asciiTheme="majorHAnsi" w:eastAsiaTheme="minorHAnsi" w:hAnsiTheme="majorHAnsi" w:cstheme="majorHAnsi"/>
                <w:lang w:eastAsia="en-US"/>
              </w:rPr>
              <w:t>the possible curtailment of capacity transferred between points within a zone, over time or at particular times or in particular conditions</w:t>
            </w:r>
            <w:r w:rsidRPr="0064242F">
              <w:rPr>
                <w:rFonts w:asciiTheme="majorHAnsi" w:hAnsiTheme="majorHAnsi" w:cstheme="majorHAnsi"/>
                <w:lang w:eastAsia="fr-CA"/>
              </w:rPr>
              <w:t>; and</w:t>
            </w:r>
          </w:p>
          <w:p w14:paraId="12C82E17" w14:textId="77777777" w:rsidR="006031B9" w:rsidRPr="0064242F" w:rsidRDefault="006031B9" w:rsidP="003C3093">
            <w:pPr>
              <w:pStyle w:val="TableBullet1"/>
              <w:keepNext/>
              <w:spacing w:before="40" w:after="120" w:line="240" w:lineRule="auto"/>
              <w:ind w:left="85" w:firstLine="0"/>
              <w:rPr>
                <w:rFonts w:asciiTheme="majorHAnsi" w:hAnsiTheme="majorHAnsi" w:cstheme="majorHAnsi"/>
                <w:lang w:eastAsia="fr-CA"/>
              </w:rPr>
            </w:pPr>
            <w:r w:rsidRPr="0064242F">
              <w:rPr>
                <w:rFonts w:asciiTheme="majorHAnsi" w:hAnsiTheme="majorHAnsi" w:cstheme="majorHAnsi"/>
                <w:lang w:eastAsia="fr-CA"/>
              </w:rPr>
              <w:t>the operational and technical characteristics of the pipeline.</w:t>
            </w:r>
          </w:p>
          <w:p w14:paraId="249CD6D0" w14:textId="77777777" w:rsidR="003C3093" w:rsidRDefault="00EF06D9" w:rsidP="003C3093">
            <w:pPr>
              <w:pStyle w:val="TableBodyText"/>
              <w:keepNext/>
              <w:spacing w:before="40" w:after="120" w:line="240" w:lineRule="auto"/>
              <w:rPr>
                <w:rFonts w:asciiTheme="majorHAnsi" w:hAnsiTheme="majorHAnsi" w:cstheme="majorHAnsi"/>
              </w:rPr>
            </w:pPr>
            <w:r>
              <w:rPr>
                <w:rFonts w:asciiTheme="majorHAnsi" w:hAnsiTheme="majorHAnsi" w:cstheme="majorHAnsi"/>
              </w:rPr>
              <w:t xml:space="preserve">Provisions in the NGR require </w:t>
            </w:r>
            <w:r w:rsidR="003C3093">
              <w:rPr>
                <w:rFonts w:asciiTheme="majorHAnsi" w:hAnsiTheme="majorHAnsi" w:cstheme="majorHAnsi"/>
              </w:rPr>
              <w:t xml:space="preserve">facility operators </w:t>
            </w:r>
            <w:r w:rsidR="006031B9" w:rsidRPr="0064242F">
              <w:rPr>
                <w:rFonts w:asciiTheme="majorHAnsi" w:hAnsiTheme="majorHAnsi" w:cstheme="majorHAnsi"/>
              </w:rPr>
              <w:t>to provide AEMO with the information it reasonably requires for the assessment of the proposed zone and to undertake any analysis of proposed zones required by AEMO.</w:t>
            </w:r>
            <w:r w:rsidR="003C3093">
              <w:rPr>
                <w:rStyle w:val="FootnoteReference"/>
                <w:rFonts w:asciiTheme="majorHAnsi" w:hAnsiTheme="majorHAnsi" w:cstheme="majorHAnsi"/>
              </w:rPr>
              <w:footnoteReference w:id="146"/>
            </w:r>
          </w:p>
          <w:p w14:paraId="2FE9B4B8" w14:textId="77777777" w:rsidR="006031B9" w:rsidRDefault="006031B9" w:rsidP="003C3093">
            <w:pPr>
              <w:pStyle w:val="TableBodyText"/>
              <w:keepNext/>
              <w:spacing w:before="40" w:after="120" w:line="240" w:lineRule="auto"/>
              <w:rPr>
                <w:rFonts w:asciiTheme="majorHAnsi" w:hAnsiTheme="majorHAnsi" w:cstheme="majorHAnsi"/>
              </w:rPr>
            </w:pPr>
            <w:r w:rsidRPr="0064242F">
              <w:rPr>
                <w:rFonts w:asciiTheme="majorHAnsi" w:hAnsiTheme="majorHAnsi" w:cstheme="majorHAnsi"/>
              </w:rPr>
              <w:t xml:space="preserve">Once the zones are established, AEMO </w:t>
            </w:r>
            <w:r w:rsidR="00EF06D9">
              <w:rPr>
                <w:rFonts w:asciiTheme="majorHAnsi" w:hAnsiTheme="majorHAnsi" w:cstheme="majorHAnsi"/>
              </w:rPr>
              <w:t xml:space="preserve">must </w:t>
            </w:r>
            <w:r w:rsidRPr="0064242F">
              <w:rPr>
                <w:rFonts w:asciiTheme="majorHAnsi" w:hAnsiTheme="majorHAnsi" w:cstheme="majorHAnsi"/>
              </w:rPr>
              <w:t xml:space="preserve">publish information provided by </w:t>
            </w:r>
            <w:r w:rsidR="00DA16AB" w:rsidRPr="00DA16AB">
              <w:rPr>
                <w:szCs w:val="18"/>
              </w:rPr>
              <w:t xml:space="preserve">transportation </w:t>
            </w:r>
            <w:r w:rsidRPr="0064242F">
              <w:rPr>
                <w:rFonts w:asciiTheme="majorHAnsi" w:hAnsiTheme="majorHAnsi" w:cstheme="majorHAnsi"/>
              </w:rPr>
              <w:t xml:space="preserve">service providers </w:t>
            </w:r>
            <w:r>
              <w:rPr>
                <w:rFonts w:asciiTheme="majorHAnsi" w:hAnsiTheme="majorHAnsi" w:cstheme="majorHAnsi"/>
              </w:rPr>
              <w:t xml:space="preserve">relating to curtailment of </w:t>
            </w:r>
            <w:r w:rsidRPr="0064242F">
              <w:rPr>
                <w:rFonts w:asciiTheme="majorHAnsi" w:hAnsiTheme="majorHAnsi" w:cstheme="majorHAnsi"/>
              </w:rPr>
              <w:t xml:space="preserve">capacity </w:t>
            </w:r>
            <w:r>
              <w:rPr>
                <w:rFonts w:asciiTheme="majorHAnsi" w:hAnsiTheme="majorHAnsi" w:cstheme="majorHAnsi"/>
              </w:rPr>
              <w:t xml:space="preserve">transferred </w:t>
            </w:r>
            <w:r w:rsidR="00864E08">
              <w:rPr>
                <w:rFonts w:asciiTheme="majorHAnsi" w:hAnsiTheme="majorHAnsi" w:cstheme="majorHAnsi"/>
              </w:rPr>
              <w:t xml:space="preserve">within </w:t>
            </w:r>
            <w:r w:rsidRPr="0064242F">
              <w:rPr>
                <w:rFonts w:asciiTheme="majorHAnsi" w:hAnsiTheme="majorHAnsi" w:cstheme="majorHAnsi"/>
              </w:rPr>
              <w:t xml:space="preserve">a zone, so shippers can </w:t>
            </w:r>
            <w:r w:rsidR="005E6FB8">
              <w:rPr>
                <w:rFonts w:asciiTheme="majorHAnsi" w:hAnsiTheme="majorHAnsi" w:cstheme="majorHAnsi"/>
              </w:rPr>
              <w:t xml:space="preserve">analyse </w:t>
            </w:r>
            <w:r w:rsidRPr="0064242F">
              <w:rPr>
                <w:rFonts w:asciiTheme="majorHAnsi" w:hAnsiTheme="majorHAnsi" w:cstheme="majorHAnsi"/>
              </w:rPr>
              <w:t>deliverability risks.</w:t>
            </w:r>
            <w:r w:rsidR="003C3093">
              <w:rPr>
                <w:rStyle w:val="FootnoteReference"/>
                <w:rFonts w:asciiTheme="majorHAnsi" w:hAnsiTheme="majorHAnsi" w:cstheme="majorHAnsi"/>
              </w:rPr>
              <w:footnoteReference w:id="147"/>
            </w:r>
            <w:r w:rsidRPr="0064242F">
              <w:rPr>
                <w:rFonts w:asciiTheme="majorHAnsi" w:hAnsiTheme="majorHAnsi" w:cstheme="majorHAnsi"/>
              </w:rPr>
              <w:t xml:space="preserve"> </w:t>
            </w:r>
          </w:p>
          <w:p w14:paraId="33C6B170" w14:textId="77777777" w:rsidR="003C3093" w:rsidRPr="0064242F" w:rsidRDefault="003C3093" w:rsidP="003C3093">
            <w:pPr>
              <w:pStyle w:val="TableBodyText"/>
              <w:keepNext/>
              <w:spacing w:before="40" w:after="120" w:line="240" w:lineRule="auto"/>
              <w:rPr>
                <w:rFonts w:asciiTheme="majorHAnsi" w:hAnsiTheme="majorHAnsi" w:cstheme="majorHAnsi"/>
              </w:rPr>
            </w:pPr>
            <w:r>
              <w:rPr>
                <w:rFonts w:asciiTheme="majorHAnsi" w:hAnsiTheme="majorHAnsi" w:cstheme="majorHAnsi"/>
              </w:rPr>
              <w:t xml:space="preserve">AEMO must also publish and maintain a </w:t>
            </w:r>
            <w:r w:rsidRPr="0064242F">
              <w:rPr>
                <w:rFonts w:asciiTheme="majorHAnsi" w:hAnsiTheme="majorHAnsi" w:cstheme="majorHAnsi"/>
              </w:rPr>
              <w:t xml:space="preserve">transportation service point register that </w:t>
            </w:r>
            <w:r>
              <w:rPr>
                <w:rFonts w:asciiTheme="majorHAnsi" w:hAnsiTheme="majorHAnsi" w:cstheme="majorHAnsi"/>
              </w:rPr>
              <w:t>sets out the service points, pipeline segments and zones and identifies those service points that are DWGM and STTM interface points</w:t>
            </w:r>
            <w:r w:rsidRPr="0064242F">
              <w:rPr>
                <w:rFonts w:asciiTheme="majorHAnsi" w:hAnsiTheme="majorHAnsi" w:cstheme="majorHAnsi"/>
              </w:rPr>
              <w:t>.</w:t>
            </w:r>
            <w:r>
              <w:rPr>
                <w:rStyle w:val="FootnoteReference"/>
                <w:rFonts w:asciiTheme="majorHAnsi" w:hAnsiTheme="majorHAnsi" w:cstheme="majorHAnsi"/>
              </w:rPr>
              <w:footnoteReference w:id="148"/>
            </w:r>
          </w:p>
        </w:tc>
      </w:tr>
    </w:tbl>
    <w:p w14:paraId="41DE1CDF" w14:textId="77777777" w:rsidR="000204F6" w:rsidRPr="000204F6" w:rsidRDefault="000204F6" w:rsidP="000204F6">
      <w:pPr>
        <w:pStyle w:val="BodyText"/>
        <w:spacing w:before="0" w:after="0"/>
        <w:rPr>
          <w:sz w:val="2"/>
          <w:szCs w:val="2"/>
          <w:lang w:eastAsia="fr-CA"/>
        </w:rPr>
      </w:pPr>
    </w:p>
    <w:p w14:paraId="01066278" w14:textId="77777777" w:rsidR="00282F43" w:rsidRPr="000204F6" w:rsidRDefault="00282F43" w:rsidP="000204F6">
      <w:pPr>
        <w:pStyle w:val="BodyText"/>
        <w:spacing w:before="0" w:after="0"/>
        <w:rPr>
          <w:sz w:val="2"/>
          <w:szCs w:val="2"/>
        </w:rPr>
        <w:sectPr w:rsidR="00282F43" w:rsidRPr="000204F6" w:rsidSect="00864E08">
          <w:pgSz w:w="16840" w:h="11907" w:orient="landscape" w:code="9"/>
          <w:pgMar w:top="646" w:right="1418" w:bottom="851" w:left="1701" w:header="425" w:footer="397" w:gutter="0"/>
          <w:cols w:space="708"/>
          <w:docGrid w:linePitch="360"/>
        </w:sectPr>
      </w:pPr>
    </w:p>
    <w:p w14:paraId="6CFC45B2" w14:textId="77777777" w:rsidR="00864E08" w:rsidRDefault="00864E08" w:rsidP="003A4919">
      <w:pPr>
        <w:pStyle w:val="Heading2"/>
      </w:pPr>
      <w:bookmarkStart w:id="73" w:name="_Toc530546467"/>
      <w:r>
        <w:lastRenderedPageBreak/>
        <w:t>Legal and regulatory framework</w:t>
      </w:r>
      <w:bookmarkEnd w:id="73"/>
      <w:r>
        <w:t xml:space="preserve"> </w:t>
      </w:r>
    </w:p>
    <w:p w14:paraId="250AAF09" w14:textId="77777777" w:rsidR="00864E08" w:rsidRDefault="00864E08" w:rsidP="00864E08">
      <w:pPr>
        <w:pStyle w:val="BodyText"/>
      </w:pPr>
      <w:r>
        <w:t>To implement the measures outlined above, a number of changes have been made to the NGL, the Regulations and the NGR</w:t>
      </w:r>
      <w:r w:rsidR="00980E9F">
        <w:t>. T</w:t>
      </w:r>
      <w:r>
        <w:t xml:space="preserve">he Code has also been developed. Further detail on these instruments is provided below. </w:t>
      </w:r>
    </w:p>
    <w:p w14:paraId="25E9A48B" w14:textId="77777777" w:rsidR="00994675" w:rsidRDefault="00994675" w:rsidP="00864E08">
      <w:pPr>
        <w:pStyle w:val="Heading3"/>
      </w:pPr>
      <w:r>
        <w:t>Changes to the NGL</w:t>
      </w:r>
    </w:p>
    <w:p w14:paraId="0F5A2BC9" w14:textId="77777777" w:rsidR="00994675" w:rsidRDefault="002C0A92" w:rsidP="00994675">
      <w:pPr>
        <w:pStyle w:val="BodyText"/>
      </w:pPr>
      <w:r>
        <w:t xml:space="preserve">To give effect to the final design of the measures required to facilitate capacity trading and the day-ahead auction the NGL has </w:t>
      </w:r>
      <w:r w:rsidR="00864E08">
        <w:t xml:space="preserve">been </w:t>
      </w:r>
      <w:r w:rsidR="001C0945">
        <w:t xml:space="preserve">amended </w:t>
      </w:r>
      <w:r w:rsidR="00864E08">
        <w:t xml:space="preserve">to expand </w:t>
      </w:r>
      <w:r w:rsidR="00994675">
        <w:t>the functions and powers of the AEMC, the AER and AEMO</w:t>
      </w:r>
      <w:r w:rsidR="00641A32">
        <w:t>. These amendments</w:t>
      </w:r>
      <w:r w:rsidR="00132951">
        <w:t xml:space="preserve"> </w:t>
      </w:r>
      <w:r w:rsidR="0074135B">
        <w:t>include</w:t>
      </w:r>
      <w:r w:rsidR="00994675">
        <w:t>:</w:t>
      </w:r>
    </w:p>
    <w:p w14:paraId="114E75D8" w14:textId="77777777" w:rsidR="00994675" w:rsidRDefault="00951BF8" w:rsidP="0035077C">
      <w:pPr>
        <w:pStyle w:val="ListBullet"/>
        <w:numPr>
          <w:ilvl w:val="0"/>
          <w:numId w:val="19"/>
        </w:numPr>
      </w:pPr>
      <w:r>
        <w:rPr>
          <w:lang w:eastAsia="fr-CA"/>
        </w:rPr>
        <w:t>E</w:t>
      </w:r>
      <w:r w:rsidR="00994675">
        <w:rPr>
          <w:lang w:eastAsia="fr-CA"/>
        </w:rPr>
        <w:t>xtending the subject matter of the NGR</w:t>
      </w:r>
      <w:r w:rsidR="00994675">
        <w:rPr>
          <w:rStyle w:val="FootnoteReference"/>
          <w:lang w:eastAsia="fr-CA"/>
        </w:rPr>
        <w:footnoteReference w:id="149"/>
      </w:r>
      <w:r w:rsidR="00994675">
        <w:rPr>
          <w:lang w:eastAsia="fr-CA"/>
        </w:rPr>
        <w:t xml:space="preserve"> and </w:t>
      </w:r>
      <w:r>
        <w:rPr>
          <w:lang w:eastAsia="fr-CA"/>
        </w:rPr>
        <w:t xml:space="preserve">the </w:t>
      </w:r>
      <w:r w:rsidR="00994675">
        <w:rPr>
          <w:lang w:eastAsia="fr-CA"/>
        </w:rPr>
        <w:t>scope of the AEMC’s rule making function</w:t>
      </w:r>
      <w:r w:rsidR="00864E08">
        <w:rPr>
          <w:lang w:eastAsia="fr-CA"/>
        </w:rPr>
        <w:t>s</w:t>
      </w:r>
      <w:r>
        <w:rPr>
          <w:lang w:eastAsia="fr-CA"/>
        </w:rPr>
        <w:t xml:space="preserve"> to include the measures outlined in section 5.1.</w:t>
      </w:r>
      <w:r w:rsidR="00994675">
        <w:rPr>
          <w:rStyle w:val="FootnoteReference"/>
          <w:lang w:eastAsia="fr-CA"/>
        </w:rPr>
        <w:footnoteReference w:id="150"/>
      </w:r>
    </w:p>
    <w:p w14:paraId="0A0B9F50" w14:textId="77777777" w:rsidR="00994675" w:rsidRDefault="00951BF8" w:rsidP="0035077C">
      <w:pPr>
        <w:pStyle w:val="ListBullet"/>
        <w:numPr>
          <w:ilvl w:val="0"/>
          <w:numId w:val="19"/>
        </w:numPr>
      </w:pPr>
      <w:r>
        <w:rPr>
          <w:lang w:eastAsia="fr-CA"/>
        </w:rPr>
        <w:t>A</w:t>
      </w:r>
      <w:r w:rsidR="00994675">
        <w:rPr>
          <w:lang w:eastAsia="fr-CA"/>
        </w:rPr>
        <w:t>ccording the AER the power to make and amend the Code</w:t>
      </w:r>
      <w:r>
        <w:rPr>
          <w:lang w:eastAsia="fr-CA"/>
        </w:rPr>
        <w:t>.</w:t>
      </w:r>
      <w:r w:rsidR="00994675">
        <w:rPr>
          <w:rStyle w:val="FootnoteReference"/>
        </w:rPr>
        <w:footnoteReference w:id="151"/>
      </w:r>
      <w:r w:rsidR="0074135B">
        <w:rPr>
          <w:lang w:eastAsia="fr-CA"/>
        </w:rPr>
        <w:t xml:space="preserve"> </w:t>
      </w:r>
    </w:p>
    <w:p w14:paraId="7AEB6A3E" w14:textId="77777777" w:rsidR="00994675" w:rsidRDefault="00951BF8" w:rsidP="0035077C">
      <w:pPr>
        <w:pStyle w:val="ListBullet"/>
        <w:numPr>
          <w:ilvl w:val="0"/>
          <w:numId w:val="20"/>
        </w:numPr>
      </w:pPr>
      <w:r>
        <w:t>A</w:t>
      </w:r>
      <w:r w:rsidR="00994675">
        <w:t xml:space="preserve">mending AEMO’s functions and powers to allow it to: </w:t>
      </w:r>
    </w:p>
    <w:p w14:paraId="3457D6D8" w14:textId="77777777" w:rsidR="00994675" w:rsidRDefault="00994675" w:rsidP="00994675">
      <w:pPr>
        <w:pStyle w:val="ListBullet2"/>
        <w:ind w:left="714" w:hanging="357"/>
      </w:pPr>
      <w:r>
        <w:t>establish, operate and administer transaction support arrangements</w:t>
      </w:r>
      <w:r>
        <w:rPr>
          <w:rStyle w:val="FootnoteReference"/>
        </w:rPr>
        <w:footnoteReference w:id="152"/>
      </w:r>
      <w:r>
        <w:t xml:space="preserve"> and conduct relevant trials;</w:t>
      </w:r>
      <w:r>
        <w:rPr>
          <w:rStyle w:val="FootnoteReference"/>
        </w:rPr>
        <w:footnoteReference w:id="153"/>
      </w:r>
    </w:p>
    <w:p w14:paraId="28D9DBEF" w14:textId="77777777" w:rsidR="00994675" w:rsidRDefault="00994675" w:rsidP="00994675">
      <w:pPr>
        <w:pStyle w:val="ListBullet2"/>
        <w:ind w:left="714" w:hanging="357"/>
      </w:pPr>
      <w:r>
        <w:t xml:space="preserve">make the </w:t>
      </w:r>
      <w:r w:rsidR="00201550">
        <w:t>CT&amp;A Procedures</w:t>
      </w:r>
      <w:r w:rsidR="00864E08">
        <w:t xml:space="preserve">, require AEMO and people to whom </w:t>
      </w:r>
      <w:r w:rsidR="0074135B">
        <w:t>the p</w:t>
      </w:r>
      <w:r w:rsidR="00864E08">
        <w:t xml:space="preserve">rocedures apply to comply with the </w:t>
      </w:r>
      <w:r w:rsidR="003E60B7">
        <w:t xml:space="preserve">CT&amp;A </w:t>
      </w:r>
      <w:r w:rsidR="00864E08">
        <w:t>Procedures, and set out what AEMO is required to do if it suspects the</w:t>
      </w:r>
      <w:r w:rsidR="003E60B7">
        <w:t>se</w:t>
      </w:r>
      <w:r w:rsidR="00864E08">
        <w:t xml:space="preserve"> </w:t>
      </w:r>
      <w:r w:rsidR="003E60B7">
        <w:t>p</w:t>
      </w:r>
      <w:r w:rsidR="00864E08">
        <w:t>rocedures have been breached</w:t>
      </w:r>
      <w:r>
        <w:t>;</w:t>
      </w:r>
      <w:r>
        <w:rPr>
          <w:rStyle w:val="FootnoteReference"/>
        </w:rPr>
        <w:footnoteReference w:id="154"/>
      </w:r>
      <w:r>
        <w:t xml:space="preserve"> and</w:t>
      </w:r>
    </w:p>
    <w:p w14:paraId="48D733E5" w14:textId="77777777" w:rsidR="00994675" w:rsidRDefault="00994675" w:rsidP="00994675">
      <w:pPr>
        <w:pStyle w:val="ListBullet2"/>
        <w:ind w:left="714" w:hanging="357"/>
      </w:pPr>
      <w:r>
        <w:t xml:space="preserve">disclose protected information if necessary for the proper operation of </w:t>
      </w:r>
      <w:r w:rsidR="00951BF8">
        <w:t xml:space="preserve">the day-ahead </w:t>
      </w:r>
      <w:r>
        <w:t xml:space="preserve">auction or the </w:t>
      </w:r>
      <w:r w:rsidR="00201550">
        <w:t>CT&amp;A Procedures</w:t>
      </w:r>
      <w:r>
        <w:t>.</w:t>
      </w:r>
      <w:r>
        <w:rPr>
          <w:rStyle w:val="FootnoteReference"/>
        </w:rPr>
        <w:footnoteReference w:id="155"/>
      </w:r>
    </w:p>
    <w:p w14:paraId="02EEAA64" w14:textId="77777777" w:rsidR="00994675" w:rsidRDefault="00994675" w:rsidP="00994675">
      <w:pPr>
        <w:pStyle w:val="ListBullet"/>
        <w:numPr>
          <w:ilvl w:val="0"/>
          <w:numId w:val="0"/>
        </w:numPr>
      </w:pPr>
      <w:r>
        <w:t xml:space="preserve">A new chapter (Chapter 7A Access to operational transportation services) has </w:t>
      </w:r>
      <w:r w:rsidR="00864E08">
        <w:t xml:space="preserve">also </w:t>
      </w:r>
      <w:r>
        <w:t xml:space="preserve">been </w:t>
      </w:r>
      <w:r w:rsidR="00937DCB">
        <w:t>included</w:t>
      </w:r>
      <w:r>
        <w:t xml:space="preserve"> </w:t>
      </w:r>
      <w:r w:rsidR="00864E08">
        <w:t>in the NGL</w:t>
      </w:r>
      <w:r w:rsidR="002C0A92">
        <w:t>, which</w:t>
      </w:r>
      <w:r w:rsidR="00864E08">
        <w:t xml:space="preserve"> </w:t>
      </w:r>
      <w:r w:rsidR="002C0A92">
        <w:t>sets out</w:t>
      </w:r>
      <w:r w:rsidR="00B640EB">
        <w:t xml:space="preserve"> a number of matters relating to</w:t>
      </w:r>
      <w:r>
        <w:t>:</w:t>
      </w:r>
    </w:p>
    <w:p w14:paraId="190B7BC6" w14:textId="77777777" w:rsidR="00994675" w:rsidRDefault="002C0A92" w:rsidP="0035077C">
      <w:pPr>
        <w:pStyle w:val="ListBullet"/>
        <w:numPr>
          <w:ilvl w:val="0"/>
          <w:numId w:val="20"/>
        </w:numPr>
        <w:rPr>
          <w:lang w:eastAsia="fr-CA"/>
        </w:rPr>
      </w:pPr>
      <w:r>
        <w:rPr>
          <w:lang w:eastAsia="fr-CA"/>
        </w:rPr>
        <w:t xml:space="preserve">the standard </w:t>
      </w:r>
      <w:r w:rsidR="00281A63">
        <w:rPr>
          <w:lang w:eastAsia="fr-CA"/>
        </w:rPr>
        <w:t>OTSA</w:t>
      </w:r>
      <w:r w:rsidR="00994675">
        <w:rPr>
          <w:lang w:eastAsia="fr-CA"/>
        </w:rPr>
        <w:t>, including:</w:t>
      </w:r>
    </w:p>
    <w:p w14:paraId="68980C4F" w14:textId="77777777" w:rsidR="00994675" w:rsidRDefault="00994675" w:rsidP="00994675">
      <w:pPr>
        <w:pStyle w:val="ListBullet2"/>
        <w:ind w:left="714" w:hanging="357"/>
        <w:rPr>
          <w:lang w:eastAsia="fr-CA"/>
        </w:rPr>
      </w:pPr>
      <w:r>
        <w:rPr>
          <w:lang w:eastAsia="fr-CA"/>
        </w:rPr>
        <w:t xml:space="preserve">the </w:t>
      </w:r>
      <w:r w:rsidR="002C0A92">
        <w:rPr>
          <w:lang w:eastAsia="fr-CA"/>
        </w:rPr>
        <w:t xml:space="preserve">obligation that </w:t>
      </w:r>
      <w:r w:rsidR="00937DCB">
        <w:rPr>
          <w:lang w:eastAsia="fr-CA"/>
        </w:rPr>
        <w:t xml:space="preserve">transportation </w:t>
      </w:r>
      <w:r w:rsidR="00864E08">
        <w:rPr>
          <w:lang w:eastAsia="fr-CA"/>
        </w:rPr>
        <w:t xml:space="preserve">service providers </w:t>
      </w:r>
      <w:r w:rsidR="002C0A92">
        <w:rPr>
          <w:lang w:eastAsia="fr-CA"/>
        </w:rPr>
        <w:t xml:space="preserve">have </w:t>
      </w:r>
      <w:r>
        <w:rPr>
          <w:lang w:eastAsia="fr-CA"/>
        </w:rPr>
        <w:t xml:space="preserve">to </w:t>
      </w:r>
      <w:r w:rsidR="00D9438E">
        <w:rPr>
          <w:lang w:eastAsia="fr-CA"/>
        </w:rPr>
        <w:t xml:space="preserve">prepare, </w:t>
      </w:r>
      <w:r>
        <w:rPr>
          <w:lang w:eastAsia="fr-CA"/>
        </w:rPr>
        <w:t xml:space="preserve">publish, update and offer to enter </w:t>
      </w:r>
      <w:r w:rsidR="002C0A92">
        <w:rPr>
          <w:lang w:eastAsia="fr-CA"/>
        </w:rPr>
        <w:t xml:space="preserve">into </w:t>
      </w:r>
      <w:r w:rsidR="00281A63">
        <w:rPr>
          <w:lang w:eastAsia="fr-CA"/>
        </w:rPr>
        <w:t>standard OTSAs</w:t>
      </w:r>
      <w:r>
        <w:rPr>
          <w:lang w:eastAsia="fr-CA"/>
        </w:rPr>
        <w:t>;</w:t>
      </w:r>
      <w:r>
        <w:rPr>
          <w:rStyle w:val="FootnoteReference"/>
          <w:lang w:eastAsia="fr-CA"/>
        </w:rPr>
        <w:footnoteReference w:id="156"/>
      </w:r>
    </w:p>
    <w:p w14:paraId="2C1D1814" w14:textId="77777777" w:rsidR="00994675" w:rsidRDefault="00994675" w:rsidP="00994675">
      <w:pPr>
        <w:pStyle w:val="ListBullet2"/>
        <w:ind w:left="714" w:hanging="357"/>
        <w:rPr>
          <w:lang w:eastAsia="fr-CA"/>
        </w:rPr>
      </w:pPr>
      <w:r>
        <w:rPr>
          <w:rFonts w:asciiTheme="majorHAnsi" w:hAnsiTheme="majorHAnsi" w:cstheme="majorHAnsi"/>
        </w:rPr>
        <w:t xml:space="preserve">the </w:t>
      </w:r>
      <w:r w:rsidR="002C0A92">
        <w:rPr>
          <w:rFonts w:asciiTheme="majorHAnsi" w:hAnsiTheme="majorHAnsi" w:cstheme="majorHAnsi"/>
        </w:rPr>
        <w:t xml:space="preserve">requirements for the </w:t>
      </w:r>
      <w:r w:rsidR="00B9365D">
        <w:rPr>
          <w:rFonts w:asciiTheme="majorHAnsi" w:hAnsiTheme="majorHAnsi" w:cstheme="majorHAnsi"/>
        </w:rPr>
        <w:t>standard OTSA</w:t>
      </w:r>
      <w:r w:rsidR="002C0A92">
        <w:rPr>
          <w:rFonts w:asciiTheme="majorHAnsi" w:hAnsiTheme="majorHAnsi" w:cstheme="majorHAnsi"/>
        </w:rPr>
        <w:t xml:space="preserve"> that the NGR may make provision for</w:t>
      </w:r>
      <w:r w:rsidR="00B640EB">
        <w:rPr>
          <w:rFonts w:asciiTheme="majorHAnsi" w:hAnsiTheme="majorHAnsi" w:cstheme="majorHAnsi"/>
        </w:rPr>
        <w:t xml:space="preserve"> (e.g. the form and content of a standard OTSA)</w:t>
      </w:r>
      <w:r>
        <w:rPr>
          <w:rFonts w:asciiTheme="majorHAnsi" w:hAnsiTheme="majorHAnsi" w:cstheme="majorHAnsi"/>
        </w:rPr>
        <w:t>;</w:t>
      </w:r>
      <w:r>
        <w:rPr>
          <w:rStyle w:val="FootnoteReference"/>
        </w:rPr>
        <w:footnoteReference w:id="157"/>
      </w:r>
      <w:r>
        <w:rPr>
          <w:lang w:eastAsia="fr-CA"/>
        </w:rPr>
        <w:t xml:space="preserve"> and</w:t>
      </w:r>
    </w:p>
    <w:p w14:paraId="733187E3" w14:textId="77777777" w:rsidR="00994675" w:rsidRDefault="00B640EB" w:rsidP="00994675">
      <w:pPr>
        <w:pStyle w:val="ListBullet2"/>
        <w:ind w:left="714" w:hanging="357"/>
        <w:rPr>
          <w:lang w:eastAsia="fr-CA"/>
        </w:rPr>
      </w:pPr>
      <w:r>
        <w:rPr>
          <w:lang w:eastAsia="fr-CA"/>
        </w:rPr>
        <w:t xml:space="preserve">the clarification that </w:t>
      </w:r>
      <w:r w:rsidR="00994675">
        <w:rPr>
          <w:rFonts w:asciiTheme="majorHAnsi" w:hAnsiTheme="majorHAnsi" w:cstheme="majorHAnsi"/>
        </w:rPr>
        <w:t>transportation service provider</w:t>
      </w:r>
      <w:r w:rsidR="00951BF8">
        <w:rPr>
          <w:rFonts w:asciiTheme="majorHAnsi" w:hAnsiTheme="majorHAnsi" w:cstheme="majorHAnsi"/>
        </w:rPr>
        <w:t>s</w:t>
      </w:r>
      <w:r w:rsidR="00994675">
        <w:rPr>
          <w:rFonts w:asciiTheme="majorHAnsi" w:hAnsiTheme="majorHAnsi" w:cstheme="majorHAnsi"/>
        </w:rPr>
        <w:t xml:space="preserve"> </w:t>
      </w:r>
      <w:r w:rsidR="00951BF8">
        <w:rPr>
          <w:rFonts w:asciiTheme="majorHAnsi" w:hAnsiTheme="majorHAnsi" w:cstheme="majorHAnsi"/>
        </w:rPr>
        <w:t xml:space="preserve">and shippers </w:t>
      </w:r>
      <w:r w:rsidR="00994675">
        <w:rPr>
          <w:rFonts w:asciiTheme="majorHAnsi" w:hAnsiTheme="majorHAnsi" w:cstheme="majorHAnsi"/>
        </w:rPr>
        <w:t xml:space="preserve">may enter into an </w:t>
      </w:r>
      <w:r w:rsidR="00B9365D">
        <w:rPr>
          <w:rFonts w:asciiTheme="majorHAnsi" w:hAnsiTheme="majorHAnsi" w:cstheme="majorHAnsi"/>
        </w:rPr>
        <w:t>OTSA</w:t>
      </w:r>
      <w:r w:rsidR="00994675">
        <w:rPr>
          <w:rFonts w:asciiTheme="majorHAnsi" w:hAnsiTheme="majorHAnsi" w:cstheme="majorHAnsi"/>
        </w:rPr>
        <w:t xml:space="preserve"> that differs from its </w:t>
      </w:r>
      <w:r w:rsidR="00B9365D">
        <w:rPr>
          <w:rFonts w:asciiTheme="majorHAnsi" w:hAnsiTheme="majorHAnsi" w:cstheme="majorHAnsi"/>
        </w:rPr>
        <w:t>standard OTSA</w:t>
      </w:r>
      <w:r w:rsidR="00994675">
        <w:rPr>
          <w:rFonts w:asciiTheme="majorHAnsi" w:hAnsiTheme="majorHAnsi" w:cstheme="majorHAnsi"/>
        </w:rPr>
        <w:t>;</w:t>
      </w:r>
      <w:r w:rsidR="001D439F">
        <w:rPr>
          <w:rStyle w:val="FootnoteReference"/>
          <w:rFonts w:asciiTheme="majorHAnsi" w:hAnsiTheme="majorHAnsi" w:cstheme="majorHAnsi"/>
        </w:rPr>
        <w:footnoteReference w:id="158"/>
      </w:r>
      <w:r w:rsidR="00994675">
        <w:rPr>
          <w:rFonts w:asciiTheme="majorHAnsi" w:hAnsiTheme="majorHAnsi" w:cstheme="majorHAnsi"/>
        </w:rPr>
        <w:t xml:space="preserve"> </w:t>
      </w:r>
    </w:p>
    <w:p w14:paraId="4E36FA63" w14:textId="77777777" w:rsidR="00994675" w:rsidRDefault="00994675" w:rsidP="002C0A92">
      <w:pPr>
        <w:pStyle w:val="ListBullet"/>
        <w:rPr>
          <w:lang w:eastAsia="fr-CA"/>
        </w:rPr>
      </w:pPr>
      <w:r>
        <w:rPr>
          <w:lang w:eastAsia="fr-CA"/>
        </w:rPr>
        <w:lastRenderedPageBreak/>
        <w:t>the Code, including</w:t>
      </w:r>
      <w:r w:rsidR="00937DCB">
        <w:rPr>
          <w:lang w:eastAsia="fr-CA"/>
        </w:rPr>
        <w:t xml:space="preserve"> </w:t>
      </w:r>
      <w:r>
        <w:rPr>
          <w:lang w:eastAsia="fr-CA"/>
        </w:rPr>
        <w:t>providing for the AER to amend the Code and</w:t>
      </w:r>
      <w:r w:rsidR="00937DCB">
        <w:rPr>
          <w:lang w:eastAsia="fr-CA"/>
        </w:rPr>
        <w:t xml:space="preserve"> specifying </w:t>
      </w:r>
      <w:r>
        <w:rPr>
          <w:lang w:eastAsia="fr-CA"/>
        </w:rPr>
        <w:t xml:space="preserve">the matters that the Code </w:t>
      </w:r>
      <w:r w:rsidR="001D439F">
        <w:rPr>
          <w:lang w:eastAsia="fr-CA"/>
        </w:rPr>
        <w:t>is intended to</w:t>
      </w:r>
      <w:r>
        <w:rPr>
          <w:lang w:eastAsia="fr-CA"/>
        </w:rPr>
        <w:t xml:space="preserve"> deal with</w:t>
      </w:r>
      <w:r w:rsidR="00937DCB">
        <w:rPr>
          <w:lang w:eastAsia="fr-CA"/>
        </w:rPr>
        <w:t>.</w:t>
      </w:r>
      <w:r w:rsidR="00937DCB">
        <w:rPr>
          <w:rStyle w:val="FootnoteReference"/>
        </w:rPr>
        <w:footnoteReference w:id="159"/>
      </w:r>
    </w:p>
    <w:p w14:paraId="2E308999" w14:textId="77777777" w:rsidR="00994675" w:rsidRDefault="00B640EB" w:rsidP="0035077C">
      <w:pPr>
        <w:pStyle w:val="ListBullet"/>
        <w:numPr>
          <w:ilvl w:val="0"/>
          <w:numId w:val="21"/>
        </w:numPr>
        <w:rPr>
          <w:lang w:eastAsia="fr-CA"/>
        </w:rPr>
      </w:pPr>
      <w:r>
        <w:rPr>
          <w:lang w:eastAsia="fr-CA"/>
        </w:rPr>
        <w:t xml:space="preserve">access to </w:t>
      </w:r>
      <w:r w:rsidR="00994675">
        <w:rPr>
          <w:lang w:eastAsia="fr-CA"/>
        </w:rPr>
        <w:t>operational transportation</w:t>
      </w:r>
      <w:r w:rsidR="005E6FB8">
        <w:rPr>
          <w:lang w:eastAsia="fr-CA"/>
        </w:rPr>
        <w:t xml:space="preserve"> services</w:t>
      </w:r>
      <w:r w:rsidR="00994675">
        <w:rPr>
          <w:lang w:eastAsia="fr-CA"/>
        </w:rPr>
        <w:t>, including:</w:t>
      </w:r>
    </w:p>
    <w:p w14:paraId="171B8010" w14:textId="77777777" w:rsidR="00994675" w:rsidRDefault="00994675" w:rsidP="00994675">
      <w:pPr>
        <w:pStyle w:val="ListBullet2"/>
        <w:ind w:left="714" w:hanging="357"/>
        <w:rPr>
          <w:lang w:eastAsia="fr-CA"/>
        </w:rPr>
      </w:pPr>
      <w:r>
        <w:rPr>
          <w:lang w:eastAsia="fr-CA"/>
        </w:rPr>
        <w:t>the service requirements that may be specified in the NGR;</w:t>
      </w:r>
      <w:r w:rsidR="00937DCB">
        <w:rPr>
          <w:rStyle w:val="FootnoteReference"/>
          <w:lang w:eastAsia="fr-CA"/>
        </w:rPr>
        <w:footnoteReference w:id="160"/>
      </w:r>
    </w:p>
    <w:p w14:paraId="150C923F" w14:textId="77777777" w:rsidR="00994675" w:rsidRDefault="00B640EB" w:rsidP="00994675">
      <w:pPr>
        <w:pStyle w:val="ListBullet2"/>
        <w:ind w:left="714" w:hanging="357"/>
        <w:rPr>
          <w:lang w:eastAsia="fr-CA"/>
        </w:rPr>
      </w:pPr>
      <w:r>
        <w:rPr>
          <w:lang w:eastAsia="fr-CA"/>
        </w:rPr>
        <w:t xml:space="preserve">the </w:t>
      </w:r>
      <w:r w:rsidR="00994675">
        <w:rPr>
          <w:lang w:eastAsia="fr-CA"/>
        </w:rPr>
        <w:t>requir</w:t>
      </w:r>
      <w:r>
        <w:rPr>
          <w:lang w:eastAsia="fr-CA"/>
        </w:rPr>
        <w:t>ement for</w:t>
      </w:r>
      <w:r w:rsidR="00994675">
        <w:rPr>
          <w:lang w:eastAsia="fr-CA"/>
        </w:rPr>
        <w:t xml:space="preserve"> sellers in bilateral trades to state the terms on which the trade </w:t>
      </w:r>
      <w:r w:rsidR="00951BF8">
        <w:rPr>
          <w:lang w:eastAsia="fr-CA"/>
        </w:rPr>
        <w:t xml:space="preserve">will </w:t>
      </w:r>
      <w:r w:rsidR="00994675">
        <w:rPr>
          <w:lang w:eastAsia="fr-CA"/>
        </w:rPr>
        <w:t xml:space="preserve">be conducted using an </w:t>
      </w:r>
      <w:r w:rsidR="00B9365D">
        <w:rPr>
          <w:lang w:eastAsia="fr-CA"/>
        </w:rPr>
        <w:t>OTSA</w:t>
      </w:r>
      <w:r w:rsidR="00994675">
        <w:rPr>
          <w:lang w:eastAsia="fr-CA"/>
        </w:rPr>
        <w:t xml:space="preserve"> if requested by the buyer;</w:t>
      </w:r>
      <w:r w:rsidR="00937DCB" w:rsidRPr="00937DCB">
        <w:rPr>
          <w:rStyle w:val="FootnoteReference"/>
          <w:lang w:eastAsia="fr-CA"/>
        </w:rPr>
        <w:t xml:space="preserve"> </w:t>
      </w:r>
      <w:r w:rsidR="00937DCB">
        <w:rPr>
          <w:rStyle w:val="FootnoteReference"/>
          <w:lang w:eastAsia="fr-CA"/>
        </w:rPr>
        <w:footnoteReference w:id="161"/>
      </w:r>
      <w:r w:rsidR="00994675">
        <w:rPr>
          <w:lang w:eastAsia="fr-CA"/>
        </w:rPr>
        <w:t xml:space="preserve"> </w:t>
      </w:r>
    </w:p>
    <w:p w14:paraId="1E5349B7" w14:textId="77777777" w:rsidR="00994675" w:rsidRDefault="00B640EB" w:rsidP="00994675">
      <w:pPr>
        <w:pStyle w:val="ListBullet2"/>
        <w:ind w:left="714" w:hanging="357"/>
        <w:rPr>
          <w:lang w:eastAsia="fr-CA"/>
        </w:rPr>
      </w:pPr>
      <w:r>
        <w:rPr>
          <w:lang w:eastAsia="fr-CA"/>
        </w:rPr>
        <w:t xml:space="preserve">the prohibition on </w:t>
      </w:r>
      <w:r w:rsidR="00937DCB">
        <w:rPr>
          <w:lang w:eastAsia="fr-CA"/>
        </w:rPr>
        <w:t xml:space="preserve">transportation </w:t>
      </w:r>
      <w:r w:rsidR="00994675">
        <w:rPr>
          <w:lang w:eastAsia="fr-CA"/>
        </w:rPr>
        <w:t xml:space="preserve">service providers, shippers and their associates from engaging in conduct that prevents or hinders access to operational </w:t>
      </w:r>
      <w:r w:rsidR="00937DCB">
        <w:rPr>
          <w:lang w:eastAsia="fr-CA"/>
        </w:rPr>
        <w:t xml:space="preserve">transportation </w:t>
      </w:r>
      <w:r w:rsidR="00994675">
        <w:rPr>
          <w:lang w:eastAsia="fr-CA"/>
        </w:rPr>
        <w:t>service</w:t>
      </w:r>
      <w:r w:rsidR="00937DCB">
        <w:rPr>
          <w:lang w:eastAsia="fr-CA"/>
        </w:rPr>
        <w:t>s</w:t>
      </w:r>
      <w:r w:rsidR="00937DCB" w:rsidRPr="00937DCB">
        <w:rPr>
          <w:rStyle w:val="FootnoteReference"/>
          <w:vertAlign w:val="baseline"/>
          <w:lang w:eastAsia="fr-CA"/>
        </w:rPr>
        <w:t>;</w:t>
      </w:r>
      <w:r w:rsidR="00937DCB">
        <w:rPr>
          <w:rStyle w:val="FootnoteReference"/>
          <w:lang w:eastAsia="fr-CA"/>
        </w:rPr>
        <w:footnoteReference w:id="162"/>
      </w:r>
      <w:r w:rsidR="00937DCB">
        <w:rPr>
          <w:lang w:eastAsia="fr-CA"/>
        </w:rPr>
        <w:t xml:space="preserve"> and</w:t>
      </w:r>
    </w:p>
    <w:p w14:paraId="7C3FA840" w14:textId="77777777" w:rsidR="00937DCB" w:rsidRDefault="00B640EB" w:rsidP="00994675">
      <w:pPr>
        <w:pStyle w:val="ListBullet2"/>
        <w:ind w:left="714" w:hanging="357"/>
        <w:rPr>
          <w:lang w:eastAsia="fr-CA"/>
        </w:rPr>
      </w:pPr>
      <w:r>
        <w:rPr>
          <w:lang w:eastAsia="fr-CA"/>
        </w:rPr>
        <w:t xml:space="preserve">the </w:t>
      </w:r>
      <w:r w:rsidR="00937DCB">
        <w:rPr>
          <w:lang w:eastAsia="fr-CA"/>
        </w:rPr>
        <w:t>prohibiti</w:t>
      </w:r>
      <w:r>
        <w:rPr>
          <w:lang w:eastAsia="fr-CA"/>
        </w:rPr>
        <w:t>on on</w:t>
      </w:r>
      <w:r w:rsidR="00937DCB">
        <w:rPr>
          <w:lang w:eastAsia="fr-CA"/>
        </w:rPr>
        <w:t xml:space="preserve"> transportation service providers from engaging in price discrimination when providing operational transportation services unless it is conducive to efficient service provision.</w:t>
      </w:r>
      <w:r w:rsidR="00937DCB">
        <w:rPr>
          <w:rStyle w:val="FootnoteReference"/>
          <w:lang w:eastAsia="fr-CA"/>
        </w:rPr>
        <w:footnoteReference w:id="163"/>
      </w:r>
      <w:r w:rsidR="00937DCB">
        <w:rPr>
          <w:lang w:eastAsia="fr-CA"/>
        </w:rPr>
        <w:t xml:space="preserve"> </w:t>
      </w:r>
    </w:p>
    <w:p w14:paraId="312696FD" w14:textId="77777777" w:rsidR="00994675" w:rsidRDefault="00994675" w:rsidP="00864E08">
      <w:pPr>
        <w:pStyle w:val="Heading3"/>
      </w:pPr>
      <w:r>
        <w:t>Changes to the NGR</w:t>
      </w:r>
    </w:p>
    <w:p w14:paraId="307B2594" w14:textId="77777777" w:rsidR="00A44272" w:rsidRDefault="00994675" w:rsidP="00994675">
      <w:pPr>
        <w:pStyle w:val="BodyText"/>
      </w:pPr>
      <w:r>
        <w:t xml:space="preserve">The changes to the NGR </w:t>
      </w:r>
      <w:r w:rsidR="00281A63">
        <w:t xml:space="preserve">that are required to </w:t>
      </w:r>
      <w:r w:rsidR="00132951">
        <w:t xml:space="preserve">facilitate capacity </w:t>
      </w:r>
      <w:r w:rsidR="00281A63">
        <w:t xml:space="preserve">trading </w:t>
      </w:r>
      <w:r w:rsidR="00132951">
        <w:t xml:space="preserve">and the auction </w:t>
      </w:r>
      <w:r>
        <w:t xml:space="preserve">are set out in </w:t>
      </w:r>
      <w:r w:rsidRPr="00281A63">
        <w:rPr>
          <w:b/>
        </w:rPr>
        <w:t>Part 24</w:t>
      </w:r>
      <w:r w:rsidR="00114078">
        <w:rPr>
          <w:b/>
        </w:rPr>
        <w:t xml:space="preserve"> (Facilitating capacity trades and the capacity auction)</w:t>
      </w:r>
      <w:r w:rsidRPr="005E6FB8">
        <w:t>,</w:t>
      </w:r>
      <w:r>
        <w:t xml:space="preserve"> which </w:t>
      </w:r>
      <w:r w:rsidR="00A44272">
        <w:t xml:space="preserve">is </w:t>
      </w:r>
      <w:r>
        <w:t>a new part of the NGR</w:t>
      </w:r>
      <w:r w:rsidR="00951BF8">
        <w:t xml:space="preserve">. </w:t>
      </w:r>
      <w:r w:rsidR="00A44272">
        <w:t>In addition to the exemptions and registration provisions outlined in Chapter 4, t</w:t>
      </w:r>
      <w:r w:rsidR="00951BF8">
        <w:t>his part of the NGR</w:t>
      </w:r>
      <w:r w:rsidR="00E55DB7">
        <w:t xml:space="preserve"> contains provisions relating to</w:t>
      </w:r>
      <w:r w:rsidR="00A44272">
        <w:t>:</w:t>
      </w:r>
      <w:r w:rsidR="00E55DB7">
        <w:t xml:space="preserve"> </w:t>
      </w:r>
    </w:p>
    <w:p w14:paraId="7F5D650B" w14:textId="77777777" w:rsidR="00A44272" w:rsidRDefault="00E55DB7" w:rsidP="00A44272">
      <w:pPr>
        <w:pStyle w:val="ListBullet"/>
      </w:pPr>
      <w:r>
        <w:t xml:space="preserve">the </w:t>
      </w:r>
      <w:r w:rsidR="00B640EB">
        <w:t xml:space="preserve">objective and content of the </w:t>
      </w:r>
      <w:r>
        <w:t>Code</w:t>
      </w:r>
      <w:r w:rsidR="00B640EB">
        <w:t xml:space="preserve"> and </w:t>
      </w:r>
      <w:r w:rsidR="00F06400">
        <w:t>how the Code can be amended</w:t>
      </w:r>
      <w:r w:rsidR="00A44272">
        <w:t>;</w:t>
      </w:r>
      <w:r>
        <w:t xml:space="preserve"> </w:t>
      </w:r>
    </w:p>
    <w:p w14:paraId="3CFA65BC" w14:textId="77777777" w:rsidR="00A44272" w:rsidRDefault="00E55DB7" w:rsidP="00A44272">
      <w:pPr>
        <w:pStyle w:val="ListBullet"/>
      </w:pPr>
      <w:r>
        <w:t>the CT&amp;A Procedures</w:t>
      </w:r>
      <w:r w:rsidR="005E6FB8">
        <w:t>, including the</w:t>
      </w:r>
      <w:r>
        <w:t xml:space="preserve"> transaction support arrangements</w:t>
      </w:r>
      <w:r w:rsidR="00A44272">
        <w:t>;</w:t>
      </w:r>
      <w:r>
        <w:t xml:space="preserve"> </w:t>
      </w:r>
    </w:p>
    <w:p w14:paraId="6D1DB82F" w14:textId="77777777" w:rsidR="00BE4864" w:rsidRDefault="00A44272" w:rsidP="00A44272">
      <w:pPr>
        <w:pStyle w:val="ListBullet"/>
      </w:pPr>
      <w:r>
        <w:t xml:space="preserve">the </w:t>
      </w:r>
      <w:r w:rsidR="00E70558">
        <w:t>standard OTSAs</w:t>
      </w:r>
      <w:r w:rsidR="00BE4864">
        <w:t xml:space="preserve"> that transportation service providers of Part 24 facilities and conditionally exempt facilities must prepare and offer to enter into;</w:t>
      </w:r>
    </w:p>
    <w:p w14:paraId="282FC994" w14:textId="77777777" w:rsidR="00994675" w:rsidRDefault="00BE4864" w:rsidP="00A44272">
      <w:pPr>
        <w:pStyle w:val="ListBullet"/>
      </w:pPr>
      <w:r>
        <w:t xml:space="preserve">the obligations that transportation service providers have to comply with a number of </w:t>
      </w:r>
      <w:r w:rsidR="00E70558">
        <w:t xml:space="preserve">measures </w:t>
      </w:r>
      <w:r>
        <w:t xml:space="preserve">to facilitate trade and </w:t>
      </w:r>
      <w:r w:rsidR="00E70558">
        <w:t xml:space="preserve">to </w:t>
      </w:r>
      <w:r>
        <w:t>overcome contractual limitations on trading</w:t>
      </w:r>
      <w:r w:rsidR="00B65C2B">
        <w:t>; and</w:t>
      </w:r>
    </w:p>
    <w:p w14:paraId="4C54F8D3" w14:textId="77777777" w:rsidR="00B65C2B" w:rsidRDefault="00B65C2B" w:rsidP="00B65C2B">
      <w:pPr>
        <w:pStyle w:val="ListBullet"/>
      </w:pPr>
      <w:r>
        <w:t xml:space="preserve">the information standard </w:t>
      </w:r>
      <w:r w:rsidR="00E70558">
        <w:t xml:space="preserve">to be </w:t>
      </w:r>
      <w:r w:rsidR="008F5197">
        <w:t xml:space="preserve">employed </w:t>
      </w:r>
      <w:r w:rsidR="00E70558">
        <w:t xml:space="preserve">by market participants </w:t>
      </w:r>
      <w:r>
        <w:t xml:space="preserve">when </w:t>
      </w:r>
      <w:r w:rsidR="00E70558">
        <w:t xml:space="preserve">recording and/or providing the </w:t>
      </w:r>
      <w:r>
        <w:t xml:space="preserve">information </w:t>
      </w:r>
      <w:r w:rsidR="008F5197">
        <w:t>specified</w:t>
      </w:r>
      <w:r w:rsidR="00E70558">
        <w:t xml:space="preserve"> </w:t>
      </w:r>
      <w:r w:rsidR="008F5197">
        <w:t xml:space="preserve">in </w:t>
      </w:r>
      <w:r w:rsidR="00E70558">
        <w:t xml:space="preserve">parts 24 </w:t>
      </w:r>
      <w:r w:rsidR="008F5197">
        <w:t xml:space="preserve">and </w:t>
      </w:r>
      <w:r w:rsidR="00E70558">
        <w:t>25 of the NGR</w:t>
      </w:r>
      <w:r>
        <w:t>.</w:t>
      </w:r>
    </w:p>
    <w:p w14:paraId="72DA8A1F" w14:textId="77777777" w:rsidR="007E677B" w:rsidRDefault="005E6FB8" w:rsidP="00E70558">
      <w:pPr>
        <w:pStyle w:val="BodyText"/>
      </w:pPr>
      <w:r>
        <w:t xml:space="preserve">While </w:t>
      </w:r>
      <w:r w:rsidR="007E677B" w:rsidRPr="007E677B">
        <w:t xml:space="preserve">a number of provisions in this part of the </w:t>
      </w:r>
      <w:r w:rsidR="004E0D92" w:rsidRPr="007E677B">
        <w:t xml:space="preserve">NGR </w:t>
      </w:r>
      <w:r w:rsidR="007E677B" w:rsidRPr="007E677B">
        <w:t>apply to facility operators (i.e. the registered transportation service provider for a Part 24 facility)</w:t>
      </w:r>
      <w:r w:rsidR="00B640EB" w:rsidRPr="007E677B">
        <w:t xml:space="preserve"> </w:t>
      </w:r>
      <w:r w:rsidR="007E677B" w:rsidRPr="007E677B">
        <w:t xml:space="preserve">there are also a number of provisions that apply to </w:t>
      </w:r>
      <w:r w:rsidR="004E0D92" w:rsidRPr="007E677B">
        <w:t>transportation service provider</w:t>
      </w:r>
      <w:r w:rsidR="007E677B" w:rsidRPr="007E677B">
        <w:t>s</w:t>
      </w:r>
      <w:r w:rsidR="00B640EB" w:rsidRPr="007E677B">
        <w:t xml:space="preserve"> </w:t>
      </w:r>
      <w:r w:rsidR="007E677B" w:rsidRPr="007E677B">
        <w:t xml:space="preserve">of Part 24 facilities. </w:t>
      </w:r>
      <w:r>
        <w:t xml:space="preserve">This distinction has been made to allow a single entity within a corporate group to register with AEMO and set up the communications and billing interface under the CT&amp;A Procedures while also allowing for a different entity within the group to be the entity that </w:t>
      </w:r>
      <w:r w:rsidR="007E677B" w:rsidRPr="007E677B">
        <w:t>enter</w:t>
      </w:r>
      <w:r>
        <w:t>s</w:t>
      </w:r>
      <w:r w:rsidR="007E677B" w:rsidRPr="007E677B">
        <w:t xml:space="preserve"> into facility agreements. </w:t>
      </w:r>
    </w:p>
    <w:p w14:paraId="44F1AE70" w14:textId="77777777" w:rsidR="00E55DB7" w:rsidRPr="00E55DB7" w:rsidRDefault="00B640EB" w:rsidP="00E55DB7">
      <w:pPr>
        <w:pStyle w:val="BodyText"/>
        <w:keepNext/>
        <w:rPr>
          <w:b/>
          <w:color w:val="0099CC"/>
        </w:rPr>
      </w:pPr>
      <w:r>
        <w:rPr>
          <w:b/>
          <w:color w:val="0099CC"/>
        </w:rPr>
        <w:t>C</w:t>
      </w:r>
      <w:r w:rsidR="00E55DB7" w:rsidRPr="00E55DB7">
        <w:rPr>
          <w:b/>
          <w:color w:val="0099CC"/>
        </w:rPr>
        <w:t>ode</w:t>
      </w:r>
      <w:r>
        <w:rPr>
          <w:b/>
          <w:color w:val="0099CC"/>
        </w:rPr>
        <w:t xml:space="preserve"> </w:t>
      </w:r>
    </w:p>
    <w:p w14:paraId="06BDDD2D" w14:textId="77777777" w:rsidR="00EE0FA6" w:rsidRDefault="00994675" w:rsidP="00994675">
      <w:pPr>
        <w:pStyle w:val="BodyText"/>
      </w:pPr>
      <w:r>
        <w:t>Division 2 of Part 24</w:t>
      </w:r>
      <w:r w:rsidR="004E0D92">
        <w:t xml:space="preserve"> of the NGR</w:t>
      </w:r>
      <w:r>
        <w:t>, sets out the rules relating to the Code</w:t>
      </w:r>
      <w:r w:rsidR="00F06400">
        <w:t>, with s</w:t>
      </w:r>
      <w:r w:rsidR="007E677B">
        <w:t xml:space="preserve">ub-division 2.1 </w:t>
      </w:r>
      <w:r w:rsidR="00EE0FA6">
        <w:t>focusing on the objective and content of the Code</w:t>
      </w:r>
      <w:r w:rsidR="00616AE8">
        <w:t xml:space="preserve"> while </w:t>
      </w:r>
      <w:r w:rsidR="00EE0FA6">
        <w:t>sub-division</w:t>
      </w:r>
      <w:r w:rsidR="00616AE8">
        <w:t xml:space="preserve">s </w:t>
      </w:r>
      <w:r w:rsidR="00EE0FA6">
        <w:t xml:space="preserve">2.2 </w:t>
      </w:r>
      <w:r w:rsidR="00616AE8">
        <w:t xml:space="preserve">and 2.3 set </w:t>
      </w:r>
      <w:r w:rsidR="00616AE8">
        <w:lastRenderedPageBreak/>
        <w:t xml:space="preserve">out </w:t>
      </w:r>
      <w:r w:rsidR="00EE0FA6">
        <w:t>how the Code can be amended over time</w:t>
      </w:r>
      <w:r w:rsidR="00616AE8">
        <w:t xml:space="preserve"> and the role to be played by the Panel and the AER</w:t>
      </w:r>
      <w:r w:rsidR="00EE0FA6">
        <w:t xml:space="preserve">. </w:t>
      </w:r>
    </w:p>
    <w:p w14:paraId="3CDABCB2" w14:textId="77777777" w:rsidR="00994675" w:rsidRDefault="00EE0FA6" w:rsidP="00994675">
      <w:pPr>
        <w:pStyle w:val="BodyText"/>
      </w:pPr>
      <w:r>
        <w:t xml:space="preserve">Specifically, sub-division 2.1 sets </w:t>
      </w:r>
      <w:r w:rsidR="007E677B">
        <w:t>out</w:t>
      </w:r>
      <w:r w:rsidR="00994675">
        <w:t>:</w:t>
      </w:r>
    </w:p>
    <w:p w14:paraId="2E85DF18" w14:textId="77777777" w:rsidR="00994675" w:rsidRDefault="00EE0FA6" w:rsidP="0035077C">
      <w:pPr>
        <w:pStyle w:val="ListBullet"/>
        <w:numPr>
          <w:ilvl w:val="0"/>
          <w:numId w:val="22"/>
        </w:numPr>
        <w:rPr>
          <w:lang w:eastAsia="fr-CA"/>
        </w:rPr>
      </w:pPr>
      <w:r>
        <w:rPr>
          <w:lang w:eastAsia="fr-CA"/>
        </w:rPr>
        <w:t>T</w:t>
      </w:r>
      <w:r w:rsidR="00994675">
        <w:rPr>
          <w:lang w:eastAsia="fr-CA"/>
        </w:rPr>
        <w:t>he Code objective, which is to provide for access to operational transportation services on reasonable terms</w:t>
      </w:r>
      <w:r w:rsidR="00114078">
        <w:rPr>
          <w:lang w:eastAsia="fr-CA"/>
        </w:rPr>
        <w:t xml:space="preserve"> (i.e. </w:t>
      </w:r>
      <w:r w:rsidR="00994675">
        <w:rPr>
          <w:lang w:eastAsia="fr-CA"/>
        </w:rPr>
        <w:t>at prices and on other terms and conditions that, so far as practical, reflect the outcomes of a workably competitive market</w:t>
      </w:r>
      <w:r w:rsidR="00114078">
        <w:rPr>
          <w:lang w:eastAsia="fr-CA"/>
        </w:rPr>
        <w:t>)</w:t>
      </w:r>
      <w:r>
        <w:rPr>
          <w:lang w:eastAsia="fr-CA"/>
        </w:rPr>
        <w:t>.</w:t>
      </w:r>
      <w:r w:rsidR="00994675">
        <w:rPr>
          <w:rStyle w:val="FootnoteReference"/>
          <w:lang w:eastAsia="fr-CA"/>
        </w:rPr>
        <w:footnoteReference w:id="164"/>
      </w:r>
      <w:r w:rsidR="00994675">
        <w:rPr>
          <w:lang w:eastAsia="fr-CA"/>
        </w:rPr>
        <w:t xml:space="preserve"> </w:t>
      </w:r>
    </w:p>
    <w:p w14:paraId="60CC5ACF" w14:textId="77777777" w:rsidR="00F06400" w:rsidRDefault="00EE0FA6" w:rsidP="0035077C">
      <w:pPr>
        <w:pStyle w:val="ListBullet"/>
        <w:numPr>
          <w:ilvl w:val="0"/>
          <w:numId w:val="22"/>
        </w:numPr>
        <w:rPr>
          <w:lang w:eastAsia="fr-CA"/>
        </w:rPr>
      </w:pPr>
      <w:r>
        <w:rPr>
          <w:lang w:eastAsia="fr-CA"/>
        </w:rPr>
        <w:t>T</w:t>
      </w:r>
      <w:r w:rsidR="00994675">
        <w:rPr>
          <w:lang w:eastAsia="fr-CA"/>
        </w:rPr>
        <w:t xml:space="preserve">he </w:t>
      </w:r>
      <w:r w:rsidR="00F06400">
        <w:rPr>
          <w:lang w:eastAsia="fr-CA"/>
        </w:rPr>
        <w:t xml:space="preserve">content of the </w:t>
      </w:r>
      <w:r w:rsidR="00994675">
        <w:rPr>
          <w:lang w:eastAsia="fr-CA"/>
        </w:rPr>
        <w:t>Code</w:t>
      </w:r>
      <w:r w:rsidR="00F06400">
        <w:rPr>
          <w:lang w:eastAsia="fr-CA"/>
        </w:rPr>
        <w:t>, which must include:</w:t>
      </w:r>
      <w:r w:rsidR="00F06400">
        <w:rPr>
          <w:rStyle w:val="FootnoteReference"/>
          <w:lang w:eastAsia="fr-CA"/>
        </w:rPr>
        <w:footnoteReference w:id="165"/>
      </w:r>
      <w:r w:rsidR="00F06400">
        <w:rPr>
          <w:lang w:eastAsia="fr-CA"/>
        </w:rPr>
        <w:t xml:space="preserve"> </w:t>
      </w:r>
    </w:p>
    <w:p w14:paraId="1AC48ECB" w14:textId="77777777" w:rsidR="00F06400" w:rsidRDefault="00F06400" w:rsidP="00F06400">
      <w:pPr>
        <w:pStyle w:val="ListBullet2"/>
        <w:rPr>
          <w:lang w:eastAsia="fr-CA"/>
        </w:rPr>
      </w:pPr>
      <w:r>
        <w:rPr>
          <w:lang w:eastAsia="fr-CA"/>
        </w:rPr>
        <w:t xml:space="preserve">a description of each standard operational transportation service; </w:t>
      </w:r>
    </w:p>
    <w:p w14:paraId="01A6C230" w14:textId="77777777" w:rsidR="00F06400" w:rsidRDefault="00F06400" w:rsidP="00F06400">
      <w:pPr>
        <w:pStyle w:val="ListBullet2"/>
        <w:rPr>
          <w:lang w:eastAsia="fr-CA"/>
        </w:rPr>
      </w:pPr>
      <w:r>
        <w:rPr>
          <w:lang w:eastAsia="fr-CA"/>
        </w:rPr>
        <w:t xml:space="preserve">the terms and conditions for the provision and use of standard operational transportation services; </w:t>
      </w:r>
    </w:p>
    <w:p w14:paraId="75746701" w14:textId="77777777" w:rsidR="00F06400" w:rsidRDefault="00F06400" w:rsidP="00F06400">
      <w:pPr>
        <w:pStyle w:val="ListBullet2"/>
        <w:rPr>
          <w:lang w:eastAsia="fr-CA"/>
        </w:rPr>
      </w:pPr>
      <w:r>
        <w:rPr>
          <w:lang w:eastAsia="fr-CA"/>
        </w:rPr>
        <w:t>a description of, and the requirements for, facility specific terms for the provision and use of standard operational transportation services; and</w:t>
      </w:r>
    </w:p>
    <w:p w14:paraId="0DA07AB8" w14:textId="77777777" w:rsidR="00F06400" w:rsidRDefault="00F06400" w:rsidP="00F06400">
      <w:pPr>
        <w:pStyle w:val="ListBullet2"/>
        <w:rPr>
          <w:lang w:eastAsia="fr-CA"/>
        </w:rPr>
      </w:pPr>
      <w:r>
        <w:rPr>
          <w:lang w:eastAsia="fr-CA"/>
        </w:rPr>
        <w:t>a form of agreement for execution by the parties that incorporates the standard te</w:t>
      </w:r>
      <w:r w:rsidR="001C0945">
        <w:rPr>
          <w:lang w:eastAsia="fr-CA"/>
        </w:rPr>
        <w:t>rms and facility specific terms.</w:t>
      </w:r>
    </w:p>
    <w:p w14:paraId="60908C54" w14:textId="77777777" w:rsidR="00114078" w:rsidRDefault="00EE0FA6" w:rsidP="00F06400">
      <w:pPr>
        <w:pStyle w:val="ListBullet"/>
        <w:rPr>
          <w:lang w:eastAsia="fr-CA"/>
        </w:rPr>
      </w:pPr>
      <w:r>
        <w:rPr>
          <w:lang w:eastAsia="fr-CA"/>
        </w:rPr>
        <w:t>T</w:t>
      </w:r>
      <w:r w:rsidR="00114078">
        <w:rPr>
          <w:lang w:eastAsia="fr-CA"/>
        </w:rPr>
        <w:t xml:space="preserve">he scope </w:t>
      </w:r>
      <w:r w:rsidR="002A191A">
        <w:rPr>
          <w:lang w:eastAsia="fr-CA"/>
        </w:rPr>
        <w:t xml:space="preserve">of the </w:t>
      </w:r>
      <w:r w:rsidR="00114078">
        <w:rPr>
          <w:lang w:eastAsia="fr-CA"/>
        </w:rPr>
        <w:t xml:space="preserve">standard operational transportation services and auction services </w:t>
      </w:r>
      <w:r w:rsidR="002A191A">
        <w:rPr>
          <w:lang w:eastAsia="fr-CA"/>
        </w:rPr>
        <w:t xml:space="preserve">that may be included in the Code </w:t>
      </w:r>
      <w:r w:rsidR="00114078">
        <w:rPr>
          <w:lang w:eastAsia="fr-CA"/>
        </w:rPr>
        <w:t xml:space="preserve">and </w:t>
      </w:r>
      <w:r w:rsidR="002A191A">
        <w:rPr>
          <w:lang w:eastAsia="fr-CA"/>
        </w:rPr>
        <w:t xml:space="preserve">the </w:t>
      </w:r>
      <w:r w:rsidR="00114078">
        <w:rPr>
          <w:lang w:eastAsia="fr-CA"/>
        </w:rPr>
        <w:t>requirement for forward haul and compression services to be provided using the zonal model</w:t>
      </w:r>
      <w:r w:rsidR="001C0945">
        <w:rPr>
          <w:lang w:eastAsia="fr-CA"/>
        </w:rPr>
        <w:t>.</w:t>
      </w:r>
      <w:r w:rsidR="00114078">
        <w:rPr>
          <w:rStyle w:val="FootnoteReference"/>
          <w:lang w:eastAsia="fr-CA"/>
        </w:rPr>
        <w:footnoteReference w:id="166"/>
      </w:r>
      <w:r w:rsidR="00F06400">
        <w:rPr>
          <w:lang w:eastAsia="fr-CA"/>
        </w:rPr>
        <w:t xml:space="preserve"> </w:t>
      </w:r>
    </w:p>
    <w:p w14:paraId="24646828" w14:textId="77777777" w:rsidR="00EE0FA6" w:rsidRDefault="00EE0FA6" w:rsidP="0060498D">
      <w:pPr>
        <w:pStyle w:val="ListBullet"/>
        <w:rPr>
          <w:lang w:eastAsia="fr-CA"/>
        </w:rPr>
      </w:pPr>
      <w:r>
        <w:rPr>
          <w:lang w:eastAsia="fr-CA"/>
        </w:rPr>
        <w:t>T</w:t>
      </w:r>
      <w:r w:rsidR="002A191A">
        <w:rPr>
          <w:lang w:eastAsia="fr-CA"/>
        </w:rPr>
        <w:t xml:space="preserve">he matters that may be dealt with as </w:t>
      </w:r>
      <w:r w:rsidR="00114078">
        <w:rPr>
          <w:lang w:eastAsia="fr-CA"/>
        </w:rPr>
        <w:t xml:space="preserve">standard terms </w:t>
      </w:r>
      <w:r w:rsidR="002A191A">
        <w:rPr>
          <w:lang w:eastAsia="fr-CA"/>
        </w:rPr>
        <w:t>in the Code</w:t>
      </w:r>
      <w:r w:rsidR="001C0945">
        <w:rPr>
          <w:lang w:eastAsia="fr-CA"/>
        </w:rPr>
        <w:t>.</w:t>
      </w:r>
      <w:r w:rsidRPr="00EE0FA6">
        <w:rPr>
          <w:rStyle w:val="FootnoteReference"/>
          <w:lang w:eastAsia="fr-CA"/>
        </w:rPr>
        <w:t xml:space="preserve"> </w:t>
      </w:r>
      <w:r>
        <w:rPr>
          <w:rStyle w:val="FootnoteReference"/>
          <w:lang w:eastAsia="fr-CA"/>
        </w:rPr>
        <w:footnoteReference w:id="167"/>
      </w:r>
      <w:r w:rsidR="00F06400">
        <w:rPr>
          <w:lang w:eastAsia="fr-CA"/>
        </w:rPr>
        <w:t xml:space="preserve"> and </w:t>
      </w:r>
    </w:p>
    <w:p w14:paraId="3AFC80C0" w14:textId="77777777" w:rsidR="00114078" w:rsidRDefault="00EE0FA6" w:rsidP="0060498D">
      <w:pPr>
        <w:pStyle w:val="ListBullet"/>
        <w:rPr>
          <w:lang w:eastAsia="fr-CA"/>
        </w:rPr>
      </w:pPr>
      <w:r>
        <w:rPr>
          <w:lang w:eastAsia="fr-CA"/>
        </w:rPr>
        <w:t>T</w:t>
      </w:r>
      <w:r w:rsidR="002A191A">
        <w:rPr>
          <w:lang w:eastAsia="fr-CA"/>
        </w:rPr>
        <w:t xml:space="preserve">he requirements for </w:t>
      </w:r>
      <w:r w:rsidR="00114078">
        <w:rPr>
          <w:lang w:eastAsia="fr-CA"/>
        </w:rPr>
        <w:t>facility specific terms</w:t>
      </w:r>
      <w:r w:rsidR="002A191A">
        <w:rPr>
          <w:lang w:eastAsia="fr-CA"/>
        </w:rPr>
        <w:t xml:space="preserve"> that must be included in the Code, which must include principles that transportation service providers must comply with and which must be consistent with the Code objective</w:t>
      </w:r>
      <w:r>
        <w:rPr>
          <w:lang w:eastAsia="fr-CA"/>
        </w:rPr>
        <w:t>.</w:t>
      </w:r>
      <w:r w:rsidR="00114078">
        <w:rPr>
          <w:rStyle w:val="FootnoteReference"/>
          <w:lang w:eastAsia="fr-CA"/>
        </w:rPr>
        <w:footnoteReference w:id="168"/>
      </w:r>
    </w:p>
    <w:p w14:paraId="03E424C3" w14:textId="77777777" w:rsidR="00F06400" w:rsidRDefault="00EE0FA6" w:rsidP="0060498D">
      <w:pPr>
        <w:pStyle w:val="ListBullet"/>
        <w:rPr>
          <w:lang w:eastAsia="fr-CA"/>
        </w:rPr>
      </w:pPr>
      <w:r>
        <w:rPr>
          <w:lang w:eastAsia="fr-CA"/>
        </w:rPr>
        <w:t>T</w:t>
      </w:r>
      <w:r w:rsidR="00F06400">
        <w:rPr>
          <w:lang w:eastAsia="fr-CA"/>
        </w:rPr>
        <w:t xml:space="preserve">he </w:t>
      </w:r>
      <w:r>
        <w:rPr>
          <w:lang w:eastAsia="fr-CA"/>
        </w:rPr>
        <w:t>requirement that the Code must, to the extent reasonably practicable, provide for the terms and conditions to be specified in the standard terms (in preference to facility specific terms).</w:t>
      </w:r>
      <w:r>
        <w:rPr>
          <w:rStyle w:val="FootnoteReference"/>
          <w:lang w:eastAsia="fr-CA"/>
        </w:rPr>
        <w:footnoteReference w:id="169"/>
      </w:r>
    </w:p>
    <w:p w14:paraId="62630C9A" w14:textId="77777777" w:rsidR="00F06400" w:rsidRDefault="00EE0FA6" w:rsidP="00616AE8">
      <w:pPr>
        <w:pStyle w:val="BodyText"/>
        <w:rPr>
          <w:lang w:eastAsia="fr-CA"/>
        </w:rPr>
      </w:pPr>
      <w:r>
        <w:rPr>
          <w:lang w:eastAsia="fr-CA"/>
        </w:rPr>
        <w:t>Sub-division</w:t>
      </w:r>
      <w:r w:rsidR="00616AE8">
        <w:rPr>
          <w:lang w:eastAsia="fr-CA"/>
        </w:rPr>
        <w:t>s</w:t>
      </w:r>
      <w:r>
        <w:rPr>
          <w:lang w:eastAsia="fr-CA"/>
        </w:rPr>
        <w:t xml:space="preserve"> 2.2</w:t>
      </w:r>
      <w:r w:rsidR="00616AE8">
        <w:rPr>
          <w:lang w:eastAsia="fr-CA"/>
        </w:rPr>
        <w:t xml:space="preserve"> and 2.3</w:t>
      </w:r>
      <w:r>
        <w:rPr>
          <w:lang w:eastAsia="fr-CA"/>
        </w:rPr>
        <w:t>:</w:t>
      </w:r>
      <w:r w:rsidR="00F06400">
        <w:rPr>
          <w:lang w:eastAsia="fr-CA"/>
        </w:rPr>
        <w:t xml:space="preserve"> </w:t>
      </w:r>
    </w:p>
    <w:p w14:paraId="0CE75FE4" w14:textId="77777777" w:rsidR="00EE0FA6" w:rsidRDefault="00EE0FA6" w:rsidP="00EE0FA6">
      <w:pPr>
        <w:pStyle w:val="ListBullet"/>
        <w:numPr>
          <w:ilvl w:val="0"/>
          <w:numId w:val="22"/>
        </w:numPr>
        <w:rPr>
          <w:lang w:eastAsia="fr-CA"/>
        </w:rPr>
      </w:pPr>
      <w:r>
        <w:rPr>
          <w:lang w:eastAsia="fr-CA"/>
        </w:rPr>
        <w:t>Allow stakeholders to propose changes to the Code and set out the framework for these proposed amendments to be consulted upon and assessed by the Panel</w:t>
      </w:r>
      <w:r>
        <w:rPr>
          <w:rStyle w:val="FootnoteReference"/>
          <w:lang w:eastAsia="fr-CA"/>
        </w:rPr>
        <w:footnoteReference w:id="170"/>
      </w:r>
      <w:r>
        <w:rPr>
          <w:lang w:eastAsia="fr-CA"/>
        </w:rPr>
        <w:t xml:space="preserve"> before making a recommendation to the AER.</w:t>
      </w:r>
    </w:p>
    <w:p w14:paraId="23566F8B" w14:textId="77777777" w:rsidR="002A191A" w:rsidRDefault="00EE0FA6" w:rsidP="002A191A">
      <w:pPr>
        <w:pStyle w:val="ListBullet"/>
        <w:numPr>
          <w:ilvl w:val="0"/>
          <w:numId w:val="22"/>
        </w:numPr>
        <w:rPr>
          <w:lang w:eastAsia="fr-CA"/>
        </w:rPr>
      </w:pPr>
      <w:r>
        <w:rPr>
          <w:lang w:eastAsia="fr-CA"/>
        </w:rPr>
        <w:t xml:space="preserve">Provide for the establishment of the Panel by AEMO and also set </w:t>
      </w:r>
      <w:r w:rsidR="002A191A">
        <w:rPr>
          <w:lang w:eastAsia="fr-CA"/>
        </w:rPr>
        <w:t>out:</w:t>
      </w:r>
    </w:p>
    <w:p w14:paraId="4601E670" w14:textId="77777777" w:rsidR="002A191A" w:rsidRDefault="002A191A" w:rsidP="002A191A">
      <w:pPr>
        <w:pStyle w:val="ListBullet2"/>
        <w:rPr>
          <w:lang w:eastAsia="fr-CA"/>
        </w:rPr>
      </w:pPr>
      <w:r>
        <w:rPr>
          <w:lang w:eastAsia="fr-CA"/>
        </w:rPr>
        <w:t>the functions of the Panel;</w:t>
      </w:r>
      <w:r>
        <w:rPr>
          <w:rStyle w:val="FootnoteReference"/>
          <w:lang w:eastAsia="fr-CA"/>
        </w:rPr>
        <w:footnoteReference w:id="171"/>
      </w:r>
      <w:r>
        <w:rPr>
          <w:lang w:eastAsia="fr-CA"/>
        </w:rPr>
        <w:t xml:space="preserve"> </w:t>
      </w:r>
    </w:p>
    <w:p w14:paraId="51F22057" w14:textId="77777777" w:rsidR="002A191A" w:rsidRDefault="002A191A" w:rsidP="002A191A">
      <w:pPr>
        <w:pStyle w:val="ListBullet2"/>
        <w:rPr>
          <w:lang w:eastAsia="fr-CA"/>
        </w:rPr>
      </w:pPr>
      <w:r>
        <w:rPr>
          <w:lang w:eastAsia="fr-CA"/>
        </w:rPr>
        <w:t>the constitution of the Panel</w:t>
      </w:r>
      <w:r w:rsidR="00EE0FA6">
        <w:rPr>
          <w:lang w:eastAsia="fr-CA"/>
        </w:rPr>
        <w:t>, which will be cha</w:t>
      </w:r>
      <w:r w:rsidR="00616AE8">
        <w:rPr>
          <w:lang w:eastAsia="fr-CA"/>
        </w:rPr>
        <w:t>ired by AEMO</w:t>
      </w:r>
      <w:r>
        <w:rPr>
          <w:lang w:eastAsia="fr-CA"/>
        </w:rPr>
        <w:t>;</w:t>
      </w:r>
      <w:r>
        <w:rPr>
          <w:rStyle w:val="FootnoteReference"/>
        </w:rPr>
        <w:footnoteReference w:id="172"/>
      </w:r>
      <w:r>
        <w:rPr>
          <w:lang w:eastAsia="fr-CA"/>
        </w:rPr>
        <w:t xml:space="preserve"> </w:t>
      </w:r>
    </w:p>
    <w:p w14:paraId="50CF98A6" w14:textId="77777777" w:rsidR="002A191A" w:rsidRDefault="002A191A" w:rsidP="002A191A">
      <w:pPr>
        <w:pStyle w:val="ListBullet2"/>
        <w:rPr>
          <w:lang w:eastAsia="fr-CA"/>
        </w:rPr>
      </w:pPr>
      <w:r>
        <w:rPr>
          <w:lang w:eastAsia="fr-CA"/>
        </w:rPr>
        <w:t>the nomination, election and appointment process for the Panel;</w:t>
      </w:r>
      <w:r>
        <w:rPr>
          <w:rStyle w:val="FootnoteReference"/>
          <w:lang w:eastAsia="fr-CA"/>
        </w:rPr>
        <w:footnoteReference w:id="173"/>
      </w:r>
      <w:r>
        <w:rPr>
          <w:lang w:eastAsia="fr-CA"/>
        </w:rPr>
        <w:t xml:space="preserve"> </w:t>
      </w:r>
    </w:p>
    <w:p w14:paraId="471FF97D" w14:textId="77777777" w:rsidR="002A191A" w:rsidRDefault="002A191A" w:rsidP="002A191A">
      <w:pPr>
        <w:pStyle w:val="ListBullet2"/>
        <w:rPr>
          <w:lang w:eastAsia="fr-CA"/>
        </w:rPr>
      </w:pPr>
      <w:r>
        <w:rPr>
          <w:lang w:eastAsia="fr-CA"/>
        </w:rPr>
        <w:lastRenderedPageBreak/>
        <w:t>the obligations of Panel members;</w:t>
      </w:r>
      <w:r>
        <w:rPr>
          <w:rStyle w:val="FootnoteReference"/>
          <w:lang w:eastAsia="fr-CA"/>
        </w:rPr>
        <w:footnoteReference w:id="174"/>
      </w:r>
      <w:r>
        <w:rPr>
          <w:lang w:eastAsia="fr-CA"/>
        </w:rPr>
        <w:t xml:space="preserve"> </w:t>
      </w:r>
    </w:p>
    <w:p w14:paraId="30B2FA71" w14:textId="77777777" w:rsidR="002A191A" w:rsidRDefault="002A191A" w:rsidP="002A191A">
      <w:pPr>
        <w:pStyle w:val="ListBullet2"/>
        <w:rPr>
          <w:lang w:eastAsia="fr-CA"/>
        </w:rPr>
      </w:pPr>
      <w:r>
        <w:rPr>
          <w:lang w:eastAsia="fr-CA"/>
        </w:rPr>
        <w:t>the requirements for meetings of the Panel</w:t>
      </w:r>
      <w:r w:rsidR="005E6FB8">
        <w:rPr>
          <w:lang w:eastAsia="fr-CA"/>
        </w:rPr>
        <w:t>;</w:t>
      </w:r>
      <w:r>
        <w:rPr>
          <w:rStyle w:val="FootnoteReference"/>
          <w:lang w:eastAsia="fr-CA"/>
        </w:rPr>
        <w:footnoteReference w:id="175"/>
      </w:r>
      <w:r w:rsidR="001C0945">
        <w:rPr>
          <w:lang w:eastAsia="fr-CA"/>
        </w:rPr>
        <w:t xml:space="preserve"> and</w:t>
      </w:r>
    </w:p>
    <w:p w14:paraId="5D3E8635" w14:textId="77777777" w:rsidR="00616AE8" w:rsidRDefault="00616AE8" w:rsidP="00616AE8">
      <w:pPr>
        <w:pStyle w:val="ListBullet2"/>
        <w:rPr>
          <w:lang w:eastAsia="fr-CA"/>
        </w:rPr>
      </w:pPr>
      <w:r>
        <w:rPr>
          <w:lang w:eastAsia="fr-CA"/>
        </w:rPr>
        <w:t>the obligation that AEMO has to develop, maintain and publish the Panel’s election procedures and operation manual.</w:t>
      </w:r>
      <w:r>
        <w:rPr>
          <w:rStyle w:val="FootnoteReference"/>
        </w:rPr>
        <w:footnoteReference w:id="176"/>
      </w:r>
      <w:r>
        <w:rPr>
          <w:lang w:eastAsia="fr-CA"/>
        </w:rPr>
        <w:t xml:space="preserve"> </w:t>
      </w:r>
    </w:p>
    <w:p w14:paraId="42AF9232" w14:textId="77777777" w:rsidR="00994675" w:rsidRDefault="004E0D92" w:rsidP="0035077C">
      <w:pPr>
        <w:pStyle w:val="ListBullet"/>
        <w:numPr>
          <w:ilvl w:val="0"/>
          <w:numId w:val="22"/>
        </w:numPr>
        <w:rPr>
          <w:lang w:eastAsia="fr-CA"/>
        </w:rPr>
      </w:pPr>
      <w:r>
        <w:rPr>
          <w:lang w:eastAsia="fr-CA"/>
        </w:rPr>
        <w:t>P</w:t>
      </w:r>
      <w:r w:rsidR="00994675">
        <w:rPr>
          <w:lang w:eastAsia="fr-CA"/>
        </w:rPr>
        <w:t xml:space="preserve">rovide for the AER to make and amend the </w:t>
      </w:r>
      <w:r w:rsidR="00994675">
        <w:t xml:space="preserve">Code </w:t>
      </w:r>
      <w:r w:rsidR="00994675">
        <w:rPr>
          <w:lang w:eastAsia="fr-CA"/>
        </w:rPr>
        <w:t>on the advice of the Panel</w:t>
      </w:r>
      <w:r>
        <w:rPr>
          <w:lang w:eastAsia="fr-CA"/>
        </w:rPr>
        <w:t>,</w:t>
      </w:r>
      <w:r w:rsidR="00994675">
        <w:rPr>
          <w:lang w:eastAsia="fr-CA"/>
        </w:rPr>
        <w:t xml:space="preserve"> or on its own initiative</w:t>
      </w:r>
      <w:r w:rsidR="00994675">
        <w:rPr>
          <w:rStyle w:val="FootnoteReference"/>
        </w:rPr>
        <w:footnoteReference w:id="177"/>
      </w:r>
      <w:r w:rsidR="00994675">
        <w:rPr>
          <w:lang w:eastAsia="fr-CA"/>
        </w:rPr>
        <w:t xml:space="preserve"> </w:t>
      </w:r>
      <w:r w:rsidR="00E55DB7">
        <w:rPr>
          <w:lang w:eastAsia="fr-CA"/>
        </w:rPr>
        <w:t>and set out the principles the AER must have regard to when making a decision to amend the Code.</w:t>
      </w:r>
      <w:r w:rsidR="00E55DB7">
        <w:rPr>
          <w:rStyle w:val="FootnoteReference"/>
          <w:lang w:eastAsia="fr-CA"/>
        </w:rPr>
        <w:footnoteReference w:id="178"/>
      </w:r>
    </w:p>
    <w:p w14:paraId="64885411" w14:textId="77777777" w:rsidR="00E55DB7" w:rsidRPr="00E55DB7" w:rsidRDefault="00E55DB7" w:rsidP="00E55DB7">
      <w:pPr>
        <w:pStyle w:val="BodyText"/>
        <w:keepNext/>
        <w:rPr>
          <w:b/>
          <w:color w:val="0099CC"/>
        </w:rPr>
      </w:pPr>
      <w:r>
        <w:rPr>
          <w:b/>
          <w:color w:val="0099CC"/>
        </w:rPr>
        <w:t>CT&amp;A Procedures and transaction support arrangements</w:t>
      </w:r>
    </w:p>
    <w:p w14:paraId="5D0DEA17" w14:textId="77777777" w:rsidR="00994675" w:rsidRDefault="00994675" w:rsidP="00994675">
      <w:pPr>
        <w:pStyle w:val="BodyText"/>
      </w:pPr>
      <w:r>
        <w:t xml:space="preserve">Division 4 of Part 24 sets out </w:t>
      </w:r>
      <w:r w:rsidR="00B65C2B">
        <w:t xml:space="preserve">a number of </w:t>
      </w:r>
      <w:r w:rsidR="00616AE8">
        <w:t xml:space="preserve">transaction support related arrangements that can be included in </w:t>
      </w:r>
      <w:r w:rsidR="00201550">
        <w:t>CT&amp;A Procedures</w:t>
      </w:r>
      <w:r w:rsidR="00776324">
        <w:t>. Provisions in this division</w:t>
      </w:r>
      <w:r>
        <w:t xml:space="preserve"> also: </w:t>
      </w:r>
    </w:p>
    <w:p w14:paraId="79DA4CFE" w14:textId="77777777" w:rsidR="00616AE8" w:rsidRDefault="00776324" w:rsidP="00994675">
      <w:pPr>
        <w:pStyle w:val="ListBullet"/>
        <w:ind w:left="357" w:hanging="357"/>
      </w:pPr>
      <w:r>
        <w:t>Require f</w:t>
      </w:r>
      <w:r w:rsidR="00616AE8">
        <w:t xml:space="preserve">acility operators </w:t>
      </w:r>
      <w:r w:rsidR="00994675">
        <w:t>to provide AEMO with</w:t>
      </w:r>
      <w:r w:rsidR="00616AE8">
        <w:t>:</w:t>
      </w:r>
      <w:r w:rsidR="00616AE8" w:rsidRPr="00616AE8">
        <w:rPr>
          <w:rStyle w:val="FootnoteReference"/>
        </w:rPr>
        <w:t xml:space="preserve"> </w:t>
      </w:r>
    </w:p>
    <w:p w14:paraId="46C8A7E8" w14:textId="77777777" w:rsidR="00616AE8" w:rsidRDefault="00776324" w:rsidP="00616AE8">
      <w:pPr>
        <w:pStyle w:val="ListBullet2"/>
      </w:pPr>
      <w:r>
        <w:t xml:space="preserve">information on the </w:t>
      </w:r>
      <w:r w:rsidR="00994675">
        <w:t xml:space="preserve">facility agreements </w:t>
      </w:r>
      <w:r w:rsidR="00616AE8">
        <w:t xml:space="preserve">for </w:t>
      </w:r>
      <w:r>
        <w:t xml:space="preserve">Part 24 facilities to facilitate the </w:t>
      </w:r>
      <w:r w:rsidR="00616AE8">
        <w:t>transaction support arrangements;</w:t>
      </w:r>
      <w:r w:rsidR="00B65C2B">
        <w:rPr>
          <w:rStyle w:val="FootnoteReference"/>
        </w:rPr>
        <w:footnoteReference w:id="179"/>
      </w:r>
      <w:r w:rsidR="00616AE8">
        <w:t xml:space="preserve"> </w:t>
      </w:r>
    </w:p>
    <w:p w14:paraId="1ADE3E09" w14:textId="77777777" w:rsidR="00994675" w:rsidRDefault="00776324" w:rsidP="00616AE8">
      <w:pPr>
        <w:pStyle w:val="ListBullet2"/>
      </w:pPr>
      <w:r>
        <w:t xml:space="preserve">a </w:t>
      </w:r>
      <w:r w:rsidR="00E55DB7">
        <w:t>specification</w:t>
      </w:r>
      <w:r>
        <w:t xml:space="preserve"> for each service point at or between which transportation services are, or may be, provided by means of the Part 24 facility;</w:t>
      </w:r>
      <w:r w:rsidR="00B65C2B">
        <w:rPr>
          <w:rStyle w:val="FootnoteReference"/>
        </w:rPr>
        <w:footnoteReference w:id="180"/>
      </w:r>
      <w:r>
        <w:t xml:space="preserve"> and</w:t>
      </w:r>
    </w:p>
    <w:p w14:paraId="5AFE8F13" w14:textId="77777777" w:rsidR="00776324" w:rsidRDefault="00776324" w:rsidP="00616AE8">
      <w:pPr>
        <w:pStyle w:val="ListBullet2"/>
      </w:pPr>
      <w:r>
        <w:t>the information reasonably required by AEMO to analyse and assess a proposed zone or pipeline segment and the results of any modelling or other analysis of a proposed zone or pipeline segment</w:t>
      </w:r>
      <w:r w:rsidR="00B65C2B">
        <w:t>,</w:t>
      </w:r>
      <w:r>
        <w:t xml:space="preserve"> </w:t>
      </w:r>
      <w:r w:rsidR="00B65C2B">
        <w:t>together with the information required by AEMO to analyse the model and the results.</w:t>
      </w:r>
      <w:r w:rsidR="00B65C2B">
        <w:rPr>
          <w:rStyle w:val="FootnoteReference"/>
        </w:rPr>
        <w:footnoteReference w:id="181"/>
      </w:r>
    </w:p>
    <w:p w14:paraId="72C3A165" w14:textId="77777777" w:rsidR="00776324" w:rsidRDefault="00776324" w:rsidP="0060498D">
      <w:pPr>
        <w:pStyle w:val="ListBullet"/>
        <w:ind w:left="357" w:hanging="357"/>
      </w:pPr>
      <w:r>
        <w:t xml:space="preserve">Provide for </w:t>
      </w:r>
      <w:r w:rsidR="00994675">
        <w:t xml:space="preserve">AEMO to </w:t>
      </w:r>
      <w:r>
        <w:t xml:space="preserve">consult on and </w:t>
      </w:r>
      <w:r w:rsidR="00994675">
        <w:t>determine</w:t>
      </w:r>
      <w:r>
        <w:t>:</w:t>
      </w:r>
      <w:r w:rsidRPr="00776324">
        <w:rPr>
          <w:rStyle w:val="FootnoteReference"/>
        </w:rPr>
        <w:t xml:space="preserve"> </w:t>
      </w:r>
      <w:r>
        <w:rPr>
          <w:rStyle w:val="FootnoteReference"/>
        </w:rPr>
        <w:footnoteReference w:id="182"/>
      </w:r>
      <w:r w:rsidR="00994675">
        <w:t xml:space="preserve"> </w:t>
      </w:r>
    </w:p>
    <w:p w14:paraId="56138332" w14:textId="77777777" w:rsidR="00776324" w:rsidRPr="00B65C2B" w:rsidRDefault="00994675" w:rsidP="00776324">
      <w:pPr>
        <w:pStyle w:val="ListBullet2"/>
      </w:pPr>
      <w:r>
        <w:t xml:space="preserve">the </w:t>
      </w:r>
      <w:r w:rsidR="00D56FB4">
        <w:t xml:space="preserve">allocation of service points to </w:t>
      </w:r>
      <w:r>
        <w:t>zones</w:t>
      </w:r>
      <w:r w:rsidR="00776324">
        <w:t xml:space="preserve">, having regard to the principles specified </w:t>
      </w:r>
      <w:r w:rsidR="00776324" w:rsidRPr="00B65C2B">
        <w:t xml:space="preserve">in the NGR; and </w:t>
      </w:r>
    </w:p>
    <w:p w14:paraId="459CF765" w14:textId="77777777" w:rsidR="00994675" w:rsidRPr="00B65C2B" w:rsidRDefault="00776324" w:rsidP="00776324">
      <w:pPr>
        <w:pStyle w:val="ListBullet2"/>
      </w:pPr>
      <w:r w:rsidRPr="00B65C2B">
        <w:t>the forward haul pipeline segments and backhaul pipeline segments to be used in the day-ahead auction.</w:t>
      </w:r>
    </w:p>
    <w:p w14:paraId="31CBBC8D" w14:textId="77777777" w:rsidR="00994675" w:rsidRPr="00B65C2B" w:rsidRDefault="00B65C2B" w:rsidP="00994675">
      <w:pPr>
        <w:pStyle w:val="ListBullet"/>
        <w:ind w:left="357" w:hanging="357"/>
        <w:rPr>
          <w:lang w:eastAsia="fr-CA"/>
        </w:rPr>
      </w:pPr>
      <w:r w:rsidRPr="00B65C2B">
        <w:rPr>
          <w:lang w:eastAsia="fr-CA"/>
        </w:rPr>
        <w:t xml:space="preserve">Require </w:t>
      </w:r>
      <w:r w:rsidR="00994675" w:rsidRPr="00B65C2B">
        <w:rPr>
          <w:lang w:eastAsia="fr-CA"/>
        </w:rPr>
        <w:t xml:space="preserve">AEMO to </w:t>
      </w:r>
      <w:r w:rsidR="00D56FB4" w:rsidRPr="00B65C2B">
        <w:rPr>
          <w:lang w:eastAsia="fr-CA"/>
        </w:rPr>
        <w:t xml:space="preserve">maintain </w:t>
      </w:r>
      <w:r w:rsidR="00994675" w:rsidRPr="00B65C2B">
        <w:rPr>
          <w:lang w:eastAsia="fr-CA"/>
        </w:rPr>
        <w:t>a transportation service point register</w:t>
      </w:r>
      <w:r w:rsidRPr="00B65C2B">
        <w:rPr>
          <w:lang w:eastAsia="fr-CA"/>
        </w:rPr>
        <w:t xml:space="preserve"> that </w:t>
      </w:r>
      <w:r w:rsidR="00994675" w:rsidRPr="00B65C2B">
        <w:rPr>
          <w:lang w:eastAsia="fr-CA"/>
        </w:rPr>
        <w:t>set</w:t>
      </w:r>
      <w:r w:rsidRPr="00B65C2B">
        <w:rPr>
          <w:lang w:eastAsia="fr-CA"/>
        </w:rPr>
        <w:t>s</w:t>
      </w:r>
      <w:r w:rsidR="00994675" w:rsidRPr="00B65C2B">
        <w:rPr>
          <w:lang w:eastAsia="fr-CA"/>
        </w:rPr>
        <w:t xml:space="preserve"> out the service points, pipeline segments and zones used in the capacity trading platform and </w:t>
      </w:r>
      <w:r w:rsidRPr="00B65C2B">
        <w:rPr>
          <w:lang w:eastAsia="fr-CA"/>
        </w:rPr>
        <w:t xml:space="preserve">day-ahead </w:t>
      </w:r>
      <w:r w:rsidR="00994675" w:rsidRPr="00B65C2B">
        <w:rPr>
          <w:lang w:eastAsia="fr-CA"/>
        </w:rPr>
        <w:t>auction</w:t>
      </w:r>
      <w:r w:rsidR="00994675" w:rsidRPr="00B65C2B">
        <w:rPr>
          <w:rStyle w:val="FootnoteReference"/>
          <w:lang w:eastAsia="fr-CA"/>
        </w:rPr>
        <w:footnoteReference w:id="183"/>
      </w:r>
      <w:r w:rsidRPr="00B65C2B">
        <w:rPr>
          <w:lang w:eastAsia="fr-CA"/>
        </w:rPr>
        <w:t xml:space="preserve"> and specifies for each pipeline service point and zone if it is a DWGM or STTM interface point.</w:t>
      </w:r>
      <w:r w:rsidRPr="00B65C2B">
        <w:rPr>
          <w:rStyle w:val="FootnoteReference"/>
          <w:lang w:eastAsia="fr-CA"/>
        </w:rPr>
        <w:footnoteReference w:id="184"/>
      </w:r>
    </w:p>
    <w:p w14:paraId="700D4569" w14:textId="77777777" w:rsidR="00E55DB7" w:rsidRPr="00E55DB7" w:rsidRDefault="00BE4864" w:rsidP="00E55DB7">
      <w:pPr>
        <w:pStyle w:val="BodyText"/>
        <w:keepNext/>
        <w:rPr>
          <w:b/>
          <w:color w:val="0099CC"/>
        </w:rPr>
      </w:pPr>
      <w:r>
        <w:rPr>
          <w:b/>
          <w:color w:val="0099CC"/>
        </w:rPr>
        <w:t xml:space="preserve">Standard OTSAs </w:t>
      </w:r>
    </w:p>
    <w:p w14:paraId="482CC554" w14:textId="77777777" w:rsidR="00994675" w:rsidRDefault="00994675" w:rsidP="00994675">
      <w:pPr>
        <w:pStyle w:val="BodyText"/>
        <w:rPr>
          <w:lang w:eastAsia="fr-CA"/>
        </w:rPr>
      </w:pPr>
      <w:r>
        <w:rPr>
          <w:lang w:eastAsia="fr-CA"/>
        </w:rPr>
        <w:t>Division 5 of Part 24</w:t>
      </w:r>
      <w:r w:rsidR="00E55DB7">
        <w:rPr>
          <w:lang w:eastAsia="fr-CA"/>
        </w:rPr>
        <w:t xml:space="preserve"> </w:t>
      </w:r>
      <w:r>
        <w:t xml:space="preserve">sets out </w:t>
      </w:r>
      <w:r w:rsidR="00E55DB7">
        <w:t xml:space="preserve">transportation </w:t>
      </w:r>
      <w:r>
        <w:t>service providers</w:t>
      </w:r>
      <w:r w:rsidR="00846AE4">
        <w:t>’ obligations</w:t>
      </w:r>
      <w:r>
        <w:t xml:space="preserve"> in relation to </w:t>
      </w:r>
      <w:r w:rsidR="00B9365D">
        <w:t>standard OTSA</w:t>
      </w:r>
      <w:r>
        <w:t xml:space="preserve">s, </w:t>
      </w:r>
      <w:r w:rsidR="00846AE4">
        <w:t xml:space="preserve">including </w:t>
      </w:r>
      <w:r>
        <w:t>provisions that:</w:t>
      </w:r>
    </w:p>
    <w:p w14:paraId="789B0ED7" w14:textId="77777777" w:rsidR="00846AE4" w:rsidRDefault="00846AE4" w:rsidP="0035077C">
      <w:pPr>
        <w:pStyle w:val="ListBullet"/>
        <w:numPr>
          <w:ilvl w:val="0"/>
          <w:numId w:val="22"/>
        </w:numPr>
        <w:rPr>
          <w:lang w:eastAsia="fr-CA"/>
        </w:rPr>
      </w:pPr>
      <w:r>
        <w:rPr>
          <w:lang w:eastAsia="fr-CA"/>
        </w:rPr>
        <w:lastRenderedPageBreak/>
        <w:t>R</w:t>
      </w:r>
      <w:r w:rsidR="00994675">
        <w:rPr>
          <w:lang w:eastAsia="fr-CA"/>
        </w:rPr>
        <w:t xml:space="preserve">equire </w:t>
      </w:r>
      <w:r w:rsidR="00E55DB7">
        <w:rPr>
          <w:lang w:eastAsia="fr-CA"/>
        </w:rPr>
        <w:t xml:space="preserve">transportation </w:t>
      </w:r>
      <w:r w:rsidR="00994675">
        <w:rPr>
          <w:lang w:eastAsia="fr-CA"/>
        </w:rPr>
        <w:t xml:space="preserve">service providers </w:t>
      </w:r>
      <w:r w:rsidR="00E55DB7">
        <w:rPr>
          <w:lang w:eastAsia="fr-CA"/>
        </w:rPr>
        <w:t xml:space="preserve">of Part 24 facilities </w:t>
      </w:r>
      <w:r w:rsidR="00994675">
        <w:rPr>
          <w:lang w:eastAsia="fr-CA"/>
        </w:rPr>
        <w:t>to</w:t>
      </w:r>
      <w:r>
        <w:rPr>
          <w:lang w:eastAsia="fr-CA"/>
        </w:rPr>
        <w:t>:</w:t>
      </w:r>
      <w:r w:rsidR="00994675">
        <w:rPr>
          <w:lang w:eastAsia="fr-CA"/>
        </w:rPr>
        <w:t xml:space="preserve"> </w:t>
      </w:r>
    </w:p>
    <w:p w14:paraId="6F953A73" w14:textId="77777777" w:rsidR="00994675" w:rsidRDefault="00693E57" w:rsidP="00846AE4">
      <w:pPr>
        <w:pStyle w:val="ListBullet2"/>
        <w:rPr>
          <w:lang w:eastAsia="fr-CA"/>
        </w:rPr>
      </w:pPr>
      <w:r>
        <w:rPr>
          <w:lang w:eastAsia="fr-CA"/>
        </w:rPr>
        <w:t>prepare</w:t>
      </w:r>
      <w:r w:rsidR="00994675">
        <w:rPr>
          <w:lang w:eastAsia="fr-CA"/>
        </w:rPr>
        <w:t xml:space="preserve">, publish and amend </w:t>
      </w:r>
      <w:r w:rsidR="00B9365D">
        <w:rPr>
          <w:lang w:eastAsia="fr-CA"/>
        </w:rPr>
        <w:t>standard OTSA</w:t>
      </w:r>
      <w:r w:rsidR="00994675">
        <w:rPr>
          <w:lang w:eastAsia="fr-CA"/>
        </w:rPr>
        <w:t>s and ensure those agreements comply with the Code and the NGR</w:t>
      </w:r>
      <w:r w:rsidR="00846AE4">
        <w:rPr>
          <w:lang w:eastAsia="fr-CA"/>
        </w:rPr>
        <w:t>;</w:t>
      </w:r>
      <w:r w:rsidR="00994675">
        <w:rPr>
          <w:rStyle w:val="FootnoteReference"/>
        </w:rPr>
        <w:footnoteReference w:id="185"/>
      </w:r>
      <w:r w:rsidR="00846AE4">
        <w:rPr>
          <w:lang w:eastAsia="fr-CA"/>
        </w:rPr>
        <w:t xml:space="preserve"> and</w:t>
      </w:r>
    </w:p>
    <w:p w14:paraId="4AF040CB" w14:textId="77777777" w:rsidR="00846AE4" w:rsidRDefault="00846AE4" w:rsidP="00846AE4">
      <w:pPr>
        <w:pStyle w:val="ListBullet2"/>
        <w:rPr>
          <w:lang w:eastAsia="fr-CA"/>
        </w:rPr>
      </w:pPr>
      <w:r>
        <w:rPr>
          <w:lang w:eastAsia="fr-CA"/>
        </w:rPr>
        <w:t xml:space="preserve">offer to enter into standard OTSAs with prospective secondary shippers if they meet the </w:t>
      </w:r>
      <w:r w:rsidR="004470DD">
        <w:rPr>
          <w:lang w:eastAsia="fr-CA"/>
        </w:rPr>
        <w:t>eligibility</w:t>
      </w:r>
      <w:r>
        <w:rPr>
          <w:lang w:eastAsia="fr-CA"/>
        </w:rPr>
        <w:t xml:space="preserve"> </w:t>
      </w:r>
      <w:r w:rsidR="004470DD">
        <w:rPr>
          <w:lang w:eastAsia="fr-CA"/>
        </w:rPr>
        <w:t>criteria in the NGR</w:t>
      </w:r>
      <w:r w:rsidR="00EF363E">
        <w:rPr>
          <w:lang w:eastAsia="fr-CA"/>
        </w:rPr>
        <w:t xml:space="preserve"> within the time specified in the NGR</w:t>
      </w:r>
      <w:r w:rsidR="004470DD">
        <w:rPr>
          <w:lang w:eastAsia="fr-CA"/>
        </w:rPr>
        <w:t>.</w:t>
      </w:r>
      <w:r w:rsidR="004470DD">
        <w:rPr>
          <w:rStyle w:val="FootnoteReference"/>
          <w:lang w:eastAsia="fr-CA"/>
        </w:rPr>
        <w:footnoteReference w:id="186"/>
      </w:r>
    </w:p>
    <w:p w14:paraId="7DF27EB0" w14:textId="77777777" w:rsidR="004470DD" w:rsidRPr="00EF363E" w:rsidRDefault="004470DD" w:rsidP="004470DD">
      <w:pPr>
        <w:pStyle w:val="ListBullet"/>
        <w:numPr>
          <w:ilvl w:val="0"/>
          <w:numId w:val="0"/>
        </w:numPr>
        <w:ind w:left="357"/>
        <w:rPr>
          <w:lang w:eastAsia="fr-CA"/>
        </w:rPr>
      </w:pPr>
      <w:r w:rsidRPr="00EF363E">
        <w:rPr>
          <w:lang w:eastAsia="fr-CA"/>
        </w:rPr>
        <w:t>As noted in Table 5.1</w:t>
      </w:r>
      <w:r w:rsidR="005E6FB8">
        <w:rPr>
          <w:lang w:eastAsia="fr-CA"/>
        </w:rPr>
        <w:t>,</w:t>
      </w:r>
      <w:r w:rsidRPr="00EF363E">
        <w:rPr>
          <w:lang w:eastAsia="fr-CA"/>
        </w:rPr>
        <w:t xml:space="preserve"> the transportation service provider</w:t>
      </w:r>
      <w:r w:rsidR="005E6FB8">
        <w:rPr>
          <w:lang w:eastAsia="fr-CA"/>
        </w:rPr>
        <w:t xml:space="preserve"> for a </w:t>
      </w:r>
      <w:r w:rsidRPr="00EF363E">
        <w:rPr>
          <w:lang w:eastAsia="fr-CA"/>
        </w:rPr>
        <w:t>conditionally exempt transportation facilit</w:t>
      </w:r>
      <w:r w:rsidR="005E6FB8">
        <w:rPr>
          <w:lang w:eastAsia="fr-CA"/>
        </w:rPr>
        <w:t>y</w:t>
      </w:r>
      <w:r w:rsidRPr="00EF363E">
        <w:rPr>
          <w:lang w:eastAsia="fr-CA"/>
        </w:rPr>
        <w:t xml:space="preserve"> must also prepare a standard OTSA </w:t>
      </w:r>
      <w:r w:rsidR="00EF363E" w:rsidRPr="00EF363E">
        <w:rPr>
          <w:lang w:eastAsia="fr-CA"/>
        </w:rPr>
        <w:t xml:space="preserve">that complies with the Code and the NGR and make an offer to enter into the agreement with a prospective shipper </w:t>
      </w:r>
      <w:r w:rsidR="005E6FB8">
        <w:rPr>
          <w:lang w:eastAsia="fr-CA"/>
        </w:rPr>
        <w:t xml:space="preserve">that meets </w:t>
      </w:r>
      <w:r w:rsidR="00EF363E" w:rsidRPr="00EF363E">
        <w:rPr>
          <w:lang w:eastAsia="fr-CA"/>
        </w:rPr>
        <w:t>the eligibility criteria within the time specified in the NGR. These obligations are set out in Division 3 of the NGR rather than Division 5 of the NGR.</w:t>
      </w:r>
    </w:p>
    <w:p w14:paraId="5AF32910" w14:textId="77777777" w:rsidR="00710055" w:rsidRDefault="00846AE4" w:rsidP="0035077C">
      <w:pPr>
        <w:pStyle w:val="ListBullet"/>
        <w:numPr>
          <w:ilvl w:val="0"/>
          <w:numId w:val="22"/>
        </w:numPr>
        <w:rPr>
          <w:lang w:eastAsia="fr-CA"/>
        </w:rPr>
      </w:pPr>
      <w:r>
        <w:rPr>
          <w:lang w:eastAsia="fr-CA"/>
        </w:rPr>
        <w:t>S</w:t>
      </w:r>
      <w:r w:rsidR="00710055">
        <w:rPr>
          <w:lang w:eastAsia="fr-CA"/>
        </w:rPr>
        <w:t>et out the requirements for standard OTSA requests, including the eligibility criteria that a prospective secondary shipper must satisfy to be offered a standard OTSA</w:t>
      </w:r>
      <w:r>
        <w:rPr>
          <w:lang w:eastAsia="fr-CA"/>
        </w:rPr>
        <w:t>.</w:t>
      </w:r>
      <w:r w:rsidR="00710055">
        <w:rPr>
          <w:rStyle w:val="FootnoteReference"/>
          <w:lang w:eastAsia="fr-CA"/>
        </w:rPr>
        <w:footnoteReference w:id="187"/>
      </w:r>
    </w:p>
    <w:p w14:paraId="3D7B1FDB" w14:textId="77777777" w:rsidR="004470DD" w:rsidRDefault="00846AE4" w:rsidP="004470DD">
      <w:pPr>
        <w:pStyle w:val="ListBullet"/>
        <w:numPr>
          <w:ilvl w:val="0"/>
          <w:numId w:val="22"/>
        </w:numPr>
        <w:rPr>
          <w:lang w:eastAsia="fr-CA"/>
        </w:rPr>
      </w:pPr>
      <w:r>
        <w:rPr>
          <w:lang w:eastAsia="fr-CA"/>
        </w:rPr>
        <w:t>R</w:t>
      </w:r>
      <w:r w:rsidR="00994675">
        <w:rPr>
          <w:lang w:eastAsia="fr-CA"/>
        </w:rPr>
        <w:t xml:space="preserve">equire </w:t>
      </w:r>
      <w:r w:rsidR="00E55DB7">
        <w:rPr>
          <w:lang w:eastAsia="fr-CA"/>
        </w:rPr>
        <w:t xml:space="preserve">transportation </w:t>
      </w:r>
      <w:r w:rsidR="00994675">
        <w:rPr>
          <w:lang w:eastAsia="fr-CA"/>
        </w:rPr>
        <w:t>service providers to</w:t>
      </w:r>
      <w:r w:rsidR="004470DD">
        <w:rPr>
          <w:lang w:eastAsia="fr-CA"/>
        </w:rPr>
        <w:t xml:space="preserve"> comply with the standardisation </w:t>
      </w:r>
      <w:r w:rsidR="00994675">
        <w:rPr>
          <w:lang w:eastAsia="fr-CA"/>
        </w:rPr>
        <w:t xml:space="preserve">cost recovery </w:t>
      </w:r>
      <w:r w:rsidR="00710055">
        <w:rPr>
          <w:lang w:eastAsia="fr-CA"/>
        </w:rPr>
        <w:t xml:space="preserve">and charging principles </w:t>
      </w:r>
      <w:r w:rsidR="004470DD">
        <w:rPr>
          <w:lang w:eastAsia="fr-CA"/>
        </w:rPr>
        <w:t>in the NGR and to publish:</w:t>
      </w:r>
      <w:r w:rsidR="004470DD" w:rsidRPr="004470DD">
        <w:rPr>
          <w:rStyle w:val="FootnoteReference"/>
        </w:rPr>
        <w:t xml:space="preserve"> </w:t>
      </w:r>
      <w:r w:rsidR="004470DD">
        <w:rPr>
          <w:rStyle w:val="FootnoteReference"/>
        </w:rPr>
        <w:footnoteReference w:id="188"/>
      </w:r>
      <w:r w:rsidR="004470DD">
        <w:rPr>
          <w:lang w:eastAsia="fr-CA"/>
        </w:rPr>
        <w:t xml:space="preserve"> </w:t>
      </w:r>
    </w:p>
    <w:p w14:paraId="3781F49E" w14:textId="77777777" w:rsidR="00994675" w:rsidRDefault="004470DD" w:rsidP="004470DD">
      <w:pPr>
        <w:pStyle w:val="ListBullet2"/>
        <w:rPr>
          <w:lang w:eastAsia="fr-CA"/>
        </w:rPr>
      </w:pPr>
      <w:r>
        <w:rPr>
          <w:lang w:eastAsia="fr-CA"/>
        </w:rPr>
        <w:t>a schedule of standardisation charges (including charges levied under standard OTSAs and other agreements);</w:t>
      </w:r>
      <w:r w:rsidR="00994675">
        <w:rPr>
          <w:lang w:eastAsia="fr-CA"/>
        </w:rPr>
        <w:t xml:space="preserve"> </w:t>
      </w:r>
      <w:r>
        <w:rPr>
          <w:lang w:eastAsia="fr-CA"/>
        </w:rPr>
        <w:t>and</w:t>
      </w:r>
    </w:p>
    <w:p w14:paraId="0F9225FF" w14:textId="77777777" w:rsidR="004470DD" w:rsidRDefault="004470DD" w:rsidP="004470DD">
      <w:pPr>
        <w:pStyle w:val="ListBullet2"/>
        <w:rPr>
          <w:lang w:eastAsia="fr-CA"/>
        </w:rPr>
      </w:pPr>
      <w:r>
        <w:rPr>
          <w:lang w:eastAsia="fr-CA"/>
        </w:rPr>
        <w:t>information in reasonable detail to explain how the standardisation costs were incurred, how the proceeds of the auction are taken into account and how the schedule of charges has been calculated.</w:t>
      </w:r>
    </w:p>
    <w:p w14:paraId="74C85DE2" w14:textId="77777777" w:rsidR="00994675" w:rsidRDefault="00846AE4" w:rsidP="0035077C">
      <w:pPr>
        <w:pStyle w:val="ListBullet"/>
        <w:numPr>
          <w:ilvl w:val="0"/>
          <w:numId w:val="22"/>
        </w:numPr>
        <w:rPr>
          <w:lang w:eastAsia="fr-CA"/>
        </w:rPr>
      </w:pPr>
      <w:r>
        <w:rPr>
          <w:lang w:eastAsia="fr-CA"/>
        </w:rPr>
        <w:t>P</w:t>
      </w:r>
      <w:r w:rsidR="00994675">
        <w:rPr>
          <w:lang w:eastAsia="fr-CA"/>
        </w:rPr>
        <w:t xml:space="preserve">rovide for the AER to review </w:t>
      </w:r>
      <w:r w:rsidR="0060498D">
        <w:rPr>
          <w:lang w:eastAsia="fr-CA"/>
        </w:rPr>
        <w:t xml:space="preserve">transportation service providers’ </w:t>
      </w:r>
      <w:r w:rsidR="00B9365D">
        <w:rPr>
          <w:lang w:eastAsia="fr-CA"/>
        </w:rPr>
        <w:t>standard OTSA</w:t>
      </w:r>
      <w:r w:rsidR="00994675">
        <w:rPr>
          <w:lang w:eastAsia="fr-CA"/>
        </w:rPr>
        <w:t xml:space="preserve">s and the </w:t>
      </w:r>
      <w:r w:rsidR="00710055">
        <w:rPr>
          <w:lang w:eastAsia="fr-CA"/>
        </w:rPr>
        <w:t>standardisation</w:t>
      </w:r>
      <w:r w:rsidR="00994675">
        <w:rPr>
          <w:lang w:eastAsia="fr-CA"/>
        </w:rPr>
        <w:t xml:space="preserve"> </w:t>
      </w:r>
      <w:r w:rsidR="00710055">
        <w:rPr>
          <w:lang w:eastAsia="fr-CA"/>
        </w:rPr>
        <w:t xml:space="preserve">charges </w:t>
      </w:r>
      <w:r w:rsidR="0060498D">
        <w:rPr>
          <w:lang w:eastAsia="fr-CA"/>
        </w:rPr>
        <w:t>contained therein at any time either of its own volition or in response to a request by a shipper</w:t>
      </w:r>
      <w:r w:rsidR="00994675">
        <w:rPr>
          <w:lang w:eastAsia="fr-CA"/>
        </w:rPr>
        <w:t>.</w:t>
      </w:r>
      <w:r w:rsidR="00994675">
        <w:rPr>
          <w:rStyle w:val="FootnoteReference"/>
        </w:rPr>
        <w:footnoteReference w:id="189"/>
      </w:r>
      <w:r w:rsidR="00994675">
        <w:rPr>
          <w:lang w:eastAsia="fr-CA"/>
        </w:rPr>
        <w:t xml:space="preserve"> </w:t>
      </w:r>
      <w:r w:rsidR="0060498D">
        <w:rPr>
          <w:lang w:eastAsia="fr-CA"/>
        </w:rPr>
        <w:t xml:space="preserve">If the AER is not satisfied that the OTSA or charges comply with the NGR or the Code (or where applicable, the conditions of an exemption), the AER may require the transportation service provider to amend the standard OTSA within a specified time. </w:t>
      </w:r>
      <w:r w:rsidR="005E6FB8">
        <w:rPr>
          <w:lang w:eastAsia="fr-CA"/>
        </w:rPr>
        <w:t>The</w:t>
      </w:r>
      <w:r w:rsidR="0060498D">
        <w:rPr>
          <w:lang w:eastAsia="fr-CA"/>
        </w:rPr>
        <w:t xml:space="preserve"> cost recovery and charging principles in the NGR have been classified as civil penalty and conduct provisions, so the AER </w:t>
      </w:r>
      <w:r w:rsidR="00BA3A4A">
        <w:rPr>
          <w:lang w:eastAsia="fr-CA"/>
        </w:rPr>
        <w:t>and/</w:t>
      </w:r>
      <w:r w:rsidR="0060498D">
        <w:rPr>
          <w:lang w:eastAsia="fr-CA"/>
        </w:rPr>
        <w:t xml:space="preserve">or affected shippers could </w:t>
      </w:r>
      <w:r w:rsidR="00BA3A4A">
        <w:rPr>
          <w:lang w:eastAsia="fr-CA"/>
        </w:rPr>
        <w:t xml:space="preserve">take other </w:t>
      </w:r>
      <w:r w:rsidR="0060498D">
        <w:rPr>
          <w:lang w:eastAsia="fr-CA"/>
        </w:rPr>
        <w:t xml:space="preserve">enforcement action if the standardisation charges are found not to comply with </w:t>
      </w:r>
      <w:r w:rsidR="00BA3A4A">
        <w:rPr>
          <w:lang w:eastAsia="fr-CA"/>
        </w:rPr>
        <w:t xml:space="preserve">these principles. </w:t>
      </w:r>
    </w:p>
    <w:p w14:paraId="45C6946C" w14:textId="77777777" w:rsidR="00BE4864" w:rsidRPr="00E55DB7" w:rsidRDefault="00BE4864" w:rsidP="00BE4864">
      <w:pPr>
        <w:pStyle w:val="BodyText"/>
        <w:keepNext/>
        <w:rPr>
          <w:b/>
          <w:color w:val="0099CC"/>
        </w:rPr>
      </w:pPr>
      <w:r>
        <w:rPr>
          <w:b/>
          <w:color w:val="0099CC"/>
        </w:rPr>
        <w:t xml:space="preserve">Other transportation service provider obligations </w:t>
      </w:r>
    </w:p>
    <w:p w14:paraId="6E38CDAC" w14:textId="77777777" w:rsidR="00994675" w:rsidRDefault="00994675" w:rsidP="00994675">
      <w:pPr>
        <w:pStyle w:val="BodyText"/>
        <w:rPr>
          <w:lang w:eastAsia="fr-CA"/>
        </w:rPr>
      </w:pPr>
      <w:r>
        <w:t>Division 6 of Part 24</w:t>
      </w:r>
      <w:r w:rsidR="00710055">
        <w:t xml:space="preserve"> </w:t>
      </w:r>
      <w:r w:rsidR="00EF363E">
        <w:t xml:space="preserve">of the NGR </w:t>
      </w:r>
      <w:r>
        <w:t xml:space="preserve">sets out a number of obligations </w:t>
      </w:r>
      <w:r w:rsidR="00710055">
        <w:t xml:space="preserve">that transportation </w:t>
      </w:r>
      <w:r>
        <w:t xml:space="preserve">service providers </w:t>
      </w:r>
      <w:r w:rsidR="00EF363E">
        <w:t>of Part 24 facilities and conditionally exempt facilities must comply with</w:t>
      </w:r>
      <w:r w:rsidR="00BE4864">
        <w:t>, including the obligation they have to</w:t>
      </w:r>
      <w:r>
        <w:t>:</w:t>
      </w:r>
    </w:p>
    <w:p w14:paraId="1437228B" w14:textId="77777777" w:rsidR="00EF363E" w:rsidRPr="00DE6158" w:rsidRDefault="00994675" w:rsidP="0035077C">
      <w:pPr>
        <w:pStyle w:val="ListBullet"/>
        <w:numPr>
          <w:ilvl w:val="0"/>
          <w:numId w:val="22"/>
        </w:numPr>
        <w:rPr>
          <w:lang w:eastAsia="fr-CA"/>
        </w:rPr>
      </w:pPr>
      <w:r>
        <w:rPr>
          <w:lang w:eastAsia="fr-CA"/>
        </w:rPr>
        <w:t xml:space="preserve">give effect to operational transfers notified to them by AEMO </w:t>
      </w:r>
      <w:r w:rsidR="00EF363E">
        <w:rPr>
          <w:lang w:eastAsia="fr-CA"/>
        </w:rPr>
        <w:t xml:space="preserve">(for trades conducted </w:t>
      </w:r>
      <w:r w:rsidR="00EF363E" w:rsidRPr="00DE6158">
        <w:rPr>
          <w:lang w:eastAsia="fr-CA"/>
        </w:rPr>
        <w:t xml:space="preserve">through the capacity trading platform) </w:t>
      </w:r>
      <w:r w:rsidRPr="00DE6158">
        <w:rPr>
          <w:lang w:eastAsia="fr-CA"/>
        </w:rPr>
        <w:t xml:space="preserve">or </w:t>
      </w:r>
      <w:r w:rsidR="00EF363E" w:rsidRPr="00DE6158">
        <w:rPr>
          <w:lang w:eastAsia="fr-CA"/>
        </w:rPr>
        <w:t xml:space="preserve">the trading </w:t>
      </w:r>
      <w:r w:rsidRPr="00DE6158">
        <w:rPr>
          <w:lang w:eastAsia="fr-CA"/>
        </w:rPr>
        <w:t xml:space="preserve">parties </w:t>
      </w:r>
      <w:r w:rsidR="00EF363E" w:rsidRPr="00DE6158">
        <w:rPr>
          <w:lang w:eastAsia="fr-CA"/>
        </w:rPr>
        <w:t>(for trades conducted bilaterally);</w:t>
      </w:r>
      <w:r w:rsidR="00BE4864" w:rsidRPr="00DE6158">
        <w:rPr>
          <w:rStyle w:val="FootnoteReference"/>
          <w:lang w:eastAsia="fr-CA"/>
        </w:rPr>
        <w:t xml:space="preserve"> </w:t>
      </w:r>
      <w:r w:rsidR="00BE4864" w:rsidRPr="00DE6158">
        <w:rPr>
          <w:rStyle w:val="FootnoteReference"/>
          <w:lang w:eastAsia="fr-CA"/>
        </w:rPr>
        <w:footnoteReference w:id="190"/>
      </w:r>
    </w:p>
    <w:p w14:paraId="2234E712" w14:textId="77777777" w:rsidR="00DE6158" w:rsidRPr="00DE6158" w:rsidRDefault="00DE6158" w:rsidP="00DE6158">
      <w:pPr>
        <w:pStyle w:val="ListBullet"/>
        <w:numPr>
          <w:ilvl w:val="0"/>
          <w:numId w:val="22"/>
        </w:numPr>
      </w:pPr>
      <w:r w:rsidRPr="00DE6158">
        <w:lastRenderedPageBreak/>
        <w:t>honour capacity trades conducted through the exchange if the primary facility agreement from which the capacity was first derived is terminated or suspended for the period specified in the NGR (see Table 6.1 for more detail);</w:t>
      </w:r>
      <w:r w:rsidRPr="00DE6158">
        <w:rPr>
          <w:rStyle w:val="FootnoteReference"/>
        </w:rPr>
        <w:footnoteReference w:id="191"/>
      </w:r>
      <w:r w:rsidRPr="00DE6158">
        <w:t xml:space="preserve"> </w:t>
      </w:r>
    </w:p>
    <w:p w14:paraId="62915655" w14:textId="77777777" w:rsidR="00710055" w:rsidRDefault="00EF363E" w:rsidP="0035077C">
      <w:pPr>
        <w:pStyle w:val="ListBullet"/>
        <w:numPr>
          <w:ilvl w:val="0"/>
          <w:numId w:val="22"/>
        </w:numPr>
        <w:rPr>
          <w:lang w:eastAsia="fr-CA"/>
        </w:rPr>
      </w:pPr>
      <w:r>
        <w:rPr>
          <w:lang w:eastAsia="fr-CA"/>
        </w:rPr>
        <w:t xml:space="preserve">provide a shipper with an amending </w:t>
      </w:r>
      <w:r w:rsidR="00466FDF">
        <w:rPr>
          <w:lang w:eastAsia="fr-CA"/>
        </w:rPr>
        <w:t xml:space="preserve">facility agreement </w:t>
      </w:r>
      <w:r>
        <w:rPr>
          <w:lang w:eastAsia="fr-CA"/>
        </w:rPr>
        <w:t>that permits the user to sell capacity for use under an OTSA and gives effect to the facilitation of trade principles in rule 642 within the time specified in the NGR if requested to do so by the shipper;</w:t>
      </w:r>
      <w:r w:rsidR="00710055" w:rsidRPr="00710055">
        <w:rPr>
          <w:rStyle w:val="FootnoteReference"/>
        </w:rPr>
        <w:t xml:space="preserve"> </w:t>
      </w:r>
      <w:r w:rsidR="00710055">
        <w:rPr>
          <w:rStyle w:val="FootnoteReference"/>
        </w:rPr>
        <w:footnoteReference w:id="192"/>
      </w:r>
    </w:p>
    <w:p w14:paraId="7CA9EEF0" w14:textId="77777777" w:rsidR="00994675" w:rsidRDefault="00EF363E" w:rsidP="0035077C">
      <w:pPr>
        <w:pStyle w:val="ListBullet"/>
        <w:numPr>
          <w:ilvl w:val="0"/>
          <w:numId w:val="22"/>
        </w:numPr>
        <w:rPr>
          <w:lang w:eastAsia="fr-CA"/>
        </w:rPr>
      </w:pPr>
      <w:r>
        <w:t xml:space="preserve">ensure that </w:t>
      </w:r>
      <w:r w:rsidR="00710055">
        <w:t xml:space="preserve">any new facility agreements entered into after the commencement of Part 24 of the NGR permit </w:t>
      </w:r>
      <w:r>
        <w:t xml:space="preserve">the shipper </w:t>
      </w:r>
      <w:r w:rsidR="00710055">
        <w:t xml:space="preserve">to sell capacity </w:t>
      </w:r>
      <w:r>
        <w:t xml:space="preserve">for use </w:t>
      </w:r>
      <w:r w:rsidR="00710055">
        <w:t>under an OTSA and give</w:t>
      </w:r>
      <w:r>
        <w:t>s</w:t>
      </w:r>
      <w:r w:rsidR="00710055">
        <w:t xml:space="preserve"> effect </w:t>
      </w:r>
      <w:r w:rsidR="00710055" w:rsidRPr="00C37D44">
        <w:rPr>
          <w:lang w:eastAsia="fr-CA"/>
        </w:rPr>
        <w:t xml:space="preserve">to </w:t>
      </w:r>
      <w:r w:rsidR="00710055">
        <w:rPr>
          <w:lang w:eastAsia="fr-CA"/>
        </w:rPr>
        <w:t xml:space="preserve">the </w:t>
      </w:r>
      <w:r>
        <w:rPr>
          <w:lang w:eastAsia="fr-CA"/>
        </w:rPr>
        <w:t xml:space="preserve">facilitation of trade </w:t>
      </w:r>
      <w:r w:rsidR="00710055" w:rsidRPr="00C37D44">
        <w:rPr>
          <w:lang w:eastAsia="fr-CA"/>
        </w:rPr>
        <w:t xml:space="preserve">principles in </w:t>
      </w:r>
      <w:r w:rsidR="00710055">
        <w:rPr>
          <w:lang w:eastAsia="fr-CA"/>
        </w:rPr>
        <w:t xml:space="preserve">rule 642 of </w:t>
      </w:r>
      <w:r w:rsidR="00710055" w:rsidRPr="00C37D44">
        <w:rPr>
          <w:lang w:eastAsia="fr-CA"/>
        </w:rPr>
        <w:t>the NGR</w:t>
      </w:r>
      <w:r w:rsidR="00710055">
        <w:rPr>
          <w:lang w:eastAsia="fr-CA"/>
        </w:rPr>
        <w:t>;</w:t>
      </w:r>
      <w:r w:rsidR="00710055">
        <w:rPr>
          <w:rStyle w:val="FootnoteReference"/>
          <w:rFonts w:asciiTheme="majorHAnsi" w:hAnsiTheme="majorHAnsi" w:cstheme="majorHAnsi"/>
          <w:lang w:eastAsia="fr-CA"/>
        </w:rPr>
        <w:footnoteReference w:id="193"/>
      </w:r>
      <w:r w:rsidR="00994675">
        <w:rPr>
          <w:lang w:eastAsia="fr-CA"/>
        </w:rPr>
        <w:t xml:space="preserve"> </w:t>
      </w:r>
      <w:r w:rsidR="00710055">
        <w:rPr>
          <w:lang w:eastAsia="fr-CA"/>
        </w:rPr>
        <w:t>and</w:t>
      </w:r>
    </w:p>
    <w:p w14:paraId="1E407B41" w14:textId="77777777" w:rsidR="00994675" w:rsidRDefault="00BE4864" w:rsidP="0035077C">
      <w:pPr>
        <w:pStyle w:val="ListBullet"/>
        <w:numPr>
          <w:ilvl w:val="0"/>
          <w:numId w:val="22"/>
        </w:numPr>
        <w:rPr>
          <w:lang w:eastAsia="fr-CA"/>
        </w:rPr>
      </w:pPr>
      <w:r>
        <w:rPr>
          <w:lang w:eastAsia="fr-CA"/>
        </w:rPr>
        <w:t xml:space="preserve">comply with the use of additional pipeline service point provisions in the NGR </w:t>
      </w:r>
      <w:r w:rsidR="00994675">
        <w:rPr>
          <w:lang w:eastAsia="fr-CA"/>
        </w:rPr>
        <w:t xml:space="preserve">when responding to </w:t>
      </w:r>
      <w:r>
        <w:rPr>
          <w:lang w:eastAsia="fr-CA"/>
        </w:rPr>
        <w:t xml:space="preserve">a </w:t>
      </w:r>
      <w:r w:rsidR="00994675">
        <w:rPr>
          <w:lang w:eastAsia="fr-CA"/>
        </w:rPr>
        <w:t>request</w:t>
      </w:r>
      <w:r>
        <w:rPr>
          <w:lang w:eastAsia="fr-CA"/>
        </w:rPr>
        <w:t xml:space="preserve"> by a shipper</w:t>
      </w:r>
      <w:r w:rsidR="00994675">
        <w:rPr>
          <w:lang w:eastAsia="fr-CA"/>
        </w:rPr>
        <w:t xml:space="preserve"> to </w:t>
      </w:r>
      <w:r w:rsidR="005640D1">
        <w:rPr>
          <w:lang w:eastAsia="fr-CA"/>
        </w:rPr>
        <w:t xml:space="preserve">add </w:t>
      </w:r>
      <w:r w:rsidR="00994675">
        <w:rPr>
          <w:lang w:eastAsia="fr-CA"/>
        </w:rPr>
        <w:t>receipt and delivery points.</w:t>
      </w:r>
      <w:r w:rsidR="00994675">
        <w:rPr>
          <w:rStyle w:val="FootnoteReference"/>
        </w:rPr>
        <w:footnoteReference w:id="194"/>
      </w:r>
      <w:r w:rsidR="00994675">
        <w:rPr>
          <w:lang w:eastAsia="fr-CA"/>
        </w:rPr>
        <w:t xml:space="preserve"> </w:t>
      </w:r>
    </w:p>
    <w:p w14:paraId="2AC52F14" w14:textId="77777777" w:rsidR="00E70558" w:rsidRPr="00E55DB7" w:rsidRDefault="00E70558" w:rsidP="00E70558">
      <w:pPr>
        <w:pStyle w:val="BodyText"/>
        <w:keepNext/>
        <w:rPr>
          <w:b/>
          <w:color w:val="0099CC"/>
        </w:rPr>
      </w:pPr>
      <w:r>
        <w:rPr>
          <w:b/>
          <w:color w:val="0099CC"/>
        </w:rPr>
        <w:t>Information standard</w:t>
      </w:r>
    </w:p>
    <w:p w14:paraId="69ABCA29" w14:textId="2E137C44" w:rsidR="008F5197" w:rsidRDefault="00C855EC" w:rsidP="008F5197">
      <w:pPr>
        <w:pStyle w:val="BodyText"/>
        <w:rPr>
          <w:rFonts w:ascii="Times New Roman" w:hAnsi="Times New Roman"/>
          <w:sz w:val="24"/>
          <w:szCs w:val="24"/>
        </w:rPr>
      </w:pPr>
      <w:r>
        <w:t>T</w:t>
      </w:r>
      <w:r w:rsidR="00E70558">
        <w:t xml:space="preserve">he NGR </w:t>
      </w:r>
      <w:r>
        <w:t xml:space="preserve">defines </w:t>
      </w:r>
      <w:r w:rsidR="00E70558">
        <w:t>the information standard that transportation service providers and transportation facility users must employ when recording and/or providing the information specified in parts 24 and 25 of the NGR to AEMO or the AER</w:t>
      </w:r>
      <w:r w:rsidR="008F5197">
        <w:t xml:space="preserve"> (the ‘Part 24 information standard’)</w:t>
      </w:r>
      <w:r w:rsidR="00E70558">
        <w:t>.</w:t>
      </w:r>
      <w:r w:rsidR="00E70558">
        <w:rPr>
          <w:rStyle w:val="FootnoteReference"/>
        </w:rPr>
        <w:footnoteReference w:id="195"/>
      </w:r>
      <w:r w:rsidR="00E70558">
        <w:t xml:space="preserve"> This information standard</w:t>
      </w:r>
      <w:r w:rsidR="008F5197">
        <w:t>, which</w:t>
      </w:r>
      <w:r w:rsidR="00E70558">
        <w:t xml:space="preserve"> is akin to the Bulletin Board information standard in Part 18 of the NGR</w:t>
      </w:r>
      <w:r w:rsidR="008F5197">
        <w:t xml:space="preserve">, requires the use of: </w:t>
      </w:r>
    </w:p>
    <w:p w14:paraId="7E777410" w14:textId="77777777" w:rsidR="00E70558" w:rsidRDefault="008F5197" w:rsidP="008F5197">
      <w:pPr>
        <w:pStyle w:val="Quote"/>
      </w:pPr>
      <w:r>
        <w:t>“…the practices, methods and acts that would reasonably be expected from an experienced and competent person engaged in the ownership, operation or control of a transportation facility of the applicable type acting with all due diligence, prudence and foresight and in compliance with all applicable legislation (including these rules), authorisations and industry codes of practice.”</w:t>
      </w:r>
    </w:p>
    <w:p w14:paraId="47AC7C9A" w14:textId="77777777" w:rsidR="00E70558" w:rsidRPr="00E55DB7" w:rsidRDefault="00E70558" w:rsidP="00E70558">
      <w:pPr>
        <w:pStyle w:val="BodyText"/>
        <w:keepNext/>
        <w:rPr>
          <w:b/>
          <w:color w:val="0099CC"/>
        </w:rPr>
      </w:pPr>
      <w:r>
        <w:rPr>
          <w:b/>
          <w:color w:val="0099CC"/>
        </w:rPr>
        <w:t>Transitional provisions</w:t>
      </w:r>
    </w:p>
    <w:p w14:paraId="3F350446" w14:textId="77777777" w:rsidR="00994675" w:rsidRDefault="00994675" w:rsidP="00994675">
      <w:pPr>
        <w:pStyle w:val="BodyText"/>
      </w:pPr>
      <w:r>
        <w:t>To deal with some of the transitional issues associated with the measures</w:t>
      </w:r>
      <w:r w:rsidR="008F5197">
        <w:t xml:space="preserve"> outlined above</w:t>
      </w:r>
      <w:r>
        <w:t xml:space="preserve">, a number of transitional rules </w:t>
      </w:r>
      <w:r w:rsidR="008F5197">
        <w:t>have been</w:t>
      </w:r>
      <w:r>
        <w:t xml:space="preserve"> included in Schedule 5</w:t>
      </w:r>
      <w:r w:rsidR="008F5197">
        <w:t xml:space="preserve"> of the NGR</w:t>
      </w:r>
      <w:r>
        <w:t xml:space="preserve">. These transitional rules: </w:t>
      </w:r>
    </w:p>
    <w:p w14:paraId="6FF1D395" w14:textId="77777777" w:rsidR="00994675" w:rsidRDefault="008F5197" w:rsidP="0035077C">
      <w:pPr>
        <w:pStyle w:val="ListBullet"/>
        <w:numPr>
          <w:ilvl w:val="0"/>
          <w:numId w:val="22"/>
        </w:numPr>
        <w:rPr>
          <w:lang w:eastAsia="fr-CA"/>
        </w:rPr>
      </w:pPr>
      <w:r>
        <w:rPr>
          <w:lang w:eastAsia="fr-CA"/>
        </w:rPr>
        <w:t>P</w:t>
      </w:r>
      <w:r w:rsidR="00994675">
        <w:rPr>
          <w:lang w:eastAsia="fr-CA"/>
        </w:rPr>
        <w:t>revent any amendments to the Code taking effect within 12 months of the amendments to the NGR commencing unless the AER considers that the amendment to the Code</w:t>
      </w:r>
      <w:r>
        <w:rPr>
          <w:lang w:eastAsia="fr-CA"/>
        </w:rPr>
        <w:t xml:space="preserve"> is</w:t>
      </w:r>
      <w:r w:rsidR="00994675">
        <w:rPr>
          <w:lang w:eastAsia="fr-CA"/>
        </w:rPr>
        <w:t>:</w:t>
      </w:r>
      <w:r w:rsidR="00710055" w:rsidRPr="00710055">
        <w:rPr>
          <w:rStyle w:val="FootnoteReference"/>
          <w:lang w:eastAsia="fr-CA"/>
        </w:rPr>
        <w:t xml:space="preserve"> </w:t>
      </w:r>
      <w:r w:rsidR="00710055">
        <w:rPr>
          <w:rStyle w:val="FootnoteReference"/>
          <w:lang w:eastAsia="fr-CA"/>
        </w:rPr>
        <w:footnoteReference w:id="196"/>
      </w:r>
    </w:p>
    <w:p w14:paraId="2B4EF962" w14:textId="77777777" w:rsidR="008F5197" w:rsidRDefault="00994675" w:rsidP="00994675">
      <w:pPr>
        <w:pStyle w:val="ListBullet2"/>
        <w:ind w:left="714" w:hanging="357"/>
        <w:rPr>
          <w:lang w:eastAsia="fr-CA"/>
        </w:rPr>
      </w:pPr>
      <w:r>
        <w:rPr>
          <w:lang w:eastAsia="fr-CA"/>
        </w:rPr>
        <w:t>urgently necessary to ensure</w:t>
      </w:r>
      <w:r w:rsidR="008F5197">
        <w:rPr>
          <w:lang w:eastAsia="fr-CA"/>
        </w:rPr>
        <w:t>:</w:t>
      </w:r>
      <w:r>
        <w:rPr>
          <w:lang w:eastAsia="fr-CA"/>
        </w:rPr>
        <w:t xml:space="preserve"> </w:t>
      </w:r>
    </w:p>
    <w:p w14:paraId="0FC200FE" w14:textId="77777777" w:rsidR="008F5197" w:rsidRDefault="00994675" w:rsidP="00EA491F">
      <w:pPr>
        <w:pStyle w:val="ListBullet2"/>
        <w:numPr>
          <w:ilvl w:val="0"/>
          <w:numId w:val="47"/>
        </w:numPr>
        <w:rPr>
          <w:lang w:eastAsia="fr-CA"/>
        </w:rPr>
      </w:pPr>
      <w:r>
        <w:rPr>
          <w:lang w:eastAsia="fr-CA"/>
        </w:rPr>
        <w:t xml:space="preserve">the proper operation of the </w:t>
      </w:r>
      <w:r w:rsidR="008F5197">
        <w:rPr>
          <w:lang w:eastAsia="fr-CA"/>
        </w:rPr>
        <w:t xml:space="preserve">capacity trading platform or day-ahead </w:t>
      </w:r>
      <w:r>
        <w:rPr>
          <w:lang w:eastAsia="fr-CA"/>
        </w:rPr>
        <w:t>auction</w:t>
      </w:r>
      <w:r w:rsidR="008F5197">
        <w:rPr>
          <w:lang w:eastAsia="fr-CA"/>
        </w:rPr>
        <w:t>;</w:t>
      </w:r>
      <w:r>
        <w:rPr>
          <w:lang w:eastAsia="fr-CA"/>
        </w:rPr>
        <w:t xml:space="preserve"> or </w:t>
      </w:r>
    </w:p>
    <w:p w14:paraId="20ACC254" w14:textId="77777777" w:rsidR="00994675" w:rsidRDefault="00994675" w:rsidP="00EA491F">
      <w:pPr>
        <w:pStyle w:val="ListBullet2"/>
        <w:numPr>
          <w:ilvl w:val="0"/>
          <w:numId w:val="47"/>
        </w:numPr>
        <w:rPr>
          <w:lang w:eastAsia="fr-CA"/>
        </w:rPr>
      </w:pPr>
      <w:r>
        <w:rPr>
          <w:lang w:eastAsia="fr-CA"/>
        </w:rPr>
        <w:t>the safe and reliable operation of one or more transportation facilities; or</w:t>
      </w:r>
    </w:p>
    <w:p w14:paraId="1EA7D0E2" w14:textId="77777777" w:rsidR="00994675" w:rsidRDefault="00994675" w:rsidP="00994675">
      <w:pPr>
        <w:pStyle w:val="ListBullet2"/>
        <w:ind w:left="714" w:hanging="357"/>
        <w:rPr>
          <w:lang w:eastAsia="fr-CA"/>
        </w:rPr>
      </w:pPr>
      <w:r>
        <w:rPr>
          <w:lang w:eastAsia="fr-CA"/>
        </w:rPr>
        <w:t>non-material (that is, the amendment corrects a minor error in the Code or is unlikely to have a significant financial or operational impact).</w:t>
      </w:r>
    </w:p>
    <w:p w14:paraId="270522B4" w14:textId="77777777" w:rsidR="001D439F" w:rsidRDefault="008F5197" w:rsidP="001D439F">
      <w:pPr>
        <w:pStyle w:val="ListBullet"/>
        <w:numPr>
          <w:ilvl w:val="0"/>
          <w:numId w:val="23"/>
        </w:numPr>
        <w:rPr>
          <w:lang w:eastAsia="fr-CA"/>
        </w:rPr>
      </w:pPr>
      <w:r>
        <w:lastRenderedPageBreak/>
        <w:t>R</w:t>
      </w:r>
      <w:r w:rsidR="00994675">
        <w:t xml:space="preserve">equire AEMO to maintain and publish </w:t>
      </w:r>
      <w:r w:rsidR="001D439F">
        <w:t xml:space="preserve">an initial transportation service point register </w:t>
      </w:r>
      <w:r w:rsidR="001D439F" w:rsidRPr="0016236E">
        <w:t xml:space="preserve">by </w:t>
      </w:r>
      <w:r w:rsidR="00994675" w:rsidRPr="0016236E">
        <w:t xml:space="preserve">1 December 2018 </w:t>
      </w:r>
      <w:r w:rsidR="00994675">
        <w:t>(</w:t>
      </w:r>
      <w:r w:rsidR="00994675" w:rsidRPr="0016236E">
        <w:t>or</w:t>
      </w:r>
      <w:r w:rsidR="00994675">
        <w:t>, if amendments to the NGL commence after that date, then 20 business days after the commencement date)</w:t>
      </w:r>
      <w:r>
        <w:t>.</w:t>
      </w:r>
      <w:r w:rsidR="001D439F">
        <w:rPr>
          <w:rStyle w:val="FootnoteReference"/>
        </w:rPr>
        <w:footnoteReference w:id="197"/>
      </w:r>
      <w:r w:rsidR="001D439F" w:rsidRPr="001D439F">
        <w:t xml:space="preserve"> </w:t>
      </w:r>
    </w:p>
    <w:p w14:paraId="0B111A80" w14:textId="77777777" w:rsidR="007C5D36" w:rsidRDefault="008F5197" w:rsidP="001D439F">
      <w:pPr>
        <w:pStyle w:val="ListBullet"/>
        <w:numPr>
          <w:ilvl w:val="0"/>
          <w:numId w:val="23"/>
        </w:numPr>
        <w:rPr>
          <w:lang w:eastAsia="fr-CA"/>
        </w:rPr>
      </w:pPr>
      <w:r>
        <w:t>P</w:t>
      </w:r>
      <w:r w:rsidR="001D439F">
        <w:t>rovide for the AER to review and report on compliance by</w:t>
      </w:r>
      <w:r>
        <w:t xml:space="preserve"> transportation</w:t>
      </w:r>
      <w:r w:rsidR="001D439F">
        <w:t xml:space="preserve"> service providers with their obligations (including the setting of </w:t>
      </w:r>
      <w:r w:rsidR="00710055">
        <w:t xml:space="preserve">standardisation </w:t>
      </w:r>
      <w:r w:rsidR="001D439F">
        <w:t>charges) in relation to standard OTSAs</w:t>
      </w:r>
      <w:r w:rsidR="00710055">
        <w:t xml:space="preserve"> within 12 months of the commencement of the day-ahead auction</w:t>
      </w:r>
      <w:r>
        <w:t>.</w:t>
      </w:r>
      <w:r w:rsidR="001D439F">
        <w:rPr>
          <w:rStyle w:val="FootnoteReference"/>
        </w:rPr>
        <w:footnoteReference w:id="198"/>
      </w:r>
      <w:r w:rsidR="001D439F">
        <w:t xml:space="preserve"> </w:t>
      </w:r>
    </w:p>
    <w:p w14:paraId="2A326270" w14:textId="77777777" w:rsidR="001D439F" w:rsidRDefault="008F5197" w:rsidP="001D439F">
      <w:pPr>
        <w:pStyle w:val="ListBullet"/>
        <w:numPr>
          <w:ilvl w:val="0"/>
          <w:numId w:val="23"/>
        </w:numPr>
        <w:rPr>
          <w:lang w:eastAsia="fr-CA"/>
        </w:rPr>
      </w:pPr>
      <w:r>
        <w:t xml:space="preserve">Make it clear </w:t>
      </w:r>
      <w:r w:rsidR="007C5D36">
        <w:t xml:space="preserve">that the obligation for facility operators to give effect to operational transfers </w:t>
      </w:r>
      <w:r>
        <w:t xml:space="preserve">arising from trades conducted </w:t>
      </w:r>
      <w:r w:rsidR="007C5D36">
        <w:t xml:space="preserve">through the </w:t>
      </w:r>
      <w:r w:rsidR="00710055">
        <w:t xml:space="preserve">capacity trading platform </w:t>
      </w:r>
      <w:r>
        <w:t xml:space="preserve">will not commence </w:t>
      </w:r>
      <w:r w:rsidR="007C5D36">
        <w:t xml:space="preserve">until the </w:t>
      </w:r>
      <w:r>
        <w:t xml:space="preserve">date the day-ahead </w:t>
      </w:r>
      <w:r w:rsidR="007C5D36">
        <w:t>auction commence</w:t>
      </w:r>
      <w:r>
        <w:t>s.</w:t>
      </w:r>
      <w:r w:rsidR="007C5D36">
        <w:rPr>
          <w:rStyle w:val="FootnoteReference"/>
        </w:rPr>
        <w:footnoteReference w:id="199"/>
      </w:r>
      <w:r w:rsidR="007C5D36">
        <w:t xml:space="preserve"> </w:t>
      </w:r>
    </w:p>
    <w:p w14:paraId="69F73688" w14:textId="77777777" w:rsidR="001D439F" w:rsidRDefault="0071681D" w:rsidP="001D439F">
      <w:pPr>
        <w:pStyle w:val="ListBullet"/>
        <w:numPr>
          <w:ilvl w:val="0"/>
          <w:numId w:val="23"/>
        </w:numPr>
        <w:rPr>
          <w:lang w:eastAsia="fr-CA"/>
        </w:rPr>
      </w:pPr>
      <w:r>
        <w:rPr>
          <w:lang w:eastAsia="fr-CA"/>
        </w:rPr>
        <w:t xml:space="preserve">Give </w:t>
      </w:r>
      <w:r w:rsidR="008F5197">
        <w:rPr>
          <w:lang w:eastAsia="fr-CA"/>
        </w:rPr>
        <w:t xml:space="preserve">transportation </w:t>
      </w:r>
      <w:r w:rsidR="001D439F">
        <w:rPr>
          <w:lang w:eastAsia="fr-CA"/>
        </w:rPr>
        <w:t xml:space="preserve">service providers </w:t>
      </w:r>
      <w:r w:rsidR="008F5197">
        <w:rPr>
          <w:lang w:eastAsia="fr-CA"/>
        </w:rPr>
        <w:t xml:space="preserve">of </w:t>
      </w:r>
      <w:r w:rsidR="007C5D36">
        <w:rPr>
          <w:lang w:eastAsia="fr-CA"/>
        </w:rPr>
        <w:t xml:space="preserve">Part 24 facilities or conditionally exempt facilities </w:t>
      </w:r>
      <w:r w:rsidR="001D439F">
        <w:rPr>
          <w:lang w:eastAsia="fr-CA"/>
        </w:rPr>
        <w:t>45 business days</w:t>
      </w:r>
      <w:r w:rsidR="008F5197">
        <w:rPr>
          <w:lang w:eastAsia="fr-CA"/>
        </w:rPr>
        <w:t>,</w:t>
      </w:r>
      <w:r w:rsidR="001D439F">
        <w:rPr>
          <w:lang w:eastAsia="fr-CA"/>
        </w:rPr>
        <w:t xml:space="preserve"> rather than 30 business days</w:t>
      </w:r>
      <w:r w:rsidR="008F5197">
        <w:rPr>
          <w:lang w:eastAsia="fr-CA"/>
        </w:rPr>
        <w:t xml:space="preserve">, </w:t>
      </w:r>
      <w:r w:rsidR="001D439F">
        <w:rPr>
          <w:lang w:eastAsia="fr-CA"/>
        </w:rPr>
        <w:t xml:space="preserve">to prepare an amending agreement for an existing facility agreement if they receive a request to do so before </w:t>
      </w:r>
      <w:r w:rsidR="00846AE4">
        <w:rPr>
          <w:lang w:eastAsia="fr-CA"/>
        </w:rPr>
        <w:t>the auction commences</w:t>
      </w:r>
      <w:r w:rsidR="001D439F">
        <w:rPr>
          <w:lang w:eastAsia="fr-CA"/>
        </w:rPr>
        <w:t>.</w:t>
      </w:r>
      <w:r w:rsidR="001D439F">
        <w:rPr>
          <w:rStyle w:val="FootnoteReference"/>
          <w:lang w:eastAsia="fr-CA"/>
        </w:rPr>
        <w:footnoteReference w:id="200"/>
      </w:r>
      <w:r w:rsidR="001D439F">
        <w:rPr>
          <w:lang w:eastAsia="fr-CA"/>
        </w:rPr>
        <w:t xml:space="preserve"> </w:t>
      </w:r>
    </w:p>
    <w:p w14:paraId="4BF3E30F" w14:textId="77777777" w:rsidR="007C237C" w:rsidRDefault="002104D9" w:rsidP="00864E08">
      <w:pPr>
        <w:pStyle w:val="Heading3"/>
      </w:pPr>
      <w:r>
        <w:t>C</w:t>
      </w:r>
      <w:r w:rsidR="007C237C">
        <w:t>hanges to the Regulations</w:t>
      </w:r>
    </w:p>
    <w:p w14:paraId="665AA69D" w14:textId="77777777" w:rsidR="00CB791A" w:rsidRDefault="00CB791A" w:rsidP="00CB791A">
      <w:pPr>
        <w:pStyle w:val="BodyText"/>
      </w:pPr>
      <w:r>
        <w:t xml:space="preserve">Schedules 3 and 4 of the Regulations have been amended to classify a number of the </w:t>
      </w:r>
      <w:r w:rsidR="0071681D">
        <w:t xml:space="preserve">provisions outlined in this Chapter </w:t>
      </w:r>
      <w:r>
        <w:t>as civil penalty and conduct provisions. A list of these provisions is set out in the table below.</w:t>
      </w:r>
    </w:p>
    <w:p w14:paraId="3EB6D204" w14:textId="59D42BF5" w:rsidR="006544E6" w:rsidRDefault="00CB791A" w:rsidP="00980E9F">
      <w:pPr>
        <w:pStyle w:val="Caption"/>
        <w:spacing w:after="0"/>
      </w:pPr>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5</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2</w:t>
      </w:r>
      <w:r w:rsidR="002B13EB">
        <w:rPr>
          <w:noProof/>
        </w:rPr>
        <w:fldChar w:fldCharType="end"/>
      </w:r>
      <w:r>
        <w:t xml:space="preserve">: Civil penalty and conduct provisions </w:t>
      </w:r>
    </w:p>
    <w:tbl>
      <w:tblPr>
        <w:tblStyle w:val="TableGrid"/>
        <w:tblW w:w="5076" w:type="pct"/>
        <w:tblLook w:val="04A0" w:firstRow="1" w:lastRow="0" w:firstColumn="1" w:lastColumn="0" w:noHBand="0" w:noVBand="1"/>
      </w:tblPr>
      <w:tblGrid>
        <w:gridCol w:w="1134"/>
        <w:gridCol w:w="5530"/>
        <w:gridCol w:w="2258"/>
      </w:tblGrid>
      <w:tr w:rsidR="007B0EEF" w14:paraId="75CC9512" w14:textId="77777777" w:rsidTr="00DE6158">
        <w:trPr>
          <w:cnfStyle w:val="100000000000" w:firstRow="1" w:lastRow="0" w:firstColumn="0" w:lastColumn="0" w:oddVBand="0" w:evenVBand="0" w:oddHBand="0" w:evenHBand="0" w:firstRowFirstColumn="0" w:firstRowLastColumn="0" w:lastRowFirstColumn="0" w:lastRowLastColumn="0"/>
          <w:cantSplit/>
          <w:tblHeader/>
        </w:trPr>
        <w:tc>
          <w:tcPr>
            <w:tcW w:w="6663" w:type="dxa"/>
            <w:gridSpan w:val="2"/>
            <w:tcBorders>
              <w:bottom w:val="single" w:sz="4" w:space="0" w:color="auto"/>
            </w:tcBorders>
            <w:shd w:val="clear" w:color="auto" w:fill="0099CC"/>
            <w:hideMark/>
          </w:tcPr>
          <w:p w14:paraId="06A3BC66" w14:textId="77777777" w:rsidR="007B0EEF" w:rsidRDefault="007B0EEF" w:rsidP="00980E9F">
            <w:pPr>
              <w:pStyle w:val="TableHeading"/>
              <w:spacing w:before="20" w:after="20"/>
            </w:pPr>
            <w:r>
              <w:t>Provision</w:t>
            </w:r>
          </w:p>
        </w:tc>
        <w:tc>
          <w:tcPr>
            <w:tcW w:w="2256" w:type="dxa"/>
            <w:tcBorders>
              <w:bottom w:val="single" w:sz="4" w:space="0" w:color="auto"/>
            </w:tcBorders>
            <w:shd w:val="clear" w:color="auto" w:fill="0099CC"/>
            <w:hideMark/>
          </w:tcPr>
          <w:p w14:paraId="527F3978" w14:textId="77777777" w:rsidR="007B0EEF" w:rsidRDefault="00CB791A" w:rsidP="00980E9F">
            <w:pPr>
              <w:pStyle w:val="TableHeading"/>
              <w:spacing w:before="20" w:after="20"/>
            </w:pPr>
            <w:r>
              <w:t>Type of penalty</w:t>
            </w:r>
          </w:p>
        </w:tc>
      </w:tr>
      <w:tr w:rsidR="007B0EEF" w:rsidRPr="00886B5E" w14:paraId="7480ED7F" w14:textId="77777777" w:rsidTr="00DE6158">
        <w:trPr>
          <w:cantSplit/>
        </w:trPr>
        <w:tc>
          <w:tcPr>
            <w:tcW w:w="8921" w:type="dxa"/>
            <w:gridSpan w:val="3"/>
            <w:shd w:val="clear" w:color="auto" w:fill="65697F" w:themeFill="background2" w:themeFillShade="80"/>
          </w:tcPr>
          <w:p w14:paraId="447FC3A2" w14:textId="77777777" w:rsidR="007B0EEF" w:rsidRPr="00886B5E" w:rsidRDefault="007B0EEF" w:rsidP="00980E9F">
            <w:pPr>
              <w:pStyle w:val="TableBodyText"/>
              <w:spacing w:before="20" w:after="20"/>
              <w:jc w:val="center"/>
              <w:rPr>
                <w:b/>
                <w:color w:val="FFFFFF" w:themeColor="background1"/>
              </w:rPr>
            </w:pPr>
            <w:r w:rsidRPr="00886B5E">
              <w:rPr>
                <w:b/>
                <w:color w:val="FFFFFF" w:themeColor="background1"/>
              </w:rPr>
              <w:t>NGL</w:t>
            </w:r>
          </w:p>
        </w:tc>
      </w:tr>
      <w:tr w:rsidR="00980E9F" w14:paraId="5F0126CC"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Pr>
          <w:p w14:paraId="11242490" w14:textId="77777777" w:rsidR="00980E9F" w:rsidRDefault="00EC31D2" w:rsidP="00980E9F">
            <w:pPr>
              <w:pStyle w:val="TableBodyText"/>
              <w:spacing w:before="20" w:after="20"/>
            </w:pPr>
            <w:r>
              <w:t xml:space="preserve">Section </w:t>
            </w:r>
            <w:r w:rsidR="00980E9F">
              <w:t>91BRQ(5)</w:t>
            </w:r>
          </w:p>
        </w:tc>
        <w:tc>
          <w:tcPr>
            <w:tcW w:w="5529" w:type="dxa"/>
          </w:tcPr>
          <w:p w14:paraId="329B72DE" w14:textId="77777777" w:rsidR="00980E9F" w:rsidRDefault="004E0D92" w:rsidP="00980E9F">
            <w:pPr>
              <w:pStyle w:val="TableBodyText"/>
              <w:spacing w:before="20" w:after="20"/>
            </w:pPr>
            <w:r>
              <w:t>T</w:t>
            </w:r>
            <w:r w:rsidR="003C3093">
              <w:t xml:space="preserve">ransportation </w:t>
            </w:r>
            <w:r w:rsidR="00980E9F" w:rsidRPr="008B11C9">
              <w:t>service provider</w:t>
            </w:r>
            <w:r>
              <w:t>s</w:t>
            </w:r>
            <w:r w:rsidR="00980E9F" w:rsidRPr="008B11C9">
              <w:t xml:space="preserve"> must comply with AEMO’s direction to rectify or take specified measures concerning suspected breach of </w:t>
            </w:r>
            <w:r w:rsidR="003C3093">
              <w:t xml:space="preserve">the CT&amp;A </w:t>
            </w:r>
            <w:r w:rsidR="00980E9F" w:rsidRPr="008B11C9">
              <w:t>Procedures</w:t>
            </w:r>
          </w:p>
        </w:tc>
        <w:tc>
          <w:tcPr>
            <w:tcW w:w="2256" w:type="dxa"/>
          </w:tcPr>
          <w:p w14:paraId="10927E3A" w14:textId="77777777" w:rsidR="00980E9F" w:rsidRDefault="00980E9F" w:rsidP="00980E9F">
            <w:pPr>
              <w:pStyle w:val="TableBodyText"/>
              <w:spacing w:before="20" w:after="20"/>
            </w:pPr>
            <w:r>
              <w:t>Civil penalty</w:t>
            </w:r>
          </w:p>
        </w:tc>
      </w:tr>
      <w:tr w:rsidR="00980E9F" w14:paraId="147C4E8C" w14:textId="77777777" w:rsidTr="00DE6158">
        <w:trPr>
          <w:cantSplit/>
        </w:trPr>
        <w:tc>
          <w:tcPr>
            <w:tcW w:w="1134" w:type="dxa"/>
            <w:tcBorders>
              <w:bottom w:val="single" w:sz="4" w:space="0" w:color="auto"/>
            </w:tcBorders>
            <w:shd w:val="clear" w:color="auto" w:fill="FFFFFF" w:themeFill="background1"/>
          </w:tcPr>
          <w:p w14:paraId="4A3A54FF" w14:textId="77777777" w:rsidR="00980E9F" w:rsidRDefault="00EC31D2" w:rsidP="00980E9F">
            <w:pPr>
              <w:pStyle w:val="TableBodyText"/>
              <w:spacing w:before="20" w:after="20"/>
            </w:pPr>
            <w:r>
              <w:t>Section</w:t>
            </w:r>
            <w:r w:rsidDel="00EC31D2">
              <w:t xml:space="preserve"> </w:t>
            </w:r>
            <w:r w:rsidR="00980E9F" w:rsidRPr="00086528">
              <w:t>228B</w:t>
            </w:r>
          </w:p>
        </w:tc>
        <w:tc>
          <w:tcPr>
            <w:tcW w:w="5529" w:type="dxa"/>
            <w:tcBorders>
              <w:bottom w:val="single" w:sz="4" w:space="0" w:color="auto"/>
            </w:tcBorders>
            <w:shd w:val="clear" w:color="auto" w:fill="FFFFFF" w:themeFill="background1"/>
          </w:tcPr>
          <w:p w14:paraId="3ADBA243" w14:textId="77777777" w:rsidR="00980E9F" w:rsidRDefault="004E0D92" w:rsidP="00980E9F">
            <w:pPr>
              <w:pStyle w:val="TableBodyText"/>
              <w:spacing w:before="20" w:after="20"/>
            </w:pPr>
            <w:r>
              <w:t xml:space="preserve">Transportation </w:t>
            </w:r>
            <w:r w:rsidRPr="008B11C9">
              <w:t>service provider</w:t>
            </w:r>
            <w:r>
              <w:t>s</w:t>
            </w:r>
            <w:r w:rsidRPr="00086528">
              <w:t xml:space="preserve"> </w:t>
            </w:r>
            <w:r w:rsidR="00980E9F" w:rsidRPr="00086528">
              <w:t xml:space="preserve">for </w:t>
            </w:r>
            <w:r w:rsidR="003C3093">
              <w:t xml:space="preserve">Part 24 </w:t>
            </w:r>
            <w:r w:rsidR="00980E9F" w:rsidRPr="00086528">
              <w:t>facilit</w:t>
            </w:r>
            <w:r>
              <w:t>ies</w:t>
            </w:r>
            <w:r w:rsidR="00980E9F" w:rsidRPr="00086528">
              <w:t xml:space="preserve"> must </w:t>
            </w:r>
            <w:r w:rsidR="00980E9F">
              <w:t xml:space="preserve">prepare and </w:t>
            </w:r>
            <w:r w:rsidR="00980E9F" w:rsidRPr="00086528">
              <w:t xml:space="preserve">publish </w:t>
            </w:r>
            <w:r w:rsidR="00980E9F">
              <w:t>a standard OTSA</w:t>
            </w:r>
            <w:r w:rsidR="00980E9F" w:rsidRPr="00086528">
              <w:t xml:space="preserve"> on its website</w:t>
            </w:r>
            <w:r w:rsidR="00980E9F">
              <w:t xml:space="preserve"> that complies with the NGR and Code</w:t>
            </w:r>
          </w:p>
        </w:tc>
        <w:tc>
          <w:tcPr>
            <w:tcW w:w="2256" w:type="dxa"/>
            <w:tcBorders>
              <w:bottom w:val="single" w:sz="4" w:space="0" w:color="auto"/>
            </w:tcBorders>
            <w:shd w:val="clear" w:color="auto" w:fill="FFFFFF" w:themeFill="background1"/>
          </w:tcPr>
          <w:p w14:paraId="16ECC633" w14:textId="77777777" w:rsidR="00980E9F" w:rsidRDefault="00980E9F" w:rsidP="00980E9F">
            <w:pPr>
              <w:pStyle w:val="TableBodyText"/>
              <w:spacing w:before="20" w:after="20"/>
            </w:pPr>
            <w:r w:rsidRPr="00086528">
              <w:t>Civil penalty</w:t>
            </w:r>
          </w:p>
        </w:tc>
      </w:tr>
      <w:tr w:rsidR="00980E9F" w14:paraId="2636A474"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Borders>
              <w:bottom w:val="single" w:sz="4" w:space="0" w:color="auto"/>
              <w:right w:val="single" w:sz="4" w:space="0" w:color="auto"/>
            </w:tcBorders>
          </w:tcPr>
          <w:p w14:paraId="7FDE174A" w14:textId="77777777" w:rsidR="00980E9F" w:rsidRDefault="00EC31D2" w:rsidP="00980E9F">
            <w:pPr>
              <w:pStyle w:val="TableBodyText"/>
              <w:spacing w:before="20" w:after="20"/>
            </w:pPr>
            <w:r>
              <w:t>Section</w:t>
            </w:r>
            <w:r w:rsidDel="00EC31D2">
              <w:t xml:space="preserve"> </w:t>
            </w:r>
            <w:r w:rsidR="00980E9F" w:rsidRPr="00086528">
              <w:t>228C</w:t>
            </w:r>
          </w:p>
        </w:tc>
        <w:tc>
          <w:tcPr>
            <w:tcW w:w="5529" w:type="dxa"/>
            <w:tcBorders>
              <w:bottom w:val="single" w:sz="4" w:space="0" w:color="auto"/>
              <w:right w:val="single" w:sz="4" w:space="0" w:color="auto"/>
            </w:tcBorders>
          </w:tcPr>
          <w:p w14:paraId="06306833" w14:textId="77777777" w:rsidR="00980E9F" w:rsidRDefault="004E0D92" w:rsidP="00980E9F">
            <w:pPr>
              <w:pStyle w:val="TableBodyText"/>
              <w:spacing w:before="20" w:after="20"/>
            </w:pPr>
            <w:r>
              <w:t xml:space="preserve">Transportation </w:t>
            </w:r>
            <w:r w:rsidRPr="008B11C9">
              <w:t>service provider</w:t>
            </w:r>
            <w:r>
              <w:t>s</w:t>
            </w:r>
            <w:r w:rsidRPr="00086528">
              <w:t xml:space="preserve"> </w:t>
            </w:r>
            <w:r w:rsidR="00980E9F" w:rsidRPr="00086528">
              <w:t>must</w:t>
            </w:r>
            <w:r w:rsidR="00980E9F">
              <w:t>,</w:t>
            </w:r>
            <w:r w:rsidR="00980E9F" w:rsidRPr="00086528">
              <w:t xml:space="preserve"> on request</w:t>
            </w:r>
            <w:r>
              <w:t xml:space="preserve"> from a shipper</w:t>
            </w:r>
            <w:r w:rsidR="00980E9F">
              <w:t>,</w:t>
            </w:r>
            <w:r w:rsidR="00980E9F" w:rsidRPr="00086528">
              <w:t xml:space="preserve"> offer to enter into </w:t>
            </w:r>
            <w:r w:rsidR="00980E9F">
              <w:t>a standard OTSA and, if the offer is accepted, enter into the agreement</w:t>
            </w:r>
          </w:p>
        </w:tc>
        <w:tc>
          <w:tcPr>
            <w:tcW w:w="2256" w:type="dxa"/>
            <w:tcBorders>
              <w:left w:val="single" w:sz="4" w:space="0" w:color="auto"/>
              <w:bottom w:val="single" w:sz="4" w:space="0" w:color="auto"/>
            </w:tcBorders>
          </w:tcPr>
          <w:p w14:paraId="0A1A18D0" w14:textId="77777777" w:rsidR="00980E9F" w:rsidRDefault="00980E9F" w:rsidP="00980E9F">
            <w:pPr>
              <w:pStyle w:val="TableBodyText"/>
              <w:spacing w:before="20" w:after="20"/>
            </w:pPr>
            <w:r w:rsidRPr="00086528">
              <w:t>Civil penalty and conduct provision</w:t>
            </w:r>
          </w:p>
        </w:tc>
      </w:tr>
      <w:tr w:rsidR="00980E9F" w14:paraId="42613AEA" w14:textId="77777777" w:rsidTr="00DE6158">
        <w:trPr>
          <w:cantSplit/>
        </w:trPr>
        <w:tc>
          <w:tcPr>
            <w:tcW w:w="1134" w:type="dxa"/>
            <w:tcBorders>
              <w:bottom w:val="single" w:sz="4" w:space="0" w:color="auto"/>
            </w:tcBorders>
            <w:shd w:val="clear" w:color="auto" w:fill="FFFFFF" w:themeFill="background1"/>
          </w:tcPr>
          <w:p w14:paraId="194FB528" w14:textId="77777777" w:rsidR="00980E9F" w:rsidRDefault="00EC31D2" w:rsidP="00980E9F">
            <w:pPr>
              <w:pStyle w:val="TableBodyText"/>
              <w:spacing w:before="20" w:after="20"/>
            </w:pPr>
            <w:r>
              <w:t>Section</w:t>
            </w:r>
            <w:r w:rsidDel="00EC31D2">
              <w:t xml:space="preserve"> </w:t>
            </w:r>
            <w:r w:rsidR="00980E9F" w:rsidRPr="00086528">
              <w:t>228</w:t>
            </w:r>
            <w:r w:rsidR="00980E9F">
              <w:t>J</w:t>
            </w:r>
            <w:r w:rsidR="00980E9F" w:rsidRPr="00086528">
              <w:t xml:space="preserve"> </w:t>
            </w:r>
          </w:p>
        </w:tc>
        <w:tc>
          <w:tcPr>
            <w:tcW w:w="5529" w:type="dxa"/>
            <w:tcBorders>
              <w:bottom w:val="single" w:sz="4" w:space="0" w:color="auto"/>
            </w:tcBorders>
            <w:shd w:val="clear" w:color="auto" w:fill="FFFFFF" w:themeFill="background1"/>
          </w:tcPr>
          <w:p w14:paraId="21E59028" w14:textId="77777777" w:rsidR="00980E9F" w:rsidRDefault="004E0D92" w:rsidP="00980E9F">
            <w:pPr>
              <w:pStyle w:val="TableBodyText"/>
              <w:spacing w:before="20" w:after="20"/>
            </w:pPr>
            <w:r>
              <w:t xml:space="preserve">Sellers in bilateral trades </w:t>
            </w:r>
            <w:r w:rsidR="00980E9F" w:rsidRPr="00086528">
              <w:t>must, when requested</w:t>
            </w:r>
            <w:r>
              <w:t xml:space="preserve"> by the buyer in the trade</w:t>
            </w:r>
            <w:r w:rsidR="00980E9F" w:rsidRPr="00086528">
              <w:t xml:space="preserve">, state the terms under which it will transfer operational transportation capacity under an </w:t>
            </w:r>
            <w:r w:rsidR="00980E9F">
              <w:t>OTSA</w:t>
            </w:r>
          </w:p>
        </w:tc>
        <w:tc>
          <w:tcPr>
            <w:tcW w:w="2256" w:type="dxa"/>
            <w:tcBorders>
              <w:bottom w:val="single" w:sz="4" w:space="0" w:color="auto"/>
            </w:tcBorders>
            <w:shd w:val="clear" w:color="auto" w:fill="FFFFFF" w:themeFill="background1"/>
          </w:tcPr>
          <w:p w14:paraId="7ED81316" w14:textId="77777777" w:rsidR="00980E9F" w:rsidRDefault="00980E9F" w:rsidP="00980E9F">
            <w:pPr>
              <w:pStyle w:val="TableBodyText"/>
              <w:spacing w:before="20" w:after="20"/>
            </w:pPr>
            <w:r w:rsidRPr="00086528">
              <w:t>Conduct provision</w:t>
            </w:r>
          </w:p>
        </w:tc>
      </w:tr>
      <w:tr w:rsidR="00980E9F" w:rsidRPr="00086528" w14:paraId="4DD77FEE"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Pr>
          <w:p w14:paraId="271DE9AB" w14:textId="77777777" w:rsidR="00980E9F" w:rsidRDefault="00EC31D2" w:rsidP="00980E9F">
            <w:pPr>
              <w:pStyle w:val="TableBodyText"/>
              <w:spacing w:before="20" w:after="20"/>
            </w:pPr>
            <w:r>
              <w:t>Section</w:t>
            </w:r>
            <w:r w:rsidDel="00EC31D2">
              <w:t xml:space="preserve"> </w:t>
            </w:r>
            <w:r w:rsidR="00980E9F">
              <w:t>228K</w:t>
            </w:r>
          </w:p>
        </w:tc>
        <w:tc>
          <w:tcPr>
            <w:tcW w:w="5529" w:type="dxa"/>
          </w:tcPr>
          <w:p w14:paraId="419A039D" w14:textId="77777777" w:rsidR="00980E9F" w:rsidRDefault="004E0D92" w:rsidP="00980E9F">
            <w:pPr>
              <w:pStyle w:val="TableBodyText"/>
              <w:spacing w:before="20" w:after="20"/>
            </w:pPr>
            <w:r>
              <w:t>T</w:t>
            </w:r>
            <w:r w:rsidR="003C3093">
              <w:t xml:space="preserve">ransportation </w:t>
            </w:r>
            <w:r w:rsidR="00980E9F">
              <w:t>service provider</w:t>
            </w:r>
            <w:r>
              <w:t>s</w:t>
            </w:r>
            <w:r w:rsidR="00980E9F">
              <w:t xml:space="preserve"> (or associate</w:t>
            </w:r>
            <w:r>
              <w:t>s</w:t>
            </w:r>
            <w:r w:rsidR="00980E9F">
              <w:t>) and transportation facility user</w:t>
            </w:r>
            <w:r>
              <w:t>s</w:t>
            </w:r>
            <w:r w:rsidR="00980E9F">
              <w:t xml:space="preserve"> (or associate</w:t>
            </w:r>
            <w:r>
              <w:t>s</w:t>
            </w:r>
            <w:r w:rsidR="00980E9F">
              <w:t>) must not engage in conduct for the purpose of preventing or hindering the access of another person to an operational service</w:t>
            </w:r>
          </w:p>
        </w:tc>
        <w:tc>
          <w:tcPr>
            <w:tcW w:w="2256" w:type="dxa"/>
          </w:tcPr>
          <w:p w14:paraId="4C89643E" w14:textId="77777777" w:rsidR="00980E9F" w:rsidRPr="00086528" w:rsidRDefault="00980E9F" w:rsidP="00980E9F">
            <w:pPr>
              <w:pStyle w:val="TableBodyText"/>
              <w:spacing w:before="20" w:after="20"/>
            </w:pPr>
            <w:r w:rsidRPr="00086528">
              <w:t>Civil penalty and conduct provision</w:t>
            </w:r>
          </w:p>
        </w:tc>
      </w:tr>
      <w:tr w:rsidR="00980E9F" w14:paraId="6E3FF5E4" w14:textId="77777777" w:rsidTr="00DE6158">
        <w:trPr>
          <w:cantSplit/>
        </w:trPr>
        <w:tc>
          <w:tcPr>
            <w:tcW w:w="1134" w:type="dxa"/>
          </w:tcPr>
          <w:p w14:paraId="5F53AC65" w14:textId="77777777" w:rsidR="00980E9F" w:rsidRDefault="00EC31D2" w:rsidP="00980E9F">
            <w:pPr>
              <w:pStyle w:val="TableBodyText"/>
              <w:spacing w:before="20" w:after="20"/>
            </w:pPr>
            <w:r>
              <w:t>Section</w:t>
            </w:r>
            <w:r w:rsidDel="00EC31D2">
              <w:t xml:space="preserve"> </w:t>
            </w:r>
            <w:r w:rsidR="00980E9F" w:rsidRPr="00086528">
              <w:t>228</w:t>
            </w:r>
            <w:r w:rsidR="00980E9F">
              <w:t>L</w:t>
            </w:r>
          </w:p>
        </w:tc>
        <w:tc>
          <w:tcPr>
            <w:tcW w:w="5529" w:type="dxa"/>
          </w:tcPr>
          <w:p w14:paraId="28097DDA" w14:textId="77777777" w:rsidR="00980E9F" w:rsidRDefault="004E0D92" w:rsidP="00980E9F">
            <w:pPr>
              <w:pStyle w:val="TableBodyText"/>
              <w:spacing w:before="20" w:after="20"/>
            </w:pPr>
            <w:r>
              <w:t xml:space="preserve">Transportation </w:t>
            </w:r>
            <w:r w:rsidRPr="008B11C9">
              <w:t>service provider</w:t>
            </w:r>
            <w:r>
              <w:t>s</w:t>
            </w:r>
            <w:r w:rsidRPr="00086528">
              <w:t xml:space="preserve"> </w:t>
            </w:r>
            <w:r w:rsidR="00980E9F" w:rsidRPr="00086528">
              <w:t>must not engage in inefficient price discrimination when providing operational transportation services</w:t>
            </w:r>
          </w:p>
        </w:tc>
        <w:tc>
          <w:tcPr>
            <w:tcW w:w="2256" w:type="dxa"/>
          </w:tcPr>
          <w:p w14:paraId="0F2DE1E6" w14:textId="77777777" w:rsidR="00980E9F" w:rsidRDefault="00980E9F" w:rsidP="00980E9F">
            <w:pPr>
              <w:pStyle w:val="TableBodyText"/>
              <w:spacing w:before="20" w:after="20"/>
            </w:pPr>
            <w:r w:rsidRPr="00086528">
              <w:t>Civil penalty and conduct provision</w:t>
            </w:r>
          </w:p>
        </w:tc>
      </w:tr>
      <w:tr w:rsidR="007B0EEF" w:rsidRPr="00886B5E" w14:paraId="0B2A2902"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8921" w:type="dxa"/>
            <w:gridSpan w:val="3"/>
            <w:shd w:val="clear" w:color="auto" w:fill="65697F" w:themeFill="background2" w:themeFillShade="80"/>
            <w:hideMark/>
          </w:tcPr>
          <w:p w14:paraId="26C914A8" w14:textId="77777777" w:rsidR="007B0EEF" w:rsidRPr="00886B5E" w:rsidRDefault="007B0EEF" w:rsidP="00980E9F">
            <w:pPr>
              <w:pStyle w:val="TableBodyText"/>
              <w:keepNext/>
              <w:spacing w:before="20" w:after="20"/>
              <w:jc w:val="center"/>
              <w:rPr>
                <w:b/>
                <w:color w:val="FFFFFF" w:themeColor="background1"/>
              </w:rPr>
            </w:pPr>
            <w:r w:rsidRPr="00886B5E">
              <w:rPr>
                <w:b/>
                <w:color w:val="FFFFFF" w:themeColor="background1"/>
              </w:rPr>
              <w:lastRenderedPageBreak/>
              <w:t>Part 24 of the NGR</w:t>
            </w:r>
          </w:p>
        </w:tc>
      </w:tr>
      <w:tr w:rsidR="00980E9F" w14:paraId="4161C4D7" w14:textId="77777777" w:rsidTr="00DE6158">
        <w:trPr>
          <w:cantSplit/>
        </w:trPr>
        <w:tc>
          <w:tcPr>
            <w:tcW w:w="1134" w:type="dxa"/>
          </w:tcPr>
          <w:p w14:paraId="6B73D923" w14:textId="77777777" w:rsidR="00980E9F" w:rsidRPr="004F2763" w:rsidRDefault="00980E9F" w:rsidP="00980E9F">
            <w:pPr>
              <w:pStyle w:val="TableBodyText"/>
              <w:spacing w:before="20" w:after="20"/>
            </w:pPr>
            <w:r>
              <w:t xml:space="preserve">Rule 593(4) </w:t>
            </w:r>
          </w:p>
        </w:tc>
        <w:tc>
          <w:tcPr>
            <w:tcW w:w="5529" w:type="dxa"/>
          </w:tcPr>
          <w:p w14:paraId="565E0262" w14:textId="77777777" w:rsidR="00980E9F" w:rsidRPr="004F2763" w:rsidRDefault="004E0D92" w:rsidP="00980E9F">
            <w:pPr>
              <w:pStyle w:val="TableBodyText"/>
              <w:spacing w:before="20" w:after="20"/>
            </w:pPr>
            <w:r>
              <w:t xml:space="preserve">Transportation </w:t>
            </w:r>
            <w:r w:rsidRPr="008B11C9">
              <w:t>service provider</w:t>
            </w:r>
            <w:r>
              <w:t xml:space="preserve">s </w:t>
            </w:r>
            <w:r w:rsidR="00980E9F">
              <w:t>or transportation facility user</w:t>
            </w:r>
            <w:r>
              <w:t>s</w:t>
            </w:r>
            <w:r w:rsidR="00980E9F">
              <w:t xml:space="preserve"> required by </w:t>
            </w:r>
            <w:r w:rsidR="00980E9F" w:rsidRPr="004867E6">
              <w:t xml:space="preserve">Part </w:t>
            </w:r>
            <w:r w:rsidR="00980E9F">
              <w:t xml:space="preserve">24 </w:t>
            </w:r>
            <w:r w:rsidR="00980E9F" w:rsidRPr="004867E6">
              <w:t xml:space="preserve">to </w:t>
            </w:r>
            <w:r w:rsidR="00980E9F">
              <w:t xml:space="preserve">make a record or </w:t>
            </w:r>
            <w:r w:rsidR="00980E9F" w:rsidRPr="004867E6">
              <w:t>give information or data to AEMO</w:t>
            </w:r>
            <w:r w:rsidR="00980E9F">
              <w:t>,</w:t>
            </w:r>
            <w:r w:rsidR="00980E9F" w:rsidRPr="004867E6">
              <w:t xml:space="preserve"> the AER</w:t>
            </w:r>
            <w:r w:rsidR="00980E9F">
              <w:t xml:space="preserve"> or a transportation facility user</w:t>
            </w:r>
            <w:r w:rsidR="00980E9F" w:rsidRPr="004867E6">
              <w:t>,</w:t>
            </w:r>
            <w:r w:rsidR="00980E9F">
              <w:t xml:space="preserve"> including resulting from calculations, must prepare and submit that information or data and perform those calculations in accordance with the Part 24 information standard</w:t>
            </w:r>
          </w:p>
        </w:tc>
        <w:tc>
          <w:tcPr>
            <w:tcW w:w="2256" w:type="dxa"/>
          </w:tcPr>
          <w:p w14:paraId="6F8E4E61" w14:textId="77777777" w:rsidR="00980E9F" w:rsidRDefault="00980E9F" w:rsidP="00980E9F">
            <w:pPr>
              <w:pStyle w:val="TableBodyText"/>
              <w:spacing w:before="20" w:after="20"/>
            </w:pPr>
            <w:r>
              <w:t>Civil penalty and conduct provision</w:t>
            </w:r>
          </w:p>
        </w:tc>
      </w:tr>
      <w:tr w:rsidR="00980E9F" w14:paraId="6FB78908"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Pr>
          <w:p w14:paraId="5EC951A2" w14:textId="77777777" w:rsidR="00980E9F" w:rsidRPr="004F2763" w:rsidRDefault="00980E9F" w:rsidP="00980E9F">
            <w:pPr>
              <w:pStyle w:val="TableBodyText"/>
              <w:spacing w:before="20" w:after="20"/>
            </w:pPr>
            <w:r w:rsidRPr="004F2763">
              <w:t>Rule 63</w:t>
            </w:r>
            <w:r>
              <w:t xml:space="preserve">4(3) </w:t>
            </w:r>
          </w:p>
        </w:tc>
        <w:tc>
          <w:tcPr>
            <w:tcW w:w="5529" w:type="dxa"/>
          </w:tcPr>
          <w:p w14:paraId="6C4D9269" w14:textId="77777777" w:rsidR="00980E9F" w:rsidRPr="004F2763" w:rsidRDefault="004E0D92" w:rsidP="00980E9F">
            <w:pPr>
              <w:pStyle w:val="TableBodyText"/>
              <w:spacing w:before="20" w:after="20"/>
            </w:pPr>
            <w:r>
              <w:t xml:space="preserve">Transportation </w:t>
            </w:r>
            <w:r w:rsidRPr="008B11C9">
              <w:t>service provider</w:t>
            </w:r>
            <w:r>
              <w:t>s</w:t>
            </w:r>
            <w:r w:rsidR="00980E9F">
              <w:t xml:space="preserve"> must not recover standardisation costs more than once, must treat auction proceeds as a contribution to cost recovery and must comply with other requirements in relation to cost recovery</w:t>
            </w:r>
          </w:p>
        </w:tc>
        <w:tc>
          <w:tcPr>
            <w:tcW w:w="2256" w:type="dxa"/>
          </w:tcPr>
          <w:p w14:paraId="76F6A8D2" w14:textId="77777777" w:rsidR="00980E9F" w:rsidRDefault="00980E9F" w:rsidP="00980E9F">
            <w:pPr>
              <w:pStyle w:val="TableBodyText"/>
              <w:spacing w:before="20" w:after="20"/>
            </w:pPr>
            <w:r>
              <w:t>Civil penalty and conduct provision</w:t>
            </w:r>
          </w:p>
        </w:tc>
      </w:tr>
      <w:tr w:rsidR="00980E9F" w14:paraId="2DCC69AC" w14:textId="77777777" w:rsidTr="00DE6158">
        <w:trPr>
          <w:cantSplit/>
        </w:trPr>
        <w:tc>
          <w:tcPr>
            <w:tcW w:w="1134" w:type="dxa"/>
          </w:tcPr>
          <w:p w14:paraId="6F10E4C6" w14:textId="77777777" w:rsidR="00980E9F" w:rsidRPr="004F2763" w:rsidRDefault="00980E9F" w:rsidP="00980E9F">
            <w:pPr>
              <w:pStyle w:val="TableBodyText"/>
              <w:spacing w:before="20" w:after="20"/>
            </w:pPr>
            <w:r>
              <w:t>Rule 634(4)</w:t>
            </w:r>
          </w:p>
        </w:tc>
        <w:tc>
          <w:tcPr>
            <w:tcW w:w="5529" w:type="dxa"/>
          </w:tcPr>
          <w:p w14:paraId="76257D48" w14:textId="77777777" w:rsidR="00980E9F" w:rsidRPr="004F2763" w:rsidRDefault="004E0D92" w:rsidP="00980E9F">
            <w:pPr>
              <w:pStyle w:val="TableBodyText"/>
              <w:spacing w:before="20" w:after="20"/>
            </w:pPr>
            <w:r>
              <w:t xml:space="preserve">Transportation </w:t>
            </w:r>
            <w:r w:rsidRPr="008B11C9">
              <w:t>service provider</w:t>
            </w:r>
            <w:r>
              <w:t>s</w:t>
            </w:r>
            <w:r w:rsidR="00980E9F">
              <w:t xml:space="preserve"> required to publish an OTSA must also publish a schedule of charges</w:t>
            </w:r>
          </w:p>
        </w:tc>
        <w:tc>
          <w:tcPr>
            <w:tcW w:w="2256" w:type="dxa"/>
          </w:tcPr>
          <w:p w14:paraId="17442F04" w14:textId="77777777" w:rsidR="00980E9F" w:rsidRDefault="00980E9F" w:rsidP="00980E9F">
            <w:pPr>
              <w:pStyle w:val="TableBodyText"/>
              <w:spacing w:before="20" w:after="20"/>
            </w:pPr>
            <w:r>
              <w:t>Civil penalty and conduct provision</w:t>
            </w:r>
          </w:p>
        </w:tc>
      </w:tr>
      <w:tr w:rsidR="00980E9F" w14:paraId="6134BFF8"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Pr>
          <w:p w14:paraId="15FEAE53" w14:textId="77777777" w:rsidR="00980E9F" w:rsidRPr="004F2763" w:rsidRDefault="00980E9F" w:rsidP="00980E9F">
            <w:pPr>
              <w:pStyle w:val="TableBodyText"/>
              <w:spacing w:before="20" w:after="20"/>
            </w:pPr>
            <w:r>
              <w:t xml:space="preserve">Rule 634(5) </w:t>
            </w:r>
          </w:p>
        </w:tc>
        <w:tc>
          <w:tcPr>
            <w:tcW w:w="5529" w:type="dxa"/>
          </w:tcPr>
          <w:p w14:paraId="66725A86" w14:textId="77777777" w:rsidR="00980E9F" w:rsidRPr="004F2763" w:rsidRDefault="004E0D92" w:rsidP="00980E9F">
            <w:pPr>
              <w:pStyle w:val="TableBodyText"/>
              <w:spacing w:before="20" w:after="20"/>
            </w:pPr>
            <w:r>
              <w:t xml:space="preserve">Transportation </w:t>
            </w:r>
            <w:r w:rsidRPr="008B11C9">
              <w:t>service provider</w:t>
            </w:r>
            <w:r>
              <w:t>s</w:t>
            </w:r>
            <w:r w:rsidR="00980E9F">
              <w:t xml:space="preserve"> must make a record of </w:t>
            </w:r>
            <w:r>
              <w:t xml:space="preserve">their </w:t>
            </w:r>
            <w:r w:rsidR="00980E9F">
              <w:t>standardisation costs and how they have been taken into account in the schedule of charges</w:t>
            </w:r>
          </w:p>
        </w:tc>
        <w:tc>
          <w:tcPr>
            <w:tcW w:w="2256" w:type="dxa"/>
          </w:tcPr>
          <w:p w14:paraId="4C07C59C" w14:textId="77777777" w:rsidR="00980E9F" w:rsidRDefault="00980E9F" w:rsidP="00980E9F">
            <w:pPr>
              <w:pStyle w:val="TableBodyText"/>
              <w:spacing w:before="20" w:after="20"/>
            </w:pPr>
            <w:r>
              <w:t>Civil penalty and conduct provision</w:t>
            </w:r>
          </w:p>
        </w:tc>
      </w:tr>
      <w:tr w:rsidR="00980E9F" w14:paraId="376E9AD3" w14:textId="77777777" w:rsidTr="00DE6158">
        <w:trPr>
          <w:cantSplit/>
        </w:trPr>
        <w:tc>
          <w:tcPr>
            <w:tcW w:w="1134" w:type="dxa"/>
          </w:tcPr>
          <w:p w14:paraId="3FB5862E" w14:textId="77777777" w:rsidR="00980E9F" w:rsidRPr="004F2763" w:rsidRDefault="00980E9F" w:rsidP="00980E9F">
            <w:pPr>
              <w:pStyle w:val="TableBodyText"/>
              <w:spacing w:before="20" w:after="20"/>
            </w:pPr>
            <w:r w:rsidRPr="004F2763">
              <w:t>Rule 63</w:t>
            </w:r>
            <w:r>
              <w:t>6</w:t>
            </w:r>
            <w:r w:rsidRPr="004F2763">
              <w:t xml:space="preserve">(1) </w:t>
            </w:r>
          </w:p>
        </w:tc>
        <w:tc>
          <w:tcPr>
            <w:tcW w:w="5529" w:type="dxa"/>
          </w:tcPr>
          <w:p w14:paraId="31E95A91" w14:textId="77777777" w:rsidR="00980E9F" w:rsidRPr="004F2763" w:rsidRDefault="004E0D92" w:rsidP="00980E9F">
            <w:pPr>
              <w:pStyle w:val="TableBodyText"/>
              <w:spacing w:before="20" w:after="20"/>
            </w:pPr>
            <w:r>
              <w:t xml:space="preserve">Transportation </w:t>
            </w:r>
            <w:r w:rsidRPr="008B11C9">
              <w:t>service provider</w:t>
            </w:r>
            <w:r>
              <w:t xml:space="preserve">s </w:t>
            </w:r>
            <w:r w:rsidR="00980E9F">
              <w:t>for Part 24 facilit</w:t>
            </w:r>
            <w:r>
              <w:t>ies</w:t>
            </w:r>
            <w:r w:rsidR="00980E9F">
              <w:t xml:space="preserve"> </w:t>
            </w:r>
            <w:r w:rsidR="00980E9F" w:rsidRPr="004F2763">
              <w:t xml:space="preserve">must publish </w:t>
            </w:r>
            <w:r w:rsidR="00980E9F">
              <w:t>information about how to request a standard OTSA</w:t>
            </w:r>
            <w:r w:rsidR="00980E9F" w:rsidRPr="004F2763">
              <w:t xml:space="preserve"> and</w:t>
            </w:r>
            <w:r w:rsidR="0071681D">
              <w:t xml:space="preserve"> must</w:t>
            </w:r>
            <w:r w:rsidR="00980E9F" w:rsidRPr="004F2763">
              <w:t xml:space="preserve"> keep it up to date</w:t>
            </w:r>
          </w:p>
        </w:tc>
        <w:tc>
          <w:tcPr>
            <w:tcW w:w="2256" w:type="dxa"/>
          </w:tcPr>
          <w:p w14:paraId="60444DEE" w14:textId="77777777" w:rsidR="00980E9F" w:rsidRDefault="00980E9F" w:rsidP="00980E9F">
            <w:pPr>
              <w:pStyle w:val="TableBodyText"/>
              <w:spacing w:before="20" w:after="20"/>
            </w:pPr>
            <w:r>
              <w:t>Civil penalty and conduct provision</w:t>
            </w:r>
          </w:p>
        </w:tc>
      </w:tr>
      <w:tr w:rsidR="00980E9F" w14:paraId="119E0CF3"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Pr>
          <w:p w14:paraId="293651B1" w14:textId="77777777" w:rsidR="00980E9F" w:rsidRPr="004F2763" w:rsidRDefault="00980E9F" w:rsidP="00980E9F">
            <w:pPr>
              <w:pStyle w:val="TableBodyText"/>
              <w:spacing w:before="20" w:after="20"/>
            </w:pPr>
            <w:r>
              <w:t xml:space="preserve">Rule 636(4) </w:t>
            </w:r>
          </w:p>
        </w:tc>
        <w:tc>
          <w:tcPr>
            <w:tcW w:w="5529" w:type="dxa"/>
          </w:tcPr>
          <w:p w14:paraId="23E8C041" w14:textId="77777777" w:rsidR="00980E9F" w:rsidRPr="004F2763" w:rsidRDefault="00980E9F" w:rsidP="00980E9F">
            <w:pPr>
              <w:pStyle w:val="TableBodyText"/>
              <w:spacing w:before="20" w:after="20"/>
            </w:pPr>
            <w:r>
              <w:t>If information included in a request for a standard OTSA is incomplete</w:t>
            </w:r>
            <w:r w:rsidR="0071681D">
              <w:t>,</w:t>
            </w:r>
            <w:r>
              <w:t xml:space="preserve"> transportation service provider</w:t>
            </w:r>
            <w:r w:rsidR="004E0D92">
              <w:t>s</w:t>
            </w:r>
            <w:r>
              <w:t xml:space="preserve"> must inform </w:t>
            </w:r>
            <w:r w:rsidR="003C3093">
              <w:t xml:space="preserve">the </w:t>
            </w:r>
            <w:r>
              <w:t>prospective secondary shipper</w:t>
            </w:r>
          </w:p>
        </w:tc>
        <w:tc>
          <w:tcPr>
            <w:tcW w:w="2256" w:type="dxa"/>
          </w:tcPr>
          <w:p w14:paraId="332445FF" w14:textId="77777777" w:rsidR="00980E9F" w:rsidRDefault="00980E9F" w:rsidP="00980E9F">
            <w:pPr>
              <w:pStyle w:val="TableBodyText"/>
              <w:spacing w:before="20" w:after="20"/>
            </w:pPr>
            <w:r>
              <w:t>Civil penalty and conduct provision</w:t>
            </w:r>
          </w:p>
        </w:tc>
      </w:tr>
      <w:tr w:rsidR="00980E9F" w14:paraId="66021610" w14:textId="77777777" w:rsidTr="00DE6158">
        <w:trPr>
          <w:cantSplit/>
        </w:trPr>
        <w:tc>
          <w:tcPr>
            <w:tcW w:w="1134" w:type="dxa"/>
          </w:tcPr>
          <w:p w14:paraId="77637A6D" w14:textId="77777777" w:rsidR="00980E9F" w:rsidRPr="004F2763" w:rsidRDefault="00980E9F" w:rsidP="00980E9F">
            <w:pPr>
              <w:pStyle w:val="TableBodyText"/>
              <w:spacing w:before="20" w:after="20"/>
            </w:pPr>
            <w:r w:rsidRPr="004F2763">
              <w:t>Rule 63</w:t>
            </w:r>
            <w:r>
              <w:t>8(1)</w:t>
            </w:r>
            <w:r w:rsidRPr="004F2763">
              <w:t xml:space="preserve"> </w:t>
            </w:r>
          </w:p>
        </w:tc>
        <w:tc>
          <w:tcPr>
            <w:tcW w:w="5529" w:type="dxa"/>
          </w:tcPr>
          <w:p w14:paraId="3E5C919F" w14:textId="77777777" w:rsidR="00980E9F" w:rsidRPr="004F2763" w:rsidRDefault="004E0D92" w:rsidP="00980E9F">
            <w:pPr>
              <w:pStyle w:val="TableBodyText"/>
              <w:spacing w:before="20" w:after="20"/>
            </w:pPr>
            <w:r>
              <w:t xml:space="preserve">Transportation </w:t>
            </w:r>
            <w:r w:rsidRPr="008B11C9">
              <w:t>service provider</w:t>
            </w:r>
            <w:r>
              <w:t xml:space="preserve">s </w:t>
            </w:r>
            <w:r w:rsidR="00980E9F">
              <w:t>for Part 24 facili</w:t>
            </w:r>
            <w:r>
              <w:t>ties</w:t>
            </w:r>
            <w:r w:rsidR="00980E9F" w:rsidRPr="004F2763">
              <w:t xml:space="preserve"> must give effect to an operational transfer notified by AEMO</w:t>
            </w:r>
          </w:p>
        </w:tc>
        <w:tc>
          <w:tcPr>
            <w:tcW w:w="2256" w:type="dxa"/>
          </w:tcPr>
          <w:p w14:paraId="004B5B81" w14:textId="77777777" w:rsidR="00980E9F" w:rsidRDefault="00980E9F" w:rsidP="00980E9F">
            <w:pPr>
              <w:pStyle w:val="TableBodyText"/>
              <w:spacing w:before="20" w:after="20"/>
            </w:pPr>
            <w:r>
              <w:t xml:space="preserve">Civil penalty and conduct provision </w:t>
            </w:r>
          </w:p>
        </w:tc>
      </w:tr>
      <w:tr w:rsidR="00980E9F" w14:paraId="41EE7B76"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Pr>
          <w:p w14:paraId="79155879" w14:textId="77777777" w:rsidR="00980E9F" w:rsidRPr="004F2763" w:rsidRDefault="00980E9F" w:rsidP="00980E9F">
            <w:pPr>
              <w:pStyle w:val="TableBodyText"/>
              <w:spacing w:before="20" w:after="20"/>
            </w:pPr>
            <w:r>
              <w:t xml:space="preserve">Rule 638(3) </w:t>
            </w:r>
          </w:p>
        </w:tc>
        <w:tc>
          <w:tcPr>
            <w:tcW w:w="5529" w:type="dxa"/>
          </w:tcPr>
          <w:p w14:paraId="42F0216D" w14:textId="77777777" w:rsidR="00980E9F" w:rsidRPr="004F2763" w:rsidRDefault="004E0D92" w:rsidP="0071681D">
            <w:pPr>
              <w:pStyle w:val="TableBodyText"/>
              <w:spacing w:before="20" w:after="20"/>
            </w:pPr>
            <w:r>
              <w:t xml:space="preserve">Transportation </w:t>
            </w:r>
            <w:r w:rsidRPr="008B11C9">
              <w:t>service provider</w:t>
            </w:r>
            <w:r>
              <w:t xml:space="preserve">s </w:t>
            </w:r>
            <w:r w:rsidR="00980E9F">
              <w:t>for Part 24 facilit</w:t>
            </w:r>
            <w:r>
              <w:t>ies</w:t>
            </w:r>
            <w:r w:rsidR="00980E9F">
              <w:t xml:space="preserve"> or conditionally exempt </w:t>
            </w:r>
            <w:r w:rsidR="0071681D">
              <w:t xml:space="preserve">facilities </w:t>
            </w:r>
            <w:r w:rsidR="00980E9F" w:rsidRPr="004F2763">
              <w:t xml:space="preserve">must give effect to </w:t>
            </w:r>
            <w:r w:rsidR="00980E9F">
              <w:t>bilateral trades notified by the parties to the transaction</w:t>
            </w:r>
          </w:p>
        </w:tc>
        <w:tc>
          <w:tcPr>
            <w:tcW w:w="2256" w:type="dxa"/>
          </w:tcPr>
          <w:p w14:paraId="113F3C06" w14:textId="77777777" w:rsidR="00980E9F" w:rsidRDefault="00980E9F" w:rsidP="00980E9F">
            <w:pPr>
              <w:pStyle w:val="TableBodyText"/>
              <w:spacing w:before="20" w:after="20"/>
            </w:pPr>
            <w:r>
              <w:t>Civil penalty and conduct provision</w:t>
            </w:r>
          </w:p>
        </w:tc>
      </w:tr>
      <w:tr w:rsidR="00980E9F" w14:paraId="30B0B53C" w14:textId="77777777" w:rsidTr="00DE6158">
        <w:trPr>
          <w:cantSplit/>
        </w:trPr>
        <w:tc>
          <w:tcPr>
            <w:tcW w:w="1134" w:type="dxa"/>
          </w:tcPr>
          <w:p w14:paraId="75032A11" w14:textId="77777777" w:rsidR="00980E9F" w:rsidRPr="004F2763" w:rsidRDefault="00980E9F" w:rsidP="00980E9F">
            <w:pPr>
              <w:pStyle w:val="TableBodyText"/>
              <w:spacing w:before="20" w:after="20"/>
            </w:pPr>
            <w:r w:rsidRPr="004F2763">
              <w:t>Rule 6</w:t>
            </w:r>
            <w:r>
              <w:t>40</w:t>
            </w:r>
            <w:r w:rsidRPr="004F2763">
              <w:t xml:space="preserve">(1) </w:t>
            </w:r>
          </w:p>
        </w:tc>
        <w:tc>
          <w:tcPr>
            <w:tcW w:w="5529" w:type="dxa"/>
          </w:tcPr>
          <w:p w14:paraId="1571C3F7" w14:textId="77777777" w:rsidR="00980E9F" w:rsidRPr="004F2763" w:rsidRDefault="004E0D92" w:rsidP="00980E9F">
            <w:pPr>
              <w:pStyle w:val="TableBodyText"/>
              <w:spacing w:before="20" w:after="20"/>
            </w:pPr>
            <w:r>
              <w:t>T</w:t>
            </w:r>
            <w:r w:rsidR="003C3093">
              <w:t xml:space="preserve">ransportation </w:t>
            </w:r>
            <w:r w:rsidR="00980E9F" w:rsidRPr="004F2763">
              <w:t>service provider</w:t>
            </w:r>
            <w:r>
              <w:t>s</w:t>
            </w:r>
            <w:r w:rsidR="00980E9F" w:rsidRPr="004F2763">
              <w:t xml:space="preserve"> </w:t>
            </w:r>
            <w:r w:rsidR="00980E9F">
              <w:t>for Part 24 facilit</w:t>
            </w:r>
            <w:r>
              <w:t>ies</w:t>
            </w:r>
            <w:r w:rsidR="00980E9F">
              <w:t xml:space="preserve"> or conditionally exempt facilit</w:t>
            </w:r>
            <w:r>
              <w:t>ies</w:t>
            </w:r>
            <w:r w:rsidR="00980E9F">
              <w:t xml:space="preserve"> </w:t>
            </w:r>
            <w:r w:rsidR="00980E9F" w:rsidRPr="004F2763">
              <w:t xml:space="preserve">must within 30 </w:t>
            </w:r>
            <w:r w:rsidR="00980E9F">
              <w:t xml:space="preserve">business </w:t>
            </w:r>
            <w:r w:rsidR="00980E9F" w:rsidRPr="004F2763">
              <w:t xml:space="preserve">days of a request made by a </w:t>
            </w:r>
            <w:r>
              <w:t>shipper</w:t>
            </w:r>
            <w:r w:rsidR="00980E9F">
              <w:t xml:space="preserve"> give that user</w:t>
            </w:r>
            <w:r w:rsidR="00980E9F" w:rsidRPr="004F2763">
              <w:t xml:space="preserve"> an amending agreement that complies with</w:t>
            </w:r>
            <w:r w:rsidR="00980E9F">
              <w:t xml:space="preserve"> </w:t>
            </w:r>
            <w:r w:rsidR="003C3093">
              <w:t>the relevant provisions in the NGR</w:t>
            </w:r>
          </w:p>
        </w:tc>
        <w:tc>
          <w:tcPr>
            <w:tcW w:w="2256" w:type="dxa"/>
          </w:tcPr>
          <w:p w14:paraId="4877A2E3" w14:textId="77777777" w:rsidR="00980E9F" w:rsidRDefault="00980E9F" w:rsidP="00980E9F">
            <w:pPr>
              <w:pStyle w:val="TableBodyText"/>
              <w:spacing w:before="20" w:after="20"/>
            </w:pPr>
            <w:r>
              <w:t>Civil penalty and conduct provision</w:t>
            </w:r>
          </w:p>
        </w:tc>
      </w:tr>
      <w:tr w:rsidR="00980E9F" w:rsidRPr="00D95D50" w14:paraId="6BBFAA3F"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Borders>
              <w:bottom w:val="single" w:sz="4" w:space="0" w:color="auto"/>
            </w:tcBorders>
          </w:tcPr>
          <w:p w14:paraId="06257F50" w14:textId="77777777" w:rsidR="00980E9F" w:rsidRPr="009F266E" w:rsidRDefault="00980E9F" w:rsidP="00980E9F">
            <w:pPr>
              <w:pStyle w:val="TableBodyText"/>
              <w:spacing w:before="20" w:after="20"/>
            </w:pPr>
            <w:r w:rsidRPr="009F266E">
              <w:t xml:space="preserve">Rule 641(1) </w:t>
            </w:r>
          </w:p>
        </w:tc>
        <w:tc>
          <w:tcPr>
            <w:tcW w:w="5529" w:type="dxa"/>
            <w:tcBorders>
              <w:bottom w:val="single" w:sz="4" w:space="0" w:color="auto"/>
            </w:tcBorders>
          </w:tcPr>
          <w:p w14:paraId="6791E299" w14:textId="77777777" w:rsidR="00980E9F" w:rsidRPr="009F266E" w:rsidRDefault="00980E9F" w:rsidP="00980E9F">
            <w:pPr>
              <w:pStyle w:val="TableBodyText"/>
              <w:spacing w:before="20" w:after="20"/>
            </w:pPr>
            <w:r w:rsidRPr="009F266E">
              <w:t xml:space="preserve">New facility agreements must permit </w:t>
            </w:r>
            <w:r w:rsidR="004E0D92">
              <w:t xml:space="preserve">shippers </w:t>
            </w:r>
            <w:r w:rsidRPr="009F266E">
              <w:t>to sell capacity</w:t>
            </w:r>
            <w:r w:rsidR="004E0D92">
              <w:t xml:space="preserve"> for use</w:t>
            </w:r>
            <w:r w:rsidRPr="009F266E">
              <w:t xml:space="preserve"> under an </w:t>
            </w:r>
            <w:r w:rsidR="003C3093">
              <w:t>OTSA</w:t>
            </w:r>
          </w:p>
        </w:tc>
        <w:tc>
          <w:tcPr>
            <w:tcW w:w="2256" w:type="dxa"/>
            <w:tcBorders>
              <w:bottom w:val="single" w:sz="4" w:space="0" w:color="auto"/>
            </w:tcBorders>
          </w:tcPr>
          <w:p w14:paraId="62AEECCF" w14:textId="77777777" w:rsidR="00980E9F" w:rsidRPr="009F266E" w:rsidRDefault="00980E9F" w:rsidP="00980E9F">
            <w:pPr>
              <w:pStyle w:val="TableBodyText"/>
              <w:spacing w:before="20" w:after="20"/>
            </w:pPr>
            <w:r w:rsidRPr="009F266E">
              <w:t>Conduct provision</w:t>
            </w:r>
          </w:p>
        </w:tc>
      </w:tr>
      <w:tr w:rsidR="00980E9F" w14:paraId="353419A9" w14:textId="77777777" w:rsidTr="00DE6158">
        <w:trPr>
          <w:cantSplit/>
        </w:trPr>
        <w:tc>
          <w:tcPr>
            <w:tcW w:w="1134" w:type="dxa"/>
            <w:tcBorders>
              <w:bottom w:val="single" w:sz="4" w:space="0" w:color="auto"/>
            </w:tcBorders>
          </w:tcPr>
          <w:p w14:paraId="32F3260D" w14:textId="77777777" w:rsidR="00980E9F" w:rsidRPr="009F266E" w:rsidRDefault="00980E9F" w:rsidP="00980E9F">
            <w:pPr>
              <w:pStyle w:val="TableBodyText"/>
              <w:spacing w:before="20" w:after="20"/>
            </w:pPr>
            <w:r w:rsidRPr="009F266E">
              <w:t xml:space="preserve">Rule 641(2) </w:t>
            </w:r>
          </w:p>
        </w:tc>
        <w:tc>
          <w:tcPr>
            <w:tcW w:w="5529" w:type="dxa"/>
            <w:tcBorders>
              <w:bottom w:val="single" w:sz="4" w:space="0" w:color="auto"/>
            </w:tcBorders>
          </w:tcPr>
          <w:p w14:paraId="3507A19B" w14:textId="77777777" w:rsidR="00980E9F" w:rsidRPr="009F266E" w:rsidRDefault="00980E9F" w:rsidP="00980E9F">
            <w:pPr>
              <w:pStyle w:val="TableBodyText"/>
              <w:spacing w:before="20" w:after="20"/>
            </w:pPr>
            <w:r w:rsidRPr="009F266E">
              <w:t xml:space="preserve">The terms in a new facility agreement must give effect to the </w:t>
            </w:r>
            <w:r w:rsidR="004E0D92">
              <w:t xml:space="preserve">facilitation of trade </w:t>
            </w:r>
            <w:r w:rsidRPr="009F266E">
              <w:t>principles in rule 642</w:t>
            </w:r>
          </w:p>
        </w:tc>
        <w:tc>
          <w:tcPr>
            <w:tcW w:w="2256" w:type="dxa"/>
            <w:tcBorders>
              <w:bottom w:val="single" w:sz="4" w:space="0" w:color="auto"/>
            </w:tcBorders>
          </w:tcPr>
          <w:p w14:paraId="00CF8BD5" w14:textId="77777777" w:rsidR="00980E9F" w:rsidRPr="009F266E" w:rsidRDefault="00980E9F" w:rsidP="00980E9F">
            <w:pPr>
              <w:pStyle w:val="TableBodyText"/>
              <w:spacing w:before="20" w:after="20"/>
            </w:pPr>
            <w:r w:rsidRPr="009F266E">
              <w:t>Conduct provision</w:t>
            </w:r>
          </w:p>
        </w:tc>
      </w:tr>
      <w:tr w:rsidR="00980E9F" w14:paraId="64CD2D0B"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Borders>
              <w:bottom w:val="single" w:sz="4" w:space="0" w:color="auto"/>
            </w:tcBorders>
          </w:tcPr>
          <w:p w14:paraId="2AC9337A" w14:textId="77777777" w:rsidR="00980E9F" w:rsidRPr="004F2763" w:rsidRDefault="00980E9F" w:rsidP="00980E9F">
            <w:pPr>
              <w:pStyle w:val="TableBodyText"/>
              <w:spacing w:before="20" w:after="20"/>
            </w:pPr>
            <w:r>
              <w:t>Rule 643(5)</w:t>
            </w:r>
          </w:p>
        </w:tc>
        <w:tc>
          <w:tcPr>
            <w:tcW w:w="5529" w:type="dxa"/>
            <w:tcBorders>
              <w:bottom w:val="single" w:sz="4" w:space="0" w:color="auto"/>
            </w:tcBorders>
          </w:tcPr>
          <w:p w14:paraId="03C88E74" w14:textId="77777777" w:rsidR="00980E9F" w:rsidRPr="004F2763" w:rsidRDefault="004E0D92" w:rsidP="00980E9F">
            <w:pPr>
              <w:pStyle w:val="TableBodyText"/>
              <w:spacing w:before="20" w:after="20"/>
            </w:pPr>
            <w:r>
              <w:t>T</w:t>
            </w:r>
            <w:r w:rsidR="003C3093">
              <w:t xml:space="preserve">ransportation </w:t>
            </w:r>
            <w:r w:rsidR="00980E9F">
              <w:t>service provider</w:t>
            </w:r>
            <w:r>
              <w:t>s</w:t>
            </w:r>
            <w:r w:rsidR="00980E9F">
              <w:t xml:space="preserve"> must not unreasonably withhold or delay </w:t>
            </w:r>
            <w:r w:rsidR="008B6EDA">
              <w:t xml:space="preserve">their </w:t>
            </w:r>
            <w:r w:rsidR="00980E9F">
              <w:t>consent</w:t>
            </w:r>
            <w:r w:rsidR="008B6EDA">
              <w:t xml:space="preserve"> to a request by a shipper to use an additional service point</w:t>
            </w:r>
          </w:p>
        </w:tc>
        <w:tc>
          <w:tcPr>
            <w:tcW w:w="2256" w:type="dxa"/>
            <w:tcBorders>
              <w:bottom w:val="single" w:sz="4" w:space="0" w:color="auto"/>
            </w:tcBorders>
          </w:tcPr>
          <w:p w14:paraId="400D99AC" w14:textId="77777777" w:rsidR="00980E9F" w:rsidRDefault="00980E9F" w:rsidP="00980E9F">
            <w:pPr>
              <w:pStyle w:val="TableBodyText"/>
              <w:spacing w:before="20" w:after="20"/>
            </w:pPr>
            <w:r>
              <w:t>Conduct provision</w:t>
            </w:r>
          </w:p>
        </w:tc>
      </w:tr>
      <w:tr w:rsidR="00980E9F" w14:paraId="7D6A6E49" w14:textId="77777777" w:rsidTr="00DE6158">
        <w:trPr>
          <w:cantSplit/>
        </w:trPr>
        <w:tc>
          <w:tcPr>
            <w:tcW w:w="1134" w:type="dxa"/>
            <w:tcBorders>
              <w:bottom w:val="single" w:sz="4" w:space="0" w:color="auto"/>
            </w:tcBorders>
          </w:tcPr>
          <w:p w14:paraId="2E45E127" w14:textId="77777777" w:rsidR="00980E9F" w:rsidRPr="004F2763" w:rsidRDefault="00980E9F" w:rsidP="00980E9F">
            <w:pPr>
              <w:pStyle w:val="TableBodyText"/>
              <w:spacing w:before="20" w:after="20"/>
            </w:pPr>
            <w:r>
              <w:t>Rule 643(6)</w:t>
            </w:r>
          </w:p>
        </w:tc>
        <w:tc>
          <w:tcPr>
            <w:tcW w:w="5529" w:type="dxa"/>
            <w:tcBorders>
              <w:bottom w:val="single" w:sz="4" w:space="0" w:color="auto"/>
            </w:tcBorders>
          </w:tcPr>
          <w:p w14:paraId="49DB6D0F" w14:textId="77777777" w:rsidR="00980E9F" w:rsidRPr="004F2763" w:rsidRDefault="008B6EDA" w:rsidP="00980E9F">
            <w:pPr>
              <w:pStyle w:val="TableBodyText"/>
              <w:spacing w:before="20" w:after="20"/>
            </w:pPr>
            <w:r>
              <w:t>T</w:t>
            </w:r>
            <w:r w:rsidR="003C3093">
              <w:t xml:space="preserve">ransportation </w:t>
            </w:r>
            <w:r w:rsidR="00980E9F">
              <w:t>service provider</w:t>
            </w:r>
            <w:r>
              <w:t>s</w:t>
            </w:r>
            <w:r w:rsidR="00980E9F">
              <w:t xml:space="preserve"> may make </w:t>
            </w:r>
            <w:r>
              <w:t xml:space="preserve">their </w:t>
            </w:r>
            <w:r w:rsidR="00980E9F">
              <w:t xml:space="preserve">consent </w:t>
            </w:r>
            <w:r>
              <w:t xml:space="preserve">to use an additional service point </w:t>
            </w:r>
            <w:r w:rsidR="00980E9F">
              <w:t>conditional on consent from a third party in particular circumstances</w:t>
            </w:r>
          </w:p>
        </w:tc>
        <w:tc>
          <w:tcPr>
            <w:tcW w:w="2256" w:type="dxa"/>
            <w:tcBorders>
              <w:bottom w:val="single" w:sz="4" w:space="0" w:color="auto"/>
            </w:tcBorders>
          </w:tcPr>
          <w:p w14:paraId="01F3B4C4" w14:textId="77777777" w:rsidR="00980E9F" w:rsidRDefault="00980E9F" w:rsidP="00980E9F">
            <w:pPr>
              <w:pStyle w:val="TableBodyText"/>
              <w:spacing w:before="20" w:after="20"/>
            </w:pPr>
            <w:r>
              <w:t>Conduct provision</w:t>
            </w:r>
          </w:p>
        </w:tc>
      </w:tr>
      <w:tr w:rsidR="00980E9F" w14:paraId="1D1B419F"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Borders>
              <w:bottom w:val="single" w:sz="4" w:space="0" w:color="auto"/>
            </w:tcBorders>
          </w:tcPr>
          <w:p w14:paraId="7715D15E" w14:textId="77777777" w:rsidR="00980E9F" w:rsidRPr="004F2763" w:rsidRDefault="00980E9F" w:rsidP="00980E9F">
            <w:pPr>
              <w:pStyle w:val="TableBodyText"/>
              <w:spacing w:before="20" w:after="20"/>
            </w:pPr>
            <w:r>
              <w:t>Rule 643(9)</w:t>
            </w:r>
          </w:p>
        </w:tc>
        <w:tc>
          <w:tcPr>
            <w:tcW w:w="5529" w:type="dxa"/>
            <w:tcBorders>
              <w:bottom w:val="single" w:sz="4" w:space="0" w:color="auto"/>
            </w:tcBorders>
          </w:tcPr>
          <w:p w14:paraId="1B0DF4D1" w14:textId="77777777" w:rsidR="00980E9F" w:rsidRPr="004F2763" w:rsidRDefault="008B6EDA" w:rsidP="00980E9F">
            <w:pPr>
              <w:pStyle w:val="TableBodyText"/>
              <w:spacing w:before="20" w:after="20"/>
            </w:pPr>
            <w:r>
              <w:t>T</w:t>
            </w:r>
            <w:r w:rsidR="003C3093">
              <w:t xml:space="preserve">ransportation </w:t>
            </w:r>
            <w:r w:rsidR="00980E9F">
              <w:t>service provider</w:t>
            </w:r>
            <w:r>
              <w:t>s</w:t>
            </w:r>
            <w:r w:rsidR="00980E9F">
              <w:t xml:space="preserve"> must provide information reasonably required to understand additional charges payable for use of an additional service point</w:t>
            </w:r>
          </w:p>
        </w:tc>
        <w:tc>
          <w:tcPr>
            <w:tcW w:w="2256" w:type="dxa"/>
            <w:tcBorders>
              <w:bottom w:val="single" w:sz="4" w:space="0" w:color="auto"/>
            </w:tcBorders>
          </w:tcPr>
          <w:p w14:paraId="0175BE89" w14:textId="77777777" w:rsidR="00980E9F" w:rsidRDefault="00980E9F" w:rsidP="00980E9F">
            <w:pPr>
              <w:pStyle w:val="TableBodyText"/>
              <w:spacing w:before="20" w:after="20"/>
            </w:pPr>
            <w:r>
              <w:t>Conduct provision</w:t>
            </w:r>
          </w:p>
        </w:tc>
      </w:tr>
      <w:tr w:rsidR="00980E9F" w14:paraId="4A902F42" w14:textId="77777777" w:rsidTr="00DE6158">
        <w:trPr>
          <w:cantSplit/>
        </w:trPr>
        <w:tc>
          <w:tcPr>
            <w:tcW w:w="1134" w:type="dxa"/>
            <w:tcBorders>
              <w:bottom w:val="single" w:sz="4" w:space="0" w:color="auto"/>
            </w:tcBorders>
          </w:tcPr>
          <w:p w14:paraId="39B13EEA" w14:textId="77777777" w:rsidR="00980E9F" w:rsidRDefault="00980E9F" w:rsidP="00980E9F">
            <w:pPr>
              <w:pStyle w:val="TableBodyText"/>
              <w:spacing w:before="20" w:after="20"/>
            </w:pPr>
            <w:r>
              <w:t>Rule 644(2)</w:t>
            </w:r>
          </w:p>
        </w:tc>
        <w:tc>
          <w:tcPr>
            <w:tcW w:w="5529" w:type="dxa"/>
            <w:tcBorders>
              <w:bottom w:val="single" w:sz="4" w:space="0" w:color="auto"/>
            </w:tcBorders>
          </w:tcPr>
          <w:p w14:paraId="5FC7674B" w14:textId="77777777" w:rsidR="00980E9F" w:rsidRDefault="008B6EDA" w:rsidP="00980E9F">
            <w:pPr>
              <w:pStyle w:val="TableBodyText"/>
              <w:spacing w:before="20" w:after="20"/>
            </w:pPr>
            <w:r>
              <w:t>T</w:t>
            </w:r>
            <w:r w:rsidR="003C3093">
              <w:t xml:space="preserve">ransportation </w:t>
            </w:r>
            <w:r w:rsidR="00980E9F">
              <w:t>service provider</w:t>
            </w:r>
            <w:r>
              <w:t>s</w:t>
            </w:r>
            <w:r w:rsidR="00980E9F">
              <w:t xml:space="preserve"> </w:t>
            </w:r>
            <w:r>
              <w:t xml:space="preserve">that are </w:t>
            </w:r>
            <w:r w:rsidR="00980E9F">
              <w:t xml:space="preserve">not </w:t>
            </w:r>
            <w:r w:rsidR="003C3093">
              <w:t xml:space="preserve">the </w:t>
            </w:r>
            <w:r w:rsidR="00980E9F">
              <w:t xml:space="preserve">facility operator must comply with </w:t>
            </w:r>
            <w:r w:rsidR="003C3093">
              <w:t xml:space="preserve">the auction priority principles and scheduling requirements set out in </w:t>
            </w:r>
            <w:r w:rsidR="00980E9F">
              <w:t>rules 650(2) and (3)</w:t>
            </w:r>
            <w:r>
              <w:t xml:space="preserve"> of the NGR</w:t>
            </w:r>
            <w:r w:rsidR="00980E9F">
              <w:t xml:space="preserve"> as if </w:t>
            </w:r>
            <w:r>
              <w:t xml:space="preserve">they </w:t>
            </w:r>
            <w:r w:rsidR="00980E9F">
              <w:t xml:space="preserve">were the </w:t>
            </w:r>
            <w:r>
              <w:t xml:space="preserve">facility </w:t>
            </w:r>
            <w:r w:rsidR="00980E9F">
              <w:t>operator</w:t>
            </w:r>
          </w:p>
        </w:tc>
        <w:tc>
          <w:tcPr>
            <w:tcW w:w="2256" w:type="dxa"/>
            <w:tcBorders>
              <w:bottom w:val="single" w:sz="4" w:space="0" w:color="auto"/>
            </w:tcBorders>
          </w:tcPr>
          <w:p w14:paraId="7FD286F4" w14:textId="77777777" w:rsidR="00980E9F" w:rsidRDefault="00980E9F" w:rsidP="00980E9F">
            <w:pPr>
              <w:pStyle w:val="TableBodyText"/>
              <w:spacing w:before="20" w:after="20"/>
            </w:pPr>
            <w:r>
              <w:t>Civil penalty and conduct provision</w:t>
            </w:r>
          </w:p>
        </w:tc>
      </w:tr>
      <w:tr w:rsidR="00980E9F" w14:paraId="30FDD87F"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Borders>
              <w:bottom w:val="single" w:sz="4" w:space="0" w:color="auto"/>
            </w:tcBorders>
          </w:tcPr>
          <w:p w14:paraId="1871D11E" w14:textId="77777777" w:rsidR="00980E9F" w:rsidRDefault="00980E9F" w:rsidP="00980E9F">
            <w:pPr>
              <w:pStyle w:val="TableBodyText"/>
              <w:spacing w:before="20" w:after="20"/>
            </w:pPr>
            <w:r>
              <w:t xml:space="preserve">Rule 644(3) </w:t>
            </w:r>
          </w:p>
        </w:tc>
        <w:tc>
          <w:tcPr>
            <w:tcW w:w="5529" w:type="dxa"/>
            <w:tcBorders>
              <w:bottom w:val="single" w:sz="4" w:space="0" w:color="auto"/>
            </w:tcBorders>
          </w:tcPr>
          <w:p w14:paraId="61703314" w14:textId="77777777" w:rsidR="00980E9F" w:rsidRDefault="008B6EDA" w:rsidP="00980E9F">
            <w:pPr>
              <w:pStyle w:val="TableBodyText"/>
              <w:spacing w:before="20" w:after="20"/>
            </w:pPr>
            <w:r>
              <w:t>T</w:t>
            </w:r>
            <w:r w:rsidR="003C3093">
              <w:t xml:space="preserve">ransportation </w:t>
            </w:r>
            <w:r w:rsidR="00980E9F">
              <w:t>service provider</w:t>
            </w:r>
            <w:r>
              <w:t>s</w:t>
            </w:r>
            <w:r w:rsidR="00980E9F">
              <w:t xml:space="preserve"> </w:t>
            </w:r>
            <w:r>
              <w:t xml:space="preserve">that are </w:t>
            </w:r>
            <w:r w:rsidR="00980E9F">
              <w:t xml:space="preserve">not the facility operator must </w:t>
            </w:r>
            <w:r>
              <w:t xml:space="preserve">give effect to the auction results (see rule 655 of the NGR) </w:t>
            </w:r>
            <w:r w:rsidR="00980E9F">
              <w:t xml:space="preserve">as if </w:t>
            </w:r>
            <w:r>
              <w:t xml:space="preserve">they </w:t>
            </w:r>
            <w:r w:rsidR="00980E9F">
              <w:t>were the facility operator</w:t>
            </w:r>
          </w:p>
        </w:tc>
        <w:tc>
          <w:tcPr>
            <w:tcW w:w="2256" w:type="dxa"/>
            <w:tcBorders>
              <w:bottom w:val="single" w:sz="4" w:space="0" w:color="auto"/>
            </w:tcBorders>
          </w:tcPr>
          <w:p w14:paraId="28647589" w14:textId="77777777" w:rsidR="00980E9F" w:rsidRDefault="00980E9F" w:rsidP="00980E9F">
            <w:pPr>
              <w:pStyle w:val="TableBodyText"/>
              <w:spacing w:before="20" w:after="20"/>
            </w:pPr>
            <w:r>
              <w:t>Civil penalty and conduct provision</w:t>
            </w:r>
          </w:p>
        </w:tc>
      </w:tr>
      <w:tr w:rsidR="00862169" w:rsidRPr="00886B5E" w14:paraId="34BACE1F" w14:textId="77777777" w:rsidTr="00DE6158">
        <w:trPr>
          <w:cantSplit/>
          <w:trHeight w:val="399"/>
        </w:trPr>
        <w:tc>
          <w:tcPr>
            <w:tcW w:w="8921" w:type="dxa"/>
            <w:gridSpan w:val="3"/>
            <w:shd w:val="clear" w:color="auto" w:fill="65697F" w:themeFill="background2" w:themeFillShade="80"/>
          </w:tcPr>
          <w:p w14:paraId="15673DCE" w14:textId="77777777" w:rsidR="00862169" w:rsidRPr="00886B5E" w:rsidRDefault="00862169" w:rsidP="00BA3A4A">
            <w:pPr>
              <w:pStyle w:val="TableBodyText"/>
              <w:keepNext/>
              <w:spacing w:before="20" w:after="20"/>
              <w:jc w:val="center"/>
              <w:rPr>
                <w:b/>
                <w:color w:val="FFFFFF" w:themeColor="background1"/>
              </w:rPr>
            </w:pPr>
            <w:r w:rsidRPr="00886B5E">
              <w:rPr>
                <w:b/>
                <w:color w:val="FFFFFF" w:themeColor="background1"/>
              </w:rPr>
              <w:lastRenderedPageBreak/>
              <w:t>Transitional rules – Schedule 5 of NGR</w:t>
            </w:r>
          </w:p>
        </w:tc>
      </w:tr>
      <w:tr w:rsidR="00980E9F" w:rsidRPr="00B43CF6" w14:paraId="5FD794A0" w14:textId="77777777" w:rsidTr="00DE6158">
        <w:trPr>
          <w:cnfStyle w:val="000000010000" w:firstRow="0" w:lastRow="0" w:firstColumn="0" w:lastColumn="0" w:oddVBand="0" w:evenVBand="0" w:oddHBand="0" w:evenHBand="1" w:firstRowFirstColumn="0" w:firstRowLastColumn="0" w:lastRowFirstColumn="0" w:lastRowLastColumn="0"/>
          <w:cantSplit/>
        </w:trPr>
        <w:tc>
          <w:tcPr>
            <w:tcW w:w="1134" w:type="dxa"/>
          </w:tcPr>
          <w:p w14:paraId="7D823D45" w14:textId="77777777" w:rsidR="00980E9F" w:rsidRPr="00B43CF6" w:rsidRDefault="00980E9F" w:rsidP="00980E9F">
            <w:pPr>
              <w:pStyle w:val="TableBodyText"/>
              <w:spacing w:before="20" w:after="20"/>
            </w:pPr>
            <w:r>
              <w:t xml:space="preserve">Schedule 5, </w:t>
            </w:r>
            <w:r w:rsidRPr="00B43CF6">
              <w:t xml:space="preserve">Part 3, rule 9(1) </w:t>
            </w:r>
          </w:p>
        </w:tc>
        <w:tc>
          <w:tcPr>
            <w:tcW w:w="5529" w:type="dxa"/>
          </w:tcPr>
          <w:p w14:paraId="0875813F" w14:textId="77777777" w:rsidR="00980E9F" w:rsidRPr="00B43CF6" w:rsidRDefault="008B6EDA" w:rsidP="00980E9F">
            <w:pPr>
              <w:pStyle w:val="TableBodyText"/>
              <w:spacing w:before="20" w:after="20"/>
            </w:pPr>
            <w:r>
              <w:t xml:space="preserve">Prior to the auction start date, </w:t>
            </w:r>
            <w:r w:rsidR="003C3093">
              <w:t xml:space="preserve">transportation </w:t>
            </w:r>
            <w:r w:rsidR="00980E9F">
              <w:t>service provider</w:t>
            </w:r>
            <w:r>
              <w:t>s</w:t>
            </w:r>
            <w:r w:rsidR="00980E9F">
              <w:t xml:space="preserve"> for Part 24 facilit</w:t>
            </w:r>
            <w:r>
              <w:t>ies</w:t>
            </w:r>
            <w:r w:rsidR="00980E9F">
              <w:t xml:space="preserve"> or conditionally exempt facilit</w:t>
            </w:r>
            <w:r>
              <w:t>ies</w:t>
            </w:r>
            <w:r w:rsidR="00980E9F">
              <w:t xml:space="preserve"> in receipt of a request </w:t>
            </w:r>
            <w:r>
              <w:t xml:space="preserve">from a shipper </w:t>
            </w:r>
            <w:r w:rsidR="00980E9F">
              <w:t xml:space="preserve">to amend its </w:t>
            </w:r>
            <w:r w:rsidR="00980E9F" w:rsidRPr="00B43CF6">
              <w:t xml:space="preserve">existing facility agreement must provide </w:t>
            </w:r>
            <w:r w:rsidR="00980E9F">
              <w:t xml:space="preserve">the </w:t>
            </w:r>
            <w:r w:rsidR="00980E9F" w:rsidRPr="00B43CF6">
              <w:t>amending agreement within 45 business days of request</w:t>
            </w:r>
          </w:p>
        </w:tc>
        <w:tc>
          <w:tcPr>
            <w:tcW w:w="2256" w:type="dxa"/>
          </w:tcPr>
          <w:p w14:paraId="1EEC070F" w14:textId="77777777" w:rsidR="00980E9F" w:rsidRPr="00B43CF6" w:rsidRDefault="00980E9F" w:rsidP="00980E9F">
            <w:pPr>
              <w:pStyle w:val="TableBodyText"/>
              <w:spacing w:before="20" w:after="20"/>
            </w:pPr>
            <w:r w:rsidRPr="00B43CF6">
              <w:t>Civil penalty and conduct provision</w:t>
            </w:r>
          </w:p>
        </w:tc>
      </w:tr>
    </w:tbl>
    <w:p w14:paraId="6C6DB795" w14:textId="0EA0D80C" w:rsidR="007C237C" w:rsidRDefault="007C237C" w:rsidP="00864E08">
      <w:pPr>
        <w:pStyle w:val="Heading3"/>
      </w:pPr>
      <w:r>
        <w:t>Operational Transportation Service Code</w:t>
      </w:r>
    </w:p>
    <w:p w14:paraId="4828B9D4" w14:textId="77777777" w:rsidR="00337AFE" w:rsidRDefault="00DE6158" w:rsidP="00DE6158">
      <w:pPr>
        <w:pStyle w:val="BodyText"/>
      </w:pPr>
      <w:r>
        <w:t xml:space="preserve">The Code is a new regulatory instrument that, in conjunction with provisions in the NGR, will govern the content of the standard OTSAs that transportation service providers of Part 24 facilities and conditionally exempt facilities must prepare and offer to enter into if requested to do so by a shipper. </w:t>
      </w:r>
      <w:r w:rsidR="00337AFE">
        <w:t xml:space="preserve">The standard OTSA may then be used by a shipper that procures capacity through the capacity trading platform, the day-ahead auction or bilaterally. </w:t>
      </w:r>
    </w:p>
    <w:p w14:paraId="5D6DC6AA" w14:textId="77777777" w:rsidR="00DE6158" w:rsidRDefault="00DE6158" w:rsidP="00DE6158">
      <w:pPr>
        <w:pStyle w:val="BodyText"/>
        <w:rPr>
          <w:lang w:eastAsia="fr-CA"/>
        </w:rPr>
      </w:pPr>
      <w:r>
        <w:t xml:space="preserve">The objective of the Code is to </w:t>
      </w:r>
      <w:r>
        <w:rPr>
          <w:lang w:eastAsia="fr-CA"/>
        </w:rPr>
        <w:t>provide for access to operational transportation services on reasonable terms, which is taken to mean at prices and on other terms and conditions that, so far as practical, reflect the outcomes of a workably competitive market.</w:t>
      </w:r>
      <w:r>
        <w:rPr>
          <w:rStyle w:val="FootnoteReference"/>
          <w:lang w:eastAsia="fr-CA"/>
        </w:rPr>
        <w:footnoteReference w:id="201"/>
      </w:r>
      <w:r>
        <w:rPr>
          <w:lang w:eastAsia="fr-CA"/>
        </w:rPr>
        <w:t xml:space="preserve"> </w:t>
      </w:r>
    </w:p>
    <w:p w14:paraId="576B60FE" w14:textId="77777777" w:rsidR="007C237C" w:rsidRDefault="00BA3A4A" w:rsidP="007C237C">
      <w:pPr>
        <w:pStyle w:val="BodyText"/>
      </w:pPr>
      <w:r>
        <w:t xml:space="preserve">In keeping with the requirements in the NGR the initial </w:t>
      </w:r>
      <w:r w:rsidR="007C237C">
        <w:t xml:space="preserve">Code </w:t>
      </w:r>
      <w:r w:rsidR="00D220D5">
        <w:t>contain</w:t>
      </w:r>
      <w:r>
        <w:t>s</w:t>
      </w:r>
      <w:r w:rsidR="007C237C">
        <w:t>:</w:t>
      </w:r>
    </w:p>
    <w:p w14:paraId="4D74C611" w14:textId="77777777" w:rsidR="00BA3A4A" w:rsidRDefault="00337AFE" w:rsidP="0035077C">
      <w:pPr>
        <w:pStyle w:val="ListBullet"/>
        <w:numPr>
          <w:ilvl w:val="0"/>
          <w:numId w:val="23"/>
        </w:numPr>
        <w:rPr>
          <w:lang w:eastAsia="fr-CA"/>
        </w:rPr>
      </w:pPr>
      <w:r>
        <w:rPr>
          <w:lang w:eastAsia="fr-CA"/>
        </w:rPr>
        <w:t>A</w:t>
      </w:r>
      <w:r w:rsidR="00D220D5">
        <w:rPr>
          <w:lang w:eastAsia="fr-CA"/>
        </w:rPr>
        <w:t xml:space="preserve"> description of </w:t>
      </w:r>
      <w:r w:rsidR="00BA3A4A">
        <w:rPr>
          <w:lang w:eastAsia="fr-CA"/>
        </w:rPr>
        <w:t xml:space="preserve">the initial set of </w:t>
      </w:r>
      <w:r w:rsidR="00D220D5">
        <w:rPr>
          <w:lang w:eastAsia="fr-CA"/>
        </w:rPr>
        <w:t>standard operational transportation service</w:t>
      </w:r>
      <w:r w:rsidR="00BA3A4A">
        <w:rPr>
          <w:lang w:eastAsia="fr-CA"/>
        </w:rPr>
        <w:t xml:space="preserve">s, which include: </w:t>
      </w:r>
    </w:p>
    <w:p w14:paraId="13DF5332" w14:textId="77777777" w:rsidR="00BA3A4A" w:rsidRDefault="00BA3A4A" w:rsidP="00BA3A4A">
      <w:pPr>
        <w:pStyle w:val="ListBullet2"/>
        <w:rPr>
          <w:lang w:eastAsia="fr-CA"/>
        </w:rPr>
      </w:pPr>
      <w:r>
        <w:rPr>
          <w:lang w:eastAsia="fr-CA"/>
        </w:rPr>
        <w:t>the traded forward haul service, the traded park service and the traded compression service, which will be available on the capacity trading platform; and</w:t>
      </w:r>
    </w:p>
    <w:p w14:paraId="7987508B" w14:textId="77777777" w:rsidR="00D220D5" w:rsidRDefault="00BA3A4A" w:rsidP="00BA3A4A">
      <w:pPr>
        <w:pStyle w:val="ListBullet2"/>
        <w:rPr>
          <w:lang w:eastAsia="fr-CA"/>
        </w:rPr>
      </w:pPr>
      <w:r>
        <w:rPr>
          <w:lang w:eastAsia="fr-CA"/>
        </w:rPr>
        <w:t xml:space="preserve">the forward haul auction service, the backhaul </w:t>
      </w:r>
      <w:r w:rsidR="00D220D5">
        <w:rPr>
          <w:lang w:eastAsia="fr-CA"/>
        </w:rPr>
        <w:t>auction service</w:t>
      </w:r>
      <w:r>
        <w:rPr>
          <w:lang w:eastAsia="fr-CA"/>
        </w:rPr>
        <w:t xml:space="preserve"> and the compression auction service, which will be available through the day-ahead auction</w:t>
      </w:r>
      <w:r w:rsidR="00337AFE">
        <w:rPr>
          <w:lang w:eastAsia="fr-CA"/>
        </w:rPr>
        <w:t>.</w:t>
      </w:r>
    </w:p>
    <w:p w14:paraId="5729EB37" w14:textId="77777777" w:rsidR="00337AFE" w:rsidRDefault="0071681D" w:rsidP="00337AFE">
      <w:pPr>
        <w:pStyle w:val="ListBullet2"/>
        <w:numPr>
          <w:ilvl w:val="0"/>
          <w:numId w:val="0"/>
        </w:numPr>
        <w:ind w:left="360"/>
        <w:rPr>
          <w:lang w:eastAsia="fr-CA"/>
        </w:rPr>
      </w:pPr>
      <w:r>
        <w:rPr>
          <w:lang w:eastAsia="fr-CA"/>
        </w:rPr>
        <w:t>P</w:t>
      </w:r>
      <w:r w:rsidR="00337AFE">
        <w:rPr>
          <w:lang w:eastAsia="fr-CA"/>
        </w:rPr>
        <w:t>rovision has also been made in the initial Code for shippers to trade other types of contractual entitlements (e.g. hourly entitlements and imbalance entitlements) bilaterally</w:t>
      </w:r>
      <w:r w:rsidR="009C6C75">
        <w:rPr>
          <w:lang w:eastAsia="fr-CA"/>
        </w:rPr>
        <w:t xml:space="preserve">, subject to the caveat that </w:t>
      </w:r>
      <w:r w:rsidR="00337AFE">
        <w:rPr>
          <w:lang w:eastAsia="fr-CA"/>
        </w:rPr>
        <w:t xml:space="preserve">transfers </w:t>
      </w:r>
      <w:r w:rsidR="009C6C75">
        <w:rPr>
          <w:lang w:eastAsia="fr-CA"/>
        </w:rPr>
        <w:t xml:space="preserve">of these entitlements do not adversely affect the operational integrity of the facility. </w:t>
      </w:r>
    </w:p>
    <w:p w14:paraId="7E318D98" w14:textId="77777777" w:rsidR="007C237C" w:rsidRDefault="00337AFE" w:rsidP="00D220D5">
      <w:pPr>
        <w:pStyle w:val="ListBullet"/>
        <w:numPr>
          <w:ilvl w:val="0"/>
          <w:numId w:val="23"/>
        </w:numPr>
        <w:rPr>
          <w:lang w:eastAsia="fr-CA"/>
        </w:rPr>
      </w:pPr>
      <w:r>
        <w:rPr>
          <w:lang w:eastAsia="fr-CA"/>
        </w:rPr>
        <w:t>T</w:t>
      </w:r>
      <w:r w:rsidR="00D220D5">
        <w:rPr>
          <w:lang w:eastAsia="fr-CA"/>
        </w:rPr>
        <w:t xml:space="preserve">he </w:t>
      </w:r>
      <w:r w:rsidR="00F66437">
        <w:rPr>
          <w:lang w:eastAsia="fr-CA"/>
        </w:rPr>
        <w:t xml:space="preserve">standard </w:t>
      </w:r>
      <w:r w:rsidR="007C237C">
        <w:rPr>
          <w:lang w:eastAsia="fr-CA"/>
        </w:rPr>
        <w:t xml:space="preserve">terms and conditions </w:t>
      </w:r>
      <w:r w:rsidR="00BA3A4A">
        <w:rPr>
          <w:lang w:eastAsia="fr-CA"/>
        </w:rPr>
        <w:t xml:space="preserve">that apply to </w:t>
      </w:r>
      <w:r w:rsidR="00D220D5">
        <w:rPr>
          <w:lang w:eastAsia="fr-CA"/>
        </w:rPr>
        <w:t>the provision and use of the standard operational transportation services</w:t>
      </w:r>
      <w:r w:rsidR="00BA3A4A">
        <w:rPr>
          <w:lang w:eastAsia="fr-CA"/>
        </w:rPr>
        <w:t xml:space="preserve"> and which must form part of each transportation service provider’s standard OTSA</w:t>
      </w:r>
      <w:r>
        <w:rPr>
          <w:lang w:eastAsia="fr-CA"/>
        </w:rPr>
        <w:t>,</w:t>
      </w:r>
    </w:p>
    <w:p w14:paraId="4E1200A5" w14:textId="77777777" w:rsidR="00BA3A4A" w:rsidRDefault="00337AFE" w:rsidP="0035077C">
      <w:pPr>
        <w:pStyle w:val="ListBullet"/>
        <w:numPr>
          <w:ilvl w:val="0"/>
          <w:numId w:val="23"/>
        </w:numPr>
        <w:rPr>
          <w:lang w:eastAsia="fr-CA"/>
        </w:rPr>
      </w:pPr>
      <w:r>
        <w:rPr>
          <w:lang w:eastAsia="fr-CA"/>
        </w:rPr>
        <w:t>A</w:t>
      </w:r>
      <w:r w:rsidR="00FF1664">
        <w:rPr>
          <w:lang w:eastAsia="fr-CA"/>
        </w:rPr>
        <w:t xml:space="preserve"> description of the </w:t>
      </w:r>
      <w:r w:rsidR="007C237C">
        <w:rPr>
          <w:lang w:eastAsia="fr-CA"/>
        </w:rPr>
        <w:t xml:space="preserve">facility specific terms </w:t>
      </w:r>
      <w:r w:rsidR="00FF1664">
        <w:rPr>
          <w:lang w:eastAsia="fr-CA"/>
        </w:rPr>
        <w:t xml:space="preserve">that </w:t>
      </w:r>
      <w:r w:rsidR="00BA3A4A">
        <w:rPr>
          <w:lang w:eastAsia="fr-CA"/>
        </w:rPr>
        <w:t xml:space="preserve">transportation service providers </w:t>
      </w:r>
      <w:r w:rsidR="00FF1664">
        <w:rPr>
          <w:lang w:eastAsia="fr-CA"/>
        </w:rPr>
        <w:t xml:space="preserve">can include </w:t>
      </w:r>
      <w:r w:rsidR="007C237C">
        <w:rPr>
          <w:lang w:eastAsia="fr-CA"/>
        </w:rPr>
        <w:t>in the</w:t>
      </w:r>
      <w:r w:rsidR="00BA3A4A">
        <w:rPr>
          <w:lang w:eastAsia="fr-CA"/>
        </w:rPr>
        <w:t xml:space="preserve">ir </w:t>
      </w:r>
      <w:r w:rsidR="00B9365D">
        <w:rPr>
          <w:lang w:eastAsia="fr-CA"/>
        </w:rPr>
        <w:t>standard OTSA</w:t>
      </w:r>
      <w:r w:rsidR="00BA3A4A">
        <w:rPr>
          <w:lang w:eastAsia="fr-CA"/>
        </w:rPr>
        <w:t>s</w:t>
      </w:r>
      <w:r w:rsidR="007C237C">
        <w:rPr>
          <w:lang w:eastAsia="fr-CA"/>
        </w:rPr>
        <w:t xml:space="preserve"> and the requirements for such terms</w:t>
      </w:r>
      <w:r w:rsidR="00BA3A4A">
        <w:rPr>
          <w:lang w:eastAsia="fr-CA"/>
        </w:rPr>
        <w:t xml:space="preserve"> (e.g. the </w:t>
      </w:r>
      <w:r w:rsidR="00BA3A4A" w:rsidRPr="005D4B95">
        <w:rPr>
          <w:rFonts w:asciiTheme="majorHAnsi" w:hAnsiTheme="majorHAnsi" w:cstheme="majorHAnsi"/>
          <w:szCs w:val="18"/>
          <w:lang w:eastAsia="fr-CA"/>
        </w:rPr>
        <w:t xml:space="preserve">facility specific terms </w:t>
      </w:r>
      <w:r w:rsidR="00BA3A4A">
        <w:rPr>
          <w:rFonts w:asciiTheme="majorHAnsi" w:hAnsiTheme="majorHAnsi" w:cstheme="majorHAnsi"/>
          <w:szCs w:val="18"/>
          <w:lang w:eastAsia="fr-CA"/>
        </w:rPr>
        <w:t xml:space="preserve">must </w:t>
      </w:r>
      <w:r w:rsidR="00BA3A4A" w:rsidRPr="005D4B95">
        <w:rPr>
          <w:rFonts w:asciiTheme="majorHAnsi" w:hAnsiTheme="majorHAnsi" w:cstheme="majorHAnsi"/>
          <w:szCs w:val="18"/>
          <w:lang w:eastAsia="fr-CA"/>
        </w:rPr>
        <w:t xml:space="preserve">be consistent with equivalent terms in an </w:t>
      </w:r>
      <w:r w:rsidR="00BA3A4A">
        <w:rPr>
          <w:rFonts w:asciiTheme="majorHAnsi" w:hAnsiTheme="majorHAnsi" w:cstheme="majorHAnsi"/>
          <w:szCs w:val="18"/>
          <w:lang w:eastAsia="fr-CA"/>
        </w:rPr>
        <w:t xml:space="preserve">AER approved </w:t>
      </w:r>
      <w:r w:rsidR="00BA3A4A" w:rsidRPr="005D4B95">
        <w:rPr>
          <w:rFonts w:asciiTheme="majorHAnsi" w:hAnsiTheme="majorHAnsi" w:cstheme="majorHAnsi"/>
          <w:szCs w:val="18"/>
          <w:lang w:eastAsia="fr-CA"/>
        </w:rPr>
        <w:t>access arrangement or the terms in primary facility agreements</w:t>
      </w:r>
      <w:r w:rsidR="00BA3A4A">
        <w:rPr>
          <w:rFonts w:asciiTheme="majorHAnsi" w:hAnsiTheme="majorHAnsi" w:cstheme="majorHAnsi"/>
          <w:szCs w:val="18"/>
          <w:lang w:eastAsia="fr-CA"/>
        </w:rPr>
        <w:t>)</w:t>
      </w:r>
      <w:r>
        <w:rPr>
          <w:rFonts w:asciiTheme="majorHAnsi" w:hAnsiTheme="majorHAnsi" w:cstheme="majorHAnsi"/>
          <w:szCs w:val="18"/>
          <w:lang w:eastAsia="fr-CA"/>
        </w:rPr>
        <w:t>.</w:t>
      </w:r>
    </w:p>
    <w:p w14:paraId="23AFA0AC" w14:textId="77777777" w:rsidR="00D220D5" w:rsidRDefault="00337AFE" w:rsidP="00D220D5">
      <w:pPr>
        <w:pStyle w:val="ListBullet"/>
        <w:numPr>
          <w:ilvl w:val="0"/>
          <w:numId w:val="23"/>
        </w:numPr>
        <w:rPr>
          <w:lang w:eastAsia="fr-CA"/>
        </w:rPr>
      </w:pPr>
      <w:r>
        <w:rPr>
          <w:lang w:eastAsia="fr-CA"/>
        </w:rPr>
        <w:t>T</w:t>
      </w:r>
      <w:r w:rsidR="00D220D5">
        <w:rPr>
          <w:lang w:eastAsia="fr-CA"/>
        </w:rPr>
        <w:t xml:space="preserve">he form of agreement for execution by the parties, which incorporates the standard terms, the </w:t>
      </w:r>
      <w:r w:rsidR="00BA3A4A">
        <w:rPr>
          <w:lang w:eastAsia="fr-CA"/>
        </w:rPr>
        <w:t xml:space="preserve">transportation service provider’s </w:t>
      </w:r>
      <w:r w:rsidR="00D220D5">
        <w:rPr>
          <w:lang w:eastAsia="fr-CA"/>
        </w:rPr>
        <w:t>facility specific terms and any amendments to the standard terms or facility specific terms made from time to time.</w:t>
      </w:r>
    </w:p>
    <w:p w14:paraId="23B39B16" w14:textId="77777777" w:rsidR="00200CAD" w:rsidRDefault="00200CAD" w:rsidP="00CF72C1">
      <w:pPr>
        <w:pStyle w:val="BodyText"/>
      </w:pPr>
      <w:r>
        <w:br w:type="page"/>
      </w:r>
    </w:p>
    <w:p w14:paraId="3C51621A" w14:textId="77777777" w:rsidR="00307760" w:rsidRDefault="00307760" w:rsidP="00307760">
      <w:pPr>
        <w:pStyle w:val="Heading1"/>
      </w:pPr>
      <w:bookmarkStart w:id="74" w:name="_Toc530546468"/>
      <w:r>
        <w:lastRenderedPageBreak/>
        <w:t>Capacity trading platform</w:t>
      </w:r>
      <w:bookmarkEnd w:id="74"/>
    </w:p>
    <w:p w14:paraId="192D4163" w14:textId="77777777" w:rsidR="00307760" w:rsidRDefault="00307760" w:rsidP="00307760">
      <w:pPr>
        <w:pStyle w:val="BodyText"/>
        <w:rPr>
          <w:rFonts w:cs="Arial"/>
        </w:rPr>
      </w:pPr>
      <w:bookmarkStart w:id="75" w:name="_Toc508702030"/>
      <w:r>
        <w:t xml:space="preserve">The </w:t>
      </w:r>
      <w:r w:rsidR="00D01E4C">
        <w:t xml:space="preserve">capacity trading reform package provides for the development of a </w:t>
      </w:r>
      <w:r>
        <w:t xml:space="preserve">capacity trading platform </w:t>
      </w:r>
      <w:r w:rsidR="00D01E4C">
        <w:t xml:space="preserve">that can be used by </w:t>
      </w:r>
      <w:r>
        <w:t xml:space="preserve">shippers to </w:t>
      </w:r>
      <w:r>
        <w:rPr>
          <w:rFonts w:cs="Arial"/>
        </w:rPr>
        <w:t xml:space="preserve">trade any spare </w:t>
      </w:r>
      <w:r w:rsidR="001C0945">
        <w:rPr>
          <w:rFonts w:cs="Arial"/>
        </w:rPr>
        <w:t xml:space="preserve">transportation </w:t>
      </w:r>
      <w:r>
        <w:rPr>
          <w:rFonts w:cs="Arial"/>
        </w:rPr>
        <w:t>capacity they may have prior to the nomination cut-off time on gas day D-1</w:t>
      </w:r>
      <w:r w:rsidR="00D01E4C">
        <w:rPr>
          <w:rFonts w:cs="Arial"/>
        </w:rPr>
        <w:t>. Shippers will be able to use the capacity trading platform to trade capacity</w:t>
      </w:r>
      <w:r>
        <w:rPr>
          <w:rFonts w:cs="Arial"/>
        </w:rPr>
        <w:t xml:space="preserve"> using either: </w:t>
      </w:r>
    </w:p>
    <w:p w14:paraId="78322071" w14:textId="77777777" w:rsidR="00307760" w:rsidRDefault="00D01E4C" w:rsidP="00307760">
      <w:pPr>
        <w:pStyle w:val="ListBullet"/>
        <w:numPr>
          <w:ilvl w:val="0"/>
          <w:numId w:val="25"/>
        </w:numPr>
        <w:ind w:left="357" w:hanging="357"/>
      </w:pPr>
      <w:r>
        <w:rPr>
          <w:b/>
        </w:rPr>
        <w:t xml:space="preserve">the </w:t>
      </w:r>
      <w:r w:rsidR="00307760">
        <w:rPr>
          <w:b/>
        </w:rPr>
        <w:t xml:space="preserve">exchange, </w:t>
      </w:r>
      <w:r w:rsidR="00307760">
        <w:t xml:space="preserve">which will </w:t>
      </w:r>
      <w:r>
        <w:t xml:space="preserve">enable </w:t>
      </w:r>
      <w:r w:rsidR="00307760">
        <w:t xml:space="preserve">standardised transportation products </w:t>
      </w:r>
      <w:r>
        <w:t xml:space="preserve">to be traded </w:t>
      </w:r>
      <w:r w:rsidR="00307760">
        <w:t>through screen trading or the pre-matched trade service;</w:t>
      </w:r>
      <w:r w:rsidR="00307760">
        <w:rPr>
          <w:rStyle w:val="FootnoteReference"/>
        </w:rPr>
        <w:footnoteReference w:id="202"/>
      </w:r>
      <w:r w:rsidR="00307760">
        <w:t xml:space="preserve"> or </w:t>
      </w:r>
    </w:p>
    <w:p w14:paraId="36139912" w14:textId="77777777" w:rsidR="00307760" w:rsidRDefault="00307760" w:rsidP="00307760">
      <w:pPr>
        <w:pStyle w:val="ListBullet"/>
        <w:numPr>
          <w:ilvl w:val="0"/>
          <w:numId w:val="25"/>
        </w:numPr>
        <w:ind w:left="357" w:hanging="357"/>
      </w:pPr>
      <w:r>
        <w:rPr>
          <w:b/>
        </w:rPr>
        <w:t>the listing service</w:t>
      </w:r>
      <w:r>
        <w:t xml:space="preserve">, which will be </w:t>
      </w:r>
      <w:r w:rsidR="00D01E4C">
        <w:t xml:space="preserve">enable </w:t>
      </w:r>
      <w:r>
        <w:t xml:space="preserve">more bespoke transportation products </w:t>
      </w:r>
      <w:r w:rsidR="00D01E4C">
        <w:t xml:space="preserve">(including imbalances) to be listed and traded </w:t>
      </w:r>
      <w:r>
        <w:t>bilateral</w:t>
      </w:r>
      <w:r w:rsidR="00D01E4C">
        <w:t>ly (i.e. off-market trades)</w:t>
      </w:r>
      <w:r>
        <w:t xml:space="preserve">. </w:t>
      </w:r>
    </w:p>
    <w:p w14:paraId="28E4117F" w14:textId="77777777" w:rsidR="00D01E4C" w:rsidRDefault="00307760" w:rsidP="00307760">
      <w:pPr>
        <w:pStyle w:val="BodyText"/>
      </w:pPr>
      <w:r>
        <w:t>The c</w:t>
      </w:r>
      <w:r w:rsidRPr="00067F90">
        <w:t>apacity trading platform will be operated and administered by AEMO and form part of the GSH</w:t>
      </w:r>
      <w:r w:rsidR="00D01E4C">
        <w:t>.</w:t>
      </w:r>
    </w:p>
    <w:p w14:paraId="507FF354" w14:textId="77777777" w:rsidR="00307760" w:rsidRDefault="00D01E4C" w:rsidP="00307760">
      <w:pPr>
        <w:pStyle w:val="BodyText"/>
      </w:pPr>
      <w:r>
        <w:t xml:space="preserve">The capacity trading platform </w:t>
      </w:r>
      <w:r w:rsidR="00307760" w:rsidRPr="00067F90">
        <w:t xml:space="preserve">is intended to </w:t>
      </w:r>
      <w:r w:rsidR="00307760">
        <w:t>facilitate a greater level of capacity trading by:</w:t>
      </w:r>
    </w:p>
    <w:p w14:paraId="57A6AE36" w14:textId="77777777" w:rsidR="00307760" w:rsidRPr="00CC6268" w:rsidRDefault="00307760" w:rsidP="00307760">
      <w:pPr>
        <w:pStyle w:val="ListBullet"/>
      </w:pPr>
      <w:r w:rsidRPr="00CC6268">
        <w:t>making capacity products more fungible through the standardisation of exchange traded services;</w:t>
      </w:r>
    </w:p>
    <w:p w14:paraId="30763F82" w14:textId="77777777" w:rsidR="00307760" w:rsidRPr="00CC6268" w:rsidRDefault="00307760" w:rsidP="00307760">
      <w:pPr>
        <w:pStyle w:val="ListBullet"/>
      </w:pPr>
      <w:r w:rsidRPr="00CC6268">
        <w:t xml:space="preserve">incorporating the trading platform into the GSH, which is easy to use, enables quick and effective execution of trades, provides certainty of outcomes, effectively manages financial and delivery default risks and provides for the aggregation of prudential requirements across products; </w:t>
      </w:r>
    </w:p>
    <w:p w14:paraId="436F3BAA" w14:textId="77777777" w:rsidR="00307760" w:rsidRPr="00CC6268" w:rsidRDefault="00307760" w:rsidP="00307760">
      <w:pPr>
        <w:pStyle w:val="ListBullet"/>
      </w:pPr>
      <w:r w:rsidRPr="00CC6268">
        <w:t xml:space="preserve">allowing </w:t>
      </w:r>
      <w:r w:rsidRPr="00CC6268">
        <w:rPr>
          <w:rFonts w:eastAsiaTheme="majorEastAsia"/>
        </w:rPr>
        <w:t>shippers to readily co-ordinate trades across transportation facilities and to procure gas and other gas services</w:t>
      </w:r>
      <w:r w:rsidRPr="00CC6268">
        <w:t xml:space="preserve"> through a single </w:t>
      </w:r>
      <w:r w:rsidR="00D01E4C">
        <w:t xml:space="preserve">trading </w:t>
      </w:r>
      <w:r w:rsidRPr="00CC6268">
        <w:t>platform;</w:t>
      </w:r>
    </w:p>
    <w:p w14:paraId="1D50AFA4" w14:textId="77777777" w:rsidR="00307760" w:rsidRPr="00CC6268" w:rsidRDefault="00307760" w:rsidP="00307760">
      <w:pPr>
        <w:pStyle w:val="ListBullet"/>
      </w:pPr>
      <w:r w:rsidRPr="00CC6268">
        <w:t xml:space="preserve">using the zonal model </w:t>
      </w:r>
      <w:r>
        <w:t>(</w:t>
      </w:r>
      <w:r w:rsidRPr="00CC6268">
        <w:t>with secondary firm rights at individual service points</w:t>
      </w:r>
      <w:r>
        <w:t>)</w:t>
      </w:r>
      <w:r w:rsidRPr="00CC6268">
        <w:t xml:space="preserve"> to facilitate competition for the provision and use of secondary capacity; </w:t>
      </w:r>
    </w:p>
    <w:p w14:paraId="3B6EF9F9" w14:textId="77777777" w:rsidR="00307760" w:rsidRDefault="00307760" w:rsidP="00307760">
      <w:pPr>
        <w:pStyle w:val="ListBullet"/>
      </w:pPr>
      <w:r w:rsidRPr="00CC6268">
        <w:t xml:space="preserve">reducing </w:t>
      </w:r>
      <w:r>
        <w:t xml:space="preserve">the </w:t>
      </w:r>
      <w:r w:rsidRPr="00CC6268">
        <w:t xml:space="preserve">search and transaction costs </w:t>
      </w:r>
      <w:r>
        <w:t xml:space="preserve">associated with procuring secondary capacity </w:t>
      </w:r>
      <w:r w:rsidRPr="00CC6268">
        <w:t>and aiding the price discovery process</w:t>
      </w:r>
      <w:r>
        <w:t>; and</w:t>
      </w:r>
      <w:r w:rsidRPr="00CC6268">
        <w:t xml:space="preserve"> </w:t>
      </w:r>
    </w:p>
    <w:p w14:paraId="2B78A5AB" w14:textId="77777777" w:rsidR="00307760" w:rsidRPr="00151B67" w:rsidRDefault="00307760" w:rsidP="00307760">
      <w:pPr>
        <w:pStyle w:val="ListBullet"/>
      </w:pPr>
      <w:r w:rsidRPr="00151B67">
        <w:rPr>
          <w:rFonts w:eastAsiaTheme="majorEastAsia"/>
        </w:rPr>
        <w:t xml:space="preserve">instilling confidence in the secondary market through the use of robust delivery, settlement, credit, curtailment and other risk management processes and governance arrangements. </w:t>
      </w:r>
    </w:p>
    <w:p w14:paraId="4E784D4A" w14:textId="77777777" w:rsidR="00307760" w:rsidRDefault="00307760" w:rsidP="00307760">
      <w:pPr>
        <w:pStyle w:val="BodyText"/>
        <w:spacing w:line="252" w:lineRule="auto"/>
      </w:pPr>
      <w:r>
        <w:rPr>
          <w:rFonts w:asciiTheme="majorHAnsi" w:hAnsiTheme="majorHAnsi" w:cstheme="majorHAnsi"/>
        </w:rPr>
        <w:t>Further detail on capacity trading platform is provided below, along with an overview of the changes that have been made to the NGL, NGR and Regulations to give effect to this element of the reform package.</w:t>
      </w:r>
    </w:p>
    <w:p w14:paraId="7839E440" w14:textId="77777777" w:rsidR="00307760" w:rsidRPr="00086528" w:rsidRDefault="00307760" w:rsidP="00307760">
      <w:pPr>
        <w:pStyle w:val="Heading2"/>
        <w:spacing w:before="120" w:after="120" w:line="252" w:lineRule="auto"/>
      </w:pPr>
      <w:bookmarkStart w:id="76" w:name="_Toc530546469"/>
      <w:r>
        <w:t>Overview of the capacity trading platform</w:t>
      </w:r>
      <w:bookmarkEnd w:id="76"/>
    </w:p>
    <w:bookmarkEnd w:id="75"/>
    <w:p w14:paraId="5FF65951" w14:textId="0472E094" w:rsidR="007C3329" w:rsidRPr="003811E0" w:rsidRDefault="00307760" w:rsidP="00A63967">
      <w:pPr>
        <w:pStyle w:val="BodyText"/>
        <w:rPr>
          <w:lang w:val="en-US"/>
        </w:rPr>
      </w:pPr>
      <w:r>
        <w:fldChar w:fldCharType="begin"/>
      </w:r>
      <w:r>
        <w:instrText xml:space="preserve"> REF _Ref508823283 \h </w:instrText>
      </w:r>
      <w:r>
        <w:fldChar w:fldCharType="separate"/>
      </w:r>
      <w:r w:rsidR="0026074F">
        <w:t xml:space="preserve">Table </w:t>
      </w:r>
      <w:r w:rsidR="0026074F">
        <w:rPr>
          <w:noProof/>
        </w:rPr>
        <w:t>6</w:t>
      </w:r>
      <w:r w:rsidR="0026074F">
        <w:t>.</w:t>
      </w:r>
      <w:r w:rsidR="0026074F">
        <w:rPr>
          <w:noProof/>
        </w:rPr>
        <w:t>1</w:t>
      </w:r>
      <w:r>
        <w:fldChar w:fldCharType="end"/>
      </w:r>
      <w:r>
        <w:t xml:space="preserve"> contains a summary of the final design of the capacity trading platform.  </w:t>
      </w:r>
      <w:r w:rsidR="00D01E4C">
        <w:t xml:space="preserve">This table should be read in conjunction with GMRG’s final recommendations on the design of </w:t>
      </w:r>
      <w:r w:rsidR="00D01E4C" w:rsidRPr="00590352">
        <w:t xml:space="preserve">the capacity trading </w:t>
      </w:r>
      <w:r w:rsidR="00CA4147" w:rsidRPr="00590352">
        <w:t>platform</w:t>
      </w:r>
      <w:r w:rsidR="00D01E4C" w:rsidRPr="00590352">
        <w:t xml:space="preserve">, which </w:t>
      </w:r>
      <w:r w:rsidR="00CA4147" w:rsidRPr="00590352">
        <w:t xml:space="preserve">were </w:t>
      </w:r>
      <w:r w:rsidR="00D01E4C" w:rsidRPr="00590352">
        <w:t>provide</w:t>
      </w:r>
      <w:r w:rsidR="00CA4147" w:rsidRPr="00590352">
        <w:t>d to the Energy Council in November 2017</w:t>
      </w:r>
      <w:r w:rsidR="00D01E4C" w:rsidRPr="00590352">
        <w:t>.</w:t>
      </w:r>
      <w:r w:rsidR="00D01E4C" w:rsidRPr="00590352">
        <w:rPr>
          <w:rStyle w:val="FootnoteReference"/>
        </w:rPr>
        <w:footnoteReference w:id="203"/>
      </w:r>
      <w:r w:rsidR="00D01E4C" w:rsidRPr="00590352">
        <w:t xml:space="preserve"> </w:t>
      </w:r>
    </w:p>
    <w:p w14:paraId="08CD7230" w14:textId="77777777" w:rsidR="00307760" w:rsidRDefault="00307760" w:rsidP="00307760">
      <w:pPr>
        <w:pStyle w:val="BodyText"/>
      </w:pPr>
    </w:p>
    <w:p w14:paraId="4CA25548" w14:textId="77777777" w:rsidR="00307760" w:rsidRDefault="00307760" w:rsidP="00307760">
      <w:pPr>
        <w:pStyle w:val="BodyText"/>
        <w:sectPr w:rsidR="00307760" w:rsidSect="001250A3">
          <w:pgSz w:w="11907" w:h="16840" w:code="9"/>
          <w:pgMar w:top="1701" w:right="1418" w:bottom="851" w:left="1701" w:header="425" w:footer="397" w:gutter="0"/>
          <w:cols w:space="708"/>
          <w:docGrid w:linePitch="360"/>
        </w:sectPr>
      </w:pPr>
    </w:p>
    <w:p w14:paraId="0AAE8DB1" w14:textId="534A3933" w:rsidR="00307760" w:rsidRDefault="00307760" w:rsidP="00307760">
      <w:pPr>
        <w:pStyle w:val="Caption"/>
        <w:spacing w:before="0" w:after="0"/>
      </w:pPr>
      <w:bookmarkStart w:id="77" w:name="_Ref508823283"/>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6</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bookmarkEnd w:id="77"/>
      <w:r>
        <w:t>: Final design of the capacity trading platform</w:t>
      </w:r>
    </w:p>
    <w:tbl>
      <w:tblPr>
        <w:tblStyle w:val="TableGrid"/>
        <w:tblW w:w="5000" w:type="pct"/>
        <w:tblLook w:val="04A0" w:firstRow="1" w:lastRow="0" w:firstColumn="1" w:lastColumn="0" w:noHBand="0" w:noVBand="1"/>
        <w:tblCaption w:val="Table B.2"/>
        <w:tblDescription w:val="Summary of the GMRG’s final recommendations on the capacity trading platform "/>
      </w:tblPr>
      <w:tblGrid>
        <w:gridCol w:w="1559"/>
        <w:gridCol w:w="12161"/>
      </w:tblGrid>
      <w:tr w:rsidR="00307760" w:rsidRPr="00C37D44" w14:paraId="743E6419" w14:textId="77777777" w:rsidTr="00307760">
        <w:trPr>
          <w:cnfStyle w:val="100000000000" w:firstRow="1" w:lastRow="0" w:firstColumn="0" w:lastColumn="0" w:oddVBand="0" w:evenVBand="0" w:oddHBand="0" w:evenHBand="0" w:firstRowFirstColumn="0" w:firstRowLastColumn="0" w:lastRowFirstColumn="0" w:lastRowLastColumn="0"/>
          <w:tblHeader/>
        </w:trPr>
        <w:tc>
          <w:tcPr>
            <w:tcW w:w="1560" w:type="dxa"/>
            <w:tcBorders>
              <w:top w:val="single" w:sz="4" w:space="0" w:color="auto"/>
              <w:left w:val="nil"/>
              <w:bottom w:val="single" w:sz="4" w:space="0" w:color="auto"/>
              <w:right w:val="single" w:sz="4" w:space="0" w:color="auto"/>
            </w:tcBorders>
            <w:shd w:val="clear" w:color="auto" w:fill="0099CC"/>
            <w:hideMark/>
          </w:tcPr>
          <w:p w14:paraId="657E6D4E" w14:textId="77777777" w:rsidR="00307760" w:rsidRPr="00D30678" w:rsidRDefault="00307760" w:rsidP="00307760">
            <w:pPr>
              <w:pStyle w:val="BodyText"/>
              <w:spacing w:before="60" w:after="60"/>
              <w:rPr>
                <w:rFonts w:asciiTheme="majorHAnsi" w:hAnsiTheme="majorHAnsi" w:cstheme="majorHAnsi"/>
                <w:b w:val="0"/>
                <w:color w:val="FFFFFF" w:themeColor="background1"/>
                <w:szCs w:val="18"/>
              </w:rPr>
            </w:pPr>
            <w:r w:rsidRPr="00D30678">
              <w:rPr>
                <w:rFonts w:asciiTheme="majorHAnsi" w:hAnsiTheme="majorHAnsi" w:cstheme="majorHAnsi"/>
                <w:color w:val="FFFFFF" w:themeColor="background1"/>
                <w:szCs w:val="18"/>
              </w:rPr>
              <w:t>Design Element</w:t>
            </w:r>
          </w:p>
        </w:tc>
        <w:tc>
          <w:tcPr>
            <w:tcW w:w="12190" w:type="dxa"/>
            <w:tcBorders>
              <w:top w:val="single" w:sz="4" w:space="0" w:color="auto"/>
              <w:left w:val="single" w:sz="4" w:space="0" w:color="auto"/>
              <w:bottom w:val="single" w:sz="4" w:space="0" w:color="auto"/>
              <w:right w:val="nil"/>
            </w:tcBorders>
            <w:shd w:val="clear" w:color="auto" w:fill="0099CC"/>
            <w:hideMark/>
          </w:tcPr>
          <w:p w14:paraId="3E343768" w14:textId="77777777" w:rsidR="00307760" w:rsidRPr="00F04A8E" w:rsidRDefault="00307760" w:rsidP="00307760">
            <w:pPr>
              <w:pStyle w:val="BodyText"/>
              <w:spacing w:before="60" w:after="60"/>
              <w:rPr>
                <w:rFonts w:asciiTheme="majorHAnsi" w:hAnsiTheme="majorHAnsi" w:cstheme="majorHAnsi"/>
                <w:b w:val="0"/>
                <w:color w:val="FFFFFF" w:themeColor="background1"/>
                <w:szCs w:val="18"/>
              </w:rPr>
            </w:pPr>
            <w:r w:rsidRPr="00F04A8E">
              <w:rPr>
                <w:rFonts w:asciiTheme="majorHAnsi" w:hAnsiTheme="majorHAnsi" w:cstheme="majorHAnsi"/>
                <w:color w:val="FFFFFF" w:themeColor="background1"/>
                <w:szCs w:val="18"/>
              </w:rPr>
              <w:t>Detail</w:t>
            </w:r>
          </w:p>
        </w:tc>
      </w:tr>
      <w:tr w:rsidR="00307760" w:rsidRPr="00C37D44" w14:paraId="5D2C8C4B" w14:textId="77777777" w:rsidTr="006D1895">
        <w:tc>
          <w:tcPr>
            <w:tcW w:w="1560" w:type="dxa"/>
            <w:tcBorders>
              <w:top w:val="single" w:sz="4" w:space="0" w:color="auto"/>
              <w:left w:val="nil"/>
              <w:bottom w:val="single" w:sz="4" w:space="0" w:color="auto"/>
              <w:right w:val="single" w:sz="4" w:space="0" w:color="auto"/>
            </w:tcBorders>
            <w:shd w:val="clear" w:color="auto" w:fill="FFFFFF" w:themeFill="background1"/>
          </w:tcPr>
          <w:p w14:paraId="189312B0" w14:textId="77777777" w:rsidR="00307760" w:rsidRPr="004460A8" w:rsidRDefault="00307760" w:rsidP="00A63967">
            <w:pPr>
              <w:pStyle w:val="TableBodyText"/>
              <w:keepNext/>
              <w:spacing w:before="20" w:after="20"/>
              <w:rPr>
                <w:rFonts w:asciiTheme="majorHAnsi" w:hAnsiTheme="majorHAnsi" w:cstheme="majorHAnsi"/>
                <w:b/>
                <w:szCs w:val="18"/>
              </w:rPr>
            </w:pPr>
            <w:r w:rsidRPr="004460A8">
              <w:rPr>
                <w:rFonts w:asciiTheme="majorHAnsi" w:hAnsiTheme="majorHAnsi" w:cstheme="majorHAnsi"/>
                <w:b/>
                <w:szCs w:val="18"/>
              </w:rPr>
              <w:t>Start date for trade on the capacity trading platform</w:t>
            </w:r>
            <w:r>
              <w:rPr>
                <w:rFonts w:asciiTheme="majorHAnsi" w:hAnsiTheme="majorHAnsi" w:cstheme="majorHAnsi"/>
                <w:b/>
                <w:szCs w:val="18"/>
              </w:rPr>
              <w:t xml:space="preserve"> </w:t>
            </w:r>
          </w:p>
        </w:tc>
        <w:tc>
          <w:tcPr>
            <w:tcW w:w="12190" w:type="dxa"/>
            <w:tcBorders>
              <w:top w:val="single" w:sz="4" w:space="0" w:color="auto"/>
              <w:left w:val="single" w:sz="4" w:space="0" w:color="auto"/>
              <w:bottom w:val="single" w:sz="4" w:space="0" w:color="auto"/>
              <w:right w:val="nil"/>
            </w:tcBorders>
            <w:shd w:val="clear" w:color="auto" w:fill="FFFFFF" w:themeFill="background1"/>
          </w:tcPr>
          <w:p w14:paraId="5D40AA4D" w14:textId="77777777" w:rsidR="00307760" w:rsidRPr="004460A8" w:rsidRDefault="00307760" w:rsidP="00A63967">
            <w:pPr>
              <w:pStyle w:val="TableBullet1"/>
              <w:numPr>
                <w:ilvl w:val="0"/>
                <w:numId w:val="0"/>
              </w:numPr>
              <w:tabs>
                <w:tab w:val="left" w:pos="720"/>
              </w:tabs>
              <w:spacing w:before="20" w:after="20"/>
              <w:ind w:left="85"/>
              <w:rPr>
                <w:rFonts w:asciiTheme="majorHAnsi" w:hAnsiTheme="majorHAnsi" w:cstheme="majorHAnsi"/>
              </w:rPr>
            </w:pPr>
            <w:r w:rsidRPr="004460A8">
              <w:rPr>
                <w:rFonts w:asciiTheme="majorHAnsi" w:hAnsiTheme="majorHAnsi" w:cstheme="majorHAnsi"/>
                <w:color w:val="000000"/>
              </w:rPr>
              <w:t xml:space="preserve">The obligation </w:t>
            </w:r>
            <w:r w:rsidR="00AE3FA3">
              <w:rPr>
                <w:rFonts w:asciiTheme="majorHAnsi" w:hAnsiTheme="majorHAnsi" w:cstheme="majorHAnsi"/>
                <w:color w:val="000000"/>
              </w:rPr>
              <w:t xml:space="preserve">for </w:t>
            </w:r>
            <w:r w:rsidR="00F15E3F">
              <w:rPr>
                <w:rFonts w:asciiTheme="majorHAnsi" w:hAnsiTheme="majorHAnsi" w:cstheme="majorHAnsi"/>
                <w:color w:val="000000"/>
              </w:rPr>
              <w:t xml:space="preserve">Part 24 </w:t>
            </w:r>
            <w:r w:rsidR="00AE3FA3">
              <w:rPr>
                <w:rFonts w:asciiTheme="majorHAnsi" w:hAnsiTheme="majorHAnsi" w:cstheme="majorHAnsi"/>
                <w:color w:val="000000"/>
              </w:rPr>
              <w:t>facilit</w:t>
            </w:r>
            <w:r w:rsidR="006E27CF">
              <w:rPr>
                <w:rFonts w:asciiTheme="majorHAnsi" w:hAnsiTheme="majorHAnsi" w:cstheme="majorHAnsi"/>
                <w:color w:val="000000"/>
              </w:rPr>
              <w:t>ies</w:t>
            </w:r>
            <w:r w:rsidR="00AE3FA3">
              <w:rPr>
                <w:rFonts w:asciiTheme="majorHAnsi" w:hAnsiTheme="majorHAnsi" w:cstheme="majorHAnsi"/>
                <w:color w:val="000000"/>
              </w:rPr>
              <w:t xml:space="preserve"> </w:t>
            </w:r>
            <w:r w:rsidRPr="004460A8">
              <w:rPr>
                <w:rFonts w:asciiTheme="majorHAnsi" w:hAnsiTheme="majorHAnsi" w:cstheme="majorHAnsi"/>
                <w:color w:val="000000"/>
              </w:rPr>
              <w:t>to give effect to t</w:t>
            </w:r>
            <w:r w:rsidRPr="004460A8">
              <w:rPr>
                <w:rFonts w:asciiTheme="majorHAnsi" w:hAnsiTheme="majorHAnsi" w:cstheme="majorHAnsi"/>
              </w:rPr>
              <w:t>rade</w:t>
            </w:r>
            <w:r w:rsidRPr="004460A8">
              <w:rPr>
                <w:rFonts w:asciiTheme="majorHAnsi" w:hAnsiTheme="majorHAnsi" w:cstheme="majorHAnsi"/>
                <w:color w:val="000000"/>
              </w:rPr>
              <w:t xml:space="preserve">s </w:t>
            </w:r>
            <w:r w:rsidR="00AE3FA3">
              <w:rPr>
                <w:rFonts w:asciiTheme="majorHAnsi" w:hAnsiTheme="majorHAnsi" w:cstheme="majorHAnsi"/>
                <w:color w:val="000000"/>
              </w:rPr>
              <w:t>conducted</w:t>
            </w:r>
            <w:r w:rsidRPr="004460A8">
              <w:rPr>
                <w:rFonts w:asciiTheme="majorHAnsi" w:hAnsiTheme="majorHAnsi" w:cstheme="majorHAnsi"/>
              </w:rPr>
              <w:t xml:space="preserve"> through capacity trading platform will commence on 1 March 2019 (or if the rules are made after 1</w:t>
            </w:r>
            <w:r>
              <w:rPr>
                <w:rFonts w:asciiTheme="majorHAnsi" w:hAnsiTheme="majorHAnsi" w:cstheme="majorHAnsi"/>
              </w:rPr>
              <w:t> </w:t>
            </w:r>
            <w:r w:rsidRPr="004460A8">
              <w:rPr>
                <w:rFonts w:asciiTheme="majorHAnsi" w:hAnsiTheme="majorHAnsi" w:cstheme="majorHAnsi"/>
              </w:rPr>
              <w:t>December 2018, then trade will commence 60 business days after the rules are made).</w:t>
            </w:r>
            <w:r w:rsidR="002570FE">
              <w:rPr>
                <w:rStyle w:val="FootnoteReference"/>
                <w:rFonts w:asciiTheme="majorHAnsi" w:hAnsiTheme="majorHAnsi" w:cstheme="majorHAnsi"/>
              </w:rPr>
              <w:footnoteReference w:id="204"/>
            </w:r>
            <w:r w:rsidR="002570FE">
              <w:rPr>
                <w:rStyle w:val="FootnoteReference"/>
              </w:rPr>
              <w:t>,</w:t>
            </w:r>
            <w:r w:rsidR="002570FE">
              <w:rPr>
                <w:rStyle w:val="FootnoteReference"/>
                <w:rFonts w:asciiTheme="majorHAnsi" w:hAnsiTheme="majorHAnsi" w:cstheme="majorHAnsi"/>
              </w:rPr>
              <w:footnoteReference w:id="205"/>
            </w:r>
            <w:r w:rsidRPr="004460A8">
              <w:rPr>
                <w:rFonts w:asciiTheme="majorHAnsi" w:hAnsiTheme="majorHAnsi" w:cstheme="majorHAnsi"/>
              </w:rPr>
              <w:t xml:space="preserve"> </w:t>
            </w:r>
          </w:p>
          <w:p w14:paraId="14D226F0" w14:textId="77777777" w:rsidR="00307760" w:rsidRPr="004460A8" w:rsidRDefault="00307760" w:rsidP="0071681D">
            <w:pPr>
              <w:pStyle w:val="TableBullet1"/>
              <w:numPr>
                <w:ilvl w:val="0"/>
                <w:numId w:val="0"/>
              </w:numPr>
              <w:spacing w:before="20" w:after="20"/>
              <w:ind w:left="85"/>
              <w:rPr>
                <w:rFonts w:asciiTheme="majorHAnsi" w:hAnsiTheme="majorHAnsi" w:cstheme="majorHAnsi"/>
                <w:szCs w:val="18"/>
              </w:rPr>
            </w:pPr>
            <w:r w:rsidRPr="004460A8">
              <w:rPr>
                <w:rFonts w:asciiTheme="majorHAnsi" w:hAnsiTheme="majorHAnsi" w:cstheme="majorHAnsi"/>
                <w:szCs w:val="18"/>
              </w:rPr>
              <w:t xml:space="preserve">If a transportation facility later becomes </w:t>
            </w:r>
            <w:r w:rsidR="00F15E3F">
              <w:rPr>
                <w:rFonts w:asciiTheme="majorHAnsi" w:hAnsiTheme="majorHAnsi" w:cstheme="majorHAnsi"/>
                <w:szCs w:val="18"/>
              </w:rPr>
              <w:t xml:space="preserve">a Part 24 facility </w:t>
            </w:r>
            <w:r w:rsidRPr="004460A8">
              <w:rPr>
                <w:rFonts w:asciiTheme="majorHAnsi" w:hAnsiTheme="majorHAnsi" w:cstheme="majorHAnsi"/>
                <w:szCs w:val="18"/>
              </w:rPr>
              <w:t xml:space="preserve">(e.g. because it is commissioned after the trading platform commences or its exemption is revoked), the </w:t>
            </w:r>
            <w:r w:rsidR="00DA16AB" w:rsidRPr="00DA16AB">
              <w:rPr>
                <w:szCs w:val="18"/>
              </w:rPr>
              <w:t xml:space="preserve">transportation </w:t>
            </w:r>
            <w:r w:rsidRPr="004460A8">
              <w:rPr>
                <w:rFonts w:asciiTheme="majorHAnsi" w:hAnsiTheme="majorHAnsi" w:cstheme="majorHAnsi"/>
                <w:szCs w:val="18"/>
              </w:rPr>
              <w:t>service provider’s obligation to give effect to trades carried out through the capacity trading platform will commence 120 business days after the date on which the facility becomes subject to the reforms</w:t>
            </w:r>
            <w:r w:rsidR="002570FE">
              <w:rPr>
                <w:rStyle w:val="FootnoteReference"/>
                <w:rFonts w:asciiTheme="majorHAnsi" w:hAnsiTheme="majorHAnsi" w:cstheme="majorHAnsi"/>
              </w:rPr>
              <w:footnoteReference w:id="206"/>
            </w:r>
            <w:r w:rsidR="002570FE">
              <w:rPr>
                <w:rFonts w:asciiTheme="majorHAnsi" w:hAnsiTheme="majorHAnsi" w:cstheme="majorHAnsi"/>
                <w:szCs w:val="18"/>
              </w:rPr>
              <w:t xml:space="preserve"> (see Chapter 10 for more detail)</w:t>
            </w:r>
            <w:r w:rsidRPr="004460A8">
              <w:rPr>
                <w:rFonts w:asciiTheme="majorHAnsi" w:hAnsiTheme="majorHAnsi" w:cstheme="majorHAnsi"/>
                <w:szCs w:val="18"/>
              </w:rPr>
              <w:t>.</w:t>
            </w:r>
          </w:p>
        </w:tc>
      </w:tr>
      <w:tr w:rsidR="00307760" w:rsidRPr="00C37D44" w14:paraId="503B743E" w14:textId="77777777" w:rsidTr="006D1895">
        <w:trPr>
          <w:cnfStyle w:val="000000010000" w:firstRow="0" w:lastRow="0" w:firstColumn="0" w:lastColumn="0" w:oddVBand="0" w:evenVBand="0" w:oddHBand="0" w:evenHBand="1" w:firstRowFirstColumn="0" w:firstRowLastColumn="0" w:lastRowFirstColumn="0" w:lastRowLastColumn="0"/>
        </w:trPr>
        <w:tc>
          <w:tcPr>
            <w:tcW w:w="1560" w:type="dxa"/>
            <w:tcBorders>
              <w:top w:val="single" w:sz="4" w:space="0" w:color="auto"/>
              <w:left w:val="nil"/>
              <w:bottom w:val="single" w:sz="4" w:space="0" w:color="auto"/>
              <w:right w:val="single" w:sz="4" w:space="0" w:color="auto"/>
            </w:tcBorders>
            <w:hideMark/>
          </w:tcPr>
          <w:p w14:paraId="110F018D" w14:textId="77777777" w:rsidR="00307760" w:rsidRPr="00C37D44" w:rsidRDefault="00307760" w:rsidP="00A63967">
            <w:pPr>
              <w:pStyle w:val="TableBodyText"/>
              <w:keepNext/>
              <w:spacing w:before="20" w:after="20"/>
              <w:rPr>
                <w:rFonts w:asciiTheme="majorHAnsi" w:hAnsiTheme="majorHAnsi" w:cstheme="majorHAnsi"/>
                <w:b/>
                <w:szCs w:val="18"/>
              </w:rPr>
            </w:pPr>
            <w:r w:rsidRPr="00D30678">
              <w:rPr>
                <w:rFonts w:asciiTheme="majorHAnsi" w:hAnsiTheme="majorHAnsi" w:cstheme="majorHAnsi"/>
                <w:b/>
                <w:szCs w:val="18"/>
              </w:rPr>
              <w:t xml:space="preserve">Operation of the </w:t>
            </w:r>
            <w:r w:rsidRPr="00F04A8E">
              <w:rPr>
                <w:rFonts w:asciiTheme="majorHAnsi" w:hAnsiTheme="majorHAnsi" w:cstheme="majorHAnsi"/>
                <w:b/>
                <w:szCs w:val="18"/>
              </w:rPr>
              <w:t>capacity trading platform</w:t>
            </w:r>
          </w:p>
        </w:tc>
        <w:tc>
          <w:tcPr>
            <w:tcW w:w="12190" w:type="dxa"/>
            <w:tcBorders>
              <w:top w:val="single" w:sz="4" w:space="0" w:color="auto"/>
              <w:left w:val="single" w:sz="4" w:space="0" w:color="auto"/>
              <w:bottom w:val="single" w:sz="4" w:space="0" w:color="auto"/>
              <w:right w:val="nil"/>
            </w:tcBorders>
            <w:hideMark/>
          </w:tcPr>
          <w:p w14:paraId="07BB2BB5" w14:textId="77777777" w:rsidR="00307760" w:rsidRPr="00C37D44" w:rsidRDefault="00307760" w:rsidP="00A63967">
            <w:pPr>
              <w:pStyle w:val="TableBodyText"/>
              <w:keepNext/>
              <w:spacing w:before="20" w:after="20"/>
              <w:rPr>
                <w:rFonts w:asciiTheme="majorHAnsi" w:hAnsiTheme="majorHAnsi" w:cstheme="majorHAnsi"/>
                <w:szCs w:val="18"/>
                <w:lang w:eastAsia="fr-CA"/>
              </w:rPr>
            </w:pPr>
            <w:r w:rsidRPr="00C37D44">
              <w:rPr>
                <w:rFonts w:asciiTheme="majorHAnsi" w:hAnsiTheme="majorHAnsi" w:cstheme="majorHAnsi"/>
                <w:szCs w:val="18"/>
              </w:rPr>
              <w:t>The capacity trading platform will be operated by AEMO and form part of the GSH. The capacity trading platform will provide for both:</w:t>
            </w:r>
          </w:p>
          <w:p w14:paraId="32887C0C" w14:textId="77777777" w:rsidR="00307760" w:rsidRPr="00C37D44" w:rsidRDefault="00307760" w:rsidP="00A63967">
            <w:pPr>
              <w:pStyle w:val="TableBullet1"/>
              <w:keepNext/>
              <w:numPr>
                <w:ilvl w:val="0"/>
                <w:numId w:val="27"/>
              </w:numPr>
              <w:spacing w:before="20" w:after="20"/>
              <w:rPr>
                <w:rFonts w:asciiTheme="majorHAnsi" w:hAnsiTheme="majorHAnsi" w:cstheme="majorHAnsi"/>
                <w:szCs w:val="18"/>
              </w:rPr>
            </w:pPr>
            <w:r w:rsidRPr="00C37D44">
              <w:rPr>
                <w:rFonts w:asciiTheme="majorHAnsi" w:hAnsiTheme="majorHAnsi" w:cstheme="majorHAnsi"/>
                <w:b/>
                <w:szCs w:val="18"/>
              </w:rPr>
              <w:t>Exchange-based trading</w:t>
            </w:r>
            <w:r w:rsidRPr="00C37D44">
              <w:rPr>
                <w:rFonts w:asciiTheme="majorHAnsi" w:hAnsiTheme="majorHAnsi" w:cstheme="majorHAnsi"/>
                <w:szCs w:val="18"/>
              </w:rPr>
              <w:t xml:space="preserve"> of commonly traded transportation (pipeline and compression) products</w:t>
            </w:r>
            <w:r w:rsidR="006E27CF">
              <w:rPr>
                <w:rFonts w:asciiTheme="majorHAnsi" w:hAnsiTheme="majorHAnsi" w:cstheme="majorHAnsi"/>
                <w:szCs w:val="18"/>
              </w:rPr>
              <w:t xml:space="preserve"> on Part 24 facilities</w:t>
            </w:r>
            <w:r w:rsidRPr="00C37D44">
              <w:rPr>
                <w:rFonts w:asciiTheme="majorHAnsi" w:hAnsiTheme="majorHAnsi" w:cstheme="majorHAnsi"/>
                <w:szCs w:val="18"/>
              </w:rPr>
              <w:t>, which can be conducted through either:</w:t>
            </w:r>
          </w:p>
          <w:p w14:paraId="390BA22A" w14:textId="77777777" w:rsidR="00307760" w:rsidRPr="00C37D44" w:rsidRDefault="00307760" w:rsidP="00A63967">
            <w:pPr>
              <w:pStyle w:val="TableBullet2"/>
              <w:keepNext/>
              <w:numPr>
                <w:ilvl w:val="1"/>
                <w:numId w:val="27"/>
              </w:numPr>
              <w:spacing w:before="20" w:after="20"/>
              <w:rPr>
                <w:rFonts w:asciiTheme="majorHAnsi" w:hAnsiTheme="majorHAnsi" w:cstheme="majorHAnsi"/>
                <w:szCs w:val="18"/>
              </w:rPr>
            </w:pPr>
            <w:r w:rsidRPr="00C37D44">
              <w:rPr>
                <w:rFonts w:asciiTheme="majorHAnsi" w:hAnsiTheme="majorHAnsi" w:cstheme="majorHAnsi"/>
                <w:szCs w:val="18"/>
              </w:rPr>
              <w:t xml:space="preserve">the screen trade service, which allows anonymous bids or offers to be placed on standardised products that are automatically matched; or </w:t>
            </w:r>
          </w:p>
          <w:p w14:paraId="0E58FBE1" w14:textId="77777777" w:rsidR="00307760" w:rsidRPr="00C37D44" w:rsidRDefault="00307760" w:rsidP="00A63967">
            <w:pPr>
              <w:pStyle w:val="TableBullet2"/>
              <w:keepNext/>
              <w:numPr>
                <w:ilvl w:val="1"/>
                <w:numId w:val="27"/>
              </w:numPr>
              <w:spacing w:before="20" w:after="20"/>
              <w:rPr>
                <w:rFonts w:asciiTheme="majorHAnsi" w:hAnsiTheme="majorHAnsi" w:cstheme="majorHAnsi"/>
                <w:szCs w:val="18"/>
              </w:rPr>
            </w:pPr>
            <w:r w:rsidRPr="00C37D44">
              <w:rPr>
                <w:rFonts w:asciiTheme="majorHAnsi" w:hAnsiTheme="majorHAnsi" w:cstheme="majorHAnsi"/>
                <w:szCs w:val="18"/>
              </w:rPr>
              <w:t>the pre-matched trade service, which allows participants to bring a bilateral trade in one of the listed products to the exchange for settlement.</w:t>
            </w:r>
          </w:p>
          <w:p w14:paraId="06C39952" w14:textId="77777777" w:rsidR="00307760" w:rsidRPr="00D30678" w:rsidRDefault="00307760" w:rsidP="00A63967">
            <w:pPr>
              <w:pStyle w:val="TableBullet1"/>
              <w:keepNext/>
              <w:numPr>
                <w:ilvl w:val="0"/>
                <w:numId w:val="0"/>
              </w:numPr>
              <w:tabs>
                <w:tab w:val="left" w:pos="720"/>
              </w:tabs>
              <w:spacing w:before="20" w:after="20"/>
              <w:ind w:left="312"/>
              <w:rPr>
                <w:rFonts w:asciiTheme="majorHAnsi" w:hAnsiTheme="majorHAnsi" w:cstheme="majorHAnsi"/>
                <w:szCs w:val="18"/>
              </w:rPr>
            </w:pPr>
            <w:r w:rsidRPr="00D30678">
              <w:rPr>
                <w:rFonts w:asciiTheme="majorHAnsi" w:hAnsiTheme="majorHAnsi" w:cstheme="majorHAnsi"/>
                <w:szCs w:val="18"/>
              </w:rPr>
              <w:t xml:space="preserve">The screen trade service will operate on a fully anonymous basis (i.e. the names of counterparties will not be revealed pre or post-transaction), with AEMO informing </w:t>
            </w:r>
            <w:r w:rsidRPr="00C37D44">
              <w:rPr>
                <w:rFonts w:asciiTheme="majorHAnsi" w:hAnsiTheme="majorHAnsi" w:cstheme="majorHAnsi"/>
                <w:szCs w:val="18"/>
                <w:lang w:eastAsia="fr-CA"/>
              </w:rPr>
              <w:t xml:space="preserve">the </w:t>
            </w:r>
            <w:r w:rsidR="00DA16AB" w:rsidRPr="00DA16AB">
              <w:rPr>
                <w:szCs w:val="18"/>
              </w:rPr>
              <w:t xml:space="preserve">transportation </w:t>
            </w:r>
            <w:r w:rsidRPr="00C37D44">
              <w:rPr>
                <w:rFonts w:asciiTheme="majorHAnsi" w:hAnsiTheme="majorHAnsi" w:cstheme="majorHAnsi"/>
                <w:szCs w:val="18"/>
                <w:lang w:eastAsia="fr-CA"/>
              </w:rPr>
              <w:t xml:space="preserve">service provider of the trade and the </w:t>
            </w:r>
            <w:r w:rsidR="00DA16AB" w:rsidRPr="00DA16AB">
              <w:rPr>
                <w:szCs w:val="18"/>
              </w:rPr>
              <w:t xml:space="preserve">transportation </w:t>
            </w:r>
            <w:r w:rsidRPr="00C37D44">
              <w:rPr>
                <w:rFonts w:asciiTheme="majorHAnsi" w:hAnsiTheme="majorHAnsi" w:cstheme="majorHAnsi"/>
                <w:szCs w:val="18"/>
                <w:lang w:eastAsia="fr-CA"/>
              </w:rPr>
              <w:t xml:space="preserve">service provider then confirming and giving effect to the trade. The process for validating trades will be set out in the transaction support arrangements that will form part of the </w:t>
            </w:r>
            <w:r w:rsidR="00201550">
              <w:rPr>
                <w:rFonts w:asciiTheme="majorHAnsi" w:hAnsiTheme="majorHAnsi" w:cstheme="majorHAnsi"/>
                <w:szCs w:val="18"/>
                <w:lang w:eastAsia="fr-CA"/>
              </w:rPr>
              <w:t>CT&amp;A Procedures</w:t>
            </w:r>
            <w:r w:rsidRPr="00C37D44">
              <w:rPr>
                <w:rFonts w:asciiTheme="majorHAnsi" w:hAnsiTheme="majorHAnsi" w:cstheme="majorHAnsi"/>
                <w:szCs w:val="18"/>
                <w:lang w:eastAsia="fr-CA"/>
              </w:rPr>
              <w:t>.</w:t>
            </w:r>
            <w:r w:rsidR="002570FE">
              <w:rPr>
                <w:rStyle w:val="FootnoteReference"/>
                <w:rFonts w:asciiTheme="majorHAnsi" w:hAnsiTheme="majorHAnsi" w:cstheme="majorHAnsi"/>
              </w:rPr>
              <w:t xml:space="preserve"> </w:t>
            </w:r>
            <w:r w:rsidR="002570FE">
              <w:rPr>
                <w:rStyle w:val="FootnoteReference"/>
                <w:rFonts w:asciiTheme="majorHAnsi" w:hAnsiTheme="majorHAnsi" w:cstheme="majorHAnsi"/>
              </w:rPr>
              <w:footnoteReference w:id="207"/>
            </w:r>
          </w:p>
          <w:p w14:paraId="18DD8335" w14:textId="77777777" w:rsidR="00307760" w:rsidRPr="00C37D44" w:rsidRDefault="00307760" w:rsidP="00A63967">
            <w:pPr>
              <w:pStyle w:val="TableBullet1"/>
              <w:keepNext/>
              <w:numPr>
                <w:ilvl w:val="0"/>
                <w:numId w:val="27"/>
              </w:numPr>
              <w:spacing w:before="20" w:after="20"/>
              <w:rPr>
                <w:rFonts w:asciiTheme="majorHAnsi" w:hAnsiTheme="majorHAnsi" w:cstheme="majorHAnsi"/>
                <w:szCs w:val="18"/>
              </w:rPr>
            </w:pPr>
            <w:r w:rsidRPr="00F04A8E">
              <w:rPr>
                <w:rFonts w:asciiTheme="majorHAnsi" w:hAnsiTheme="majorHAnsi" w:cstheme="majorHAnsi"/>
                <w:b/>
                <w:szCs w:val="18"/>
              </w:rPr>
              <w:t>A listing service</w:t>
            </w:r>
            <w:r w:rsidRPr="00F04A8E">
              <w:rPr>
                <w:rFonts w:asciiTheme="majorHAnsi" w:hAnsiTheme="majorHAnsi" w:cstheme="majorHAnsi"/>
                <w:szCs w:val="18"/>
              </w:rPr>
              <w:t xml:space="preserve"> that shippers can use to list other </w:t>
            </w:r>
            <w:r w:rsidRPr="00C37D44">
              <w:rPr>
                <w:rFonts w:asciiTheme="majorHAnsi" w:hAnsiTheme="majorHAnsi" w:cstheme="majorHAnsi"/>
                <w:szCs w:val="18"/>
              </w:rPr>
              <w:t>more bespoke products and imbalance trades</w:t>
            </w:r>
            <w:r w:rsidR="006E27CF">
              <w:rPr>
                <w:rFonts w:asciiTheme="majorHAnsi" w:hAnsiTheme="majorHAnsi" w:cstheme="majorHAnsi"/>
                <w:szCs w:val="18"/>
              </w:rPr>
              <w:t xml:space="preserve"> on any transportation facilities</w:t>
            </w:r>
            <w:r w:rsidRPr="00C37D44">
              <w:rPr>
                <w:rFonts w:asciiTheme="majorHAnsi" w:hAnsiTheme="majorHAnsi" w:cstheme="majorHAnsi"/>
                <w:szCs w:val="18"/>
              </w:rPr>
              <w:t>.</w:t>
            </w:r>
          </w:p>
          <w:p w14:paraId="04FF4660" w14:textId="77777777" w:rsidR="00307760" w:rsidRPr="00C37D44" w:rsidRDefault="00307760" w:rsidP="00A63967">
            <w:pPr>
              <w:pStyle w:val="TableBullet1"/>
              <w:keepNext/>
              <w:numPr>
                <w:ilvl w:val="0"/>
                <w:numId w:val="0"/>
              </w:numPr>
              <w:tabs>
                <w:tab w:val="left" w:pos="720"/>
              </w:tabs>
              <w:spacing w:before="20" w:after="20"/>
              <w:ind w:left="85"/>
              <w:rPr>
                <w:rFonts w:asciiTheme="majorHAnsi" w:hAnsiTheme="majorHAnsi" w:cstheme="majorHAnsi"/>
                <w:szCs w:val="18"/>
              </w:rPr>
            </w:pPr>
            <w:r w:rsidRPr="00C37D44">
              <w:rPr>
                <w:rFonts w:asciiTheme="majorHAnsi" w:hAnsiTheme="majorHAnsi" w:cstheme="majorHAnsi"/>
                <w:szCs w:val="18"/>
              </w:rPr>
              <w:t xml:space="preserve">Trades conducted through the exchange will use </w:t>
            </w:r>
            <w:r w:rsidR="002570FE">
              <w:rPr>
                <w:rFonts w:asciiTheme="majorHAnsi" w:hAnsiTheme="majorHAnsi" w:cstheme="majorHAnsi"/>
                <w:szCs w:val="18"/>
              </w:rPr>
              <w:t xml:space="preserve">the </w:t>
            </w:r>
            <w:r w:rsidRPr="00C37D44">
              <w:rPr>
                <w:rFonts w:asciiTheme="majorHAnsi" w:hAnsiTheme="majorHAnsi" w:cstheme="majorHAnsi"/>
                <w:szCs w:val="18"/>
              </w:rPr>
              <w:t>existing GSH settlement, prudential and reporting frameworks, which means participants will receive one settlement statement for all products and be able to aggregate prudential requirements across gas and secondary capacity products.</w:t>
            </w:r>
          </w:p>
        </w:tc>
      </w:tr>
      <w:tr w:rsidR="00A63967" w:rsidRPr="00C37D44" w14:paraId="6FD3C5C3" w14:textId="77777777" w:rsidTr="00A63967">
        <w:tc>
          <w:tcPr>
            <w:tcW w:w="1560" w:type="dxa"/>
            <w:tcBorders>
              <w:top w:val="single" w:sz="4" w:space="0" w:color="auto"/>
              <w:left w:val="nil"/>
              <w:bottom w:val="single" w:sz="4" w:space="0" w:color="auto"/>
              <w:right w:val="single" w:sz="4" w:space="0" w:color="auto"/>
            </w:tcBorders>
          </w:tcPr>
          <w:p w14:paraId="13E73E2D" w14:textId="77777777" w:rsidR="00A63967" w:rsidRPr="00D30678" w:rsidRDefault="00A63967" w:rsidP="00A63967">
            <w:pPr>
              <w:pStyle w:val="TableBodyText"/>
              <w:keepNext/>
              <w:spacing w:before="20" w:after="20"/>
              <w:rPr>
                <w:rFonts w:asciiTheme="majorHAnsi" w:hAnsiTheme="majorHAnsi" w:cstheme="majorHAnsi"/>
                <w:b/>
                <w:szCs w:val="18"/>
              </w:rPr>
            </w:pPr>
            <w:r>
              <w:rPr>
                <w:rFonts w:asciiTheme="majorHAnsi" w:hAnsiTheme="majorHAnsi" w:cstheme="majorHAnsi"/>
                <w:b/>
                <w:szCs w:val="18"/>
              </w:rPr>
              <w:t>Participation in the exchange</w:t>
            </w:r>
          </w:p>
        </w:tc>
        <w:tc>
          <w:tcPr>
            <w:tcW w:w="12190" w:type="dxa"/>
            <w:tcBorders>
              <w:top w:val="single" w:sz="4" w:space="0" w:color="auto"/>
              <w:left w:val="single" w:sz="4" w:space="0" w:color="auto"/>
              <w:bottom w:val="single" w:sz="4" w:space="0" w:color="auto"/>
              <w:right w:val="nil"/>
            </w:tcBorders>
          </w:tcPr>
          <w:p w14:paraId="2948FB0C" w14:textId="77777777" w:rsidR="00A63967" w:rsidRPr="00C37D44" w:rsidRDefault="00A63967" w:rsidP="0071681D">
            <w:pPr>
              <w:pStyle w:val="TableBodyText"/>
              <w:spacing w:before="20" w:after="20" w:line="259" w:lineRule="auto"/>
              <w:rPr>
                <w:rFonts w:asciiTheme="majorHAnsi" w:hAnsiTheme="majorHAnsi" w:cstheme="majorHAnsi"/>
                <w:szCs w:val="18"/>
              </w:rPr>
            </w:pPr>
            <w:r w:rsidRPr="007116E6">
              <w:rPr>
                <w:rFonts w:asciiTheme="majorHAnsi" w:hAnsiTheme="majorHAnsi" w:cstheme="majorHAnsi"/>
                <w:szCs w:val="18"/>
              </w:rPr>
              <w:t xml:space="preserve">To </w:t>
            </w:r>
            <w:r>
              <w:rPr>
                <w:rFonts w:asciiTheme="majorHAnsi" w:hAnsiTheme="majorHAnsi" w:cstheme="majorHAnsi"/>
                <w:szCs w:val="18"/>
              </w:rPr>
              <w:t>trade capacity through the exchange</w:t>
            </w:r>
            <w:r w:rsidRPr="007116E6">
              <w:rPr>
                <w:rFonts w:asciiTheme="majorHAnsi" w:hAnsiTheme="majorHAnsi" w:cstheme="majorHAnsi"/>
                <w:szCs w:val="18"/>
              </w:rPr>
              <w:t xml:space="preserve">, shippers must enter into </w:t>
            </w:r>
            <w:r w:rsidR="0071681D">
              <w:rPr>
                <w:rFonts w:asciiTheme="majorHAnsi" w:hAnsiTheme="majorHAnsi" w:cstheme="majorHAnsi"/>
                <w:szCs w:val="18"/>
              </w:rPr>
              <w:t>the</w:t>
            </w:r>
            <w:r w:rsidR="0071681D" w:rsidRPr="007116E6">
              <w:rPr>
                <w:rFonts w:asciiTheme="majorHAnsi" w:hAnsiTheme="majorHAnsi" w:cstheme="majorHAnsi"/>
                <w:szCs w:val="18"/>
              </w:rPr>
              <w:t xml:space="preserve"> </w:t>
            </w:r>
            <w:r w:rsidR="0071681D" w:rsidRPr="0071681D">
              <w:rPr>
                <w:rFonts w:asciiTheme="majorHAnsi" w:hAnsiTheme="majorHAnsi" w:cstheme="majorHAnsi"/>
                <w:b/>
                <w:szCs w:val="18"/>
              </w:rPr>
              <w:t>E</w:t>
            </w:r>
            <w:r>
              <w:rPr>
                <w:rFonts w:asciiTheme="majorHAnsi" w:hAnsiTheme="majorHAnsi" w:cstheme="majorHAnsi"/>
                <w:b/>
                <w:szCs w:val="18"/>
              </w:rPr>
              <w:t xml:space="preserve">xchange </w:t>
            </w:r>
            <w:r w:rsidR="0071681D">
              <w:rPr>
                <w:rFonts w:asciiTheme="majorHAnsi" w:hAnsiTheme="majorHAnsi" w:cstheme="majorHAnsi"/>
                <w:b/>
                <w:szCs w:val="18"/>
              </w:rPr>
              <w:t>A</w:t>
            </w:r>
            <w:r w:rsidRPr="00221E73">
              <w:rPr>
                <w:rFonts w:asciiTheme="majorHAnsi" w:hAnsiTheme="majorHAnsi" w:cstheme="majorHAnsi"/>
                <w:b/>
                <w:szCs w:val="18"/>
              </w:rPr>
              <w:t>greement</w:t>
            </w:r>
            <w:r w:rsidRPr="007116E6">
              <w:rPr>
                <w:rFonts w:asciiTheme="majorHAnsi" w:hAnsiTheme="majorHAnsi" w:cstheme="majorHAnsi"/>
                <w:szCs w:val="18"/>
              </w:rPr>
              <w:t xml:space="preserve"> with AEMO. To use the capacity procured through the auction, shippers must </w:t>
            </w:r>
            <w:r>
              <w:rPr>
                <w:rFonts w:asciiTheme="majorHAnsi" w:hAnsiTheme="majorHAnsi" w:cstheme="majorHAnsi"/>
                <w:szCs w:val="18"/>
              </w:rPr>
              <w:t xml:space="preserve">also </w:t>
            </w:r>
            <w:r w:rsidRPr="007116E6">
              <w:rPr>
                <w:rFonts w:asciiTheme="majorHAnsi" w:hAnsiTheme="majorHAnsi" w:cstheme="majorHAnsi"/>
                <w:szCs w:val="18"/>
              </w:rPr>
              <w:t xml:space="preserve">have an </w:t>
            </w:r>
            <w:r w:rsidRPr="00221E73">
              <w:rPr>
                <w:rFonts w:asciiTheme="majorHAnsi" w:hAnsiTheme="majorHAnsi" w:cstheme="majorHAnsi"/>
                <w:b/>
                <w:szCs w:val="18"/>
              </w:rPr>
              <w:t>OTSA</w:t>
            </w:r>
            <w:r w:rsidRPr="007116E6">
              <w:rPr>
                <w:rFonts w:asciiTheme="majorHAnsi" w:hAnsiTheme="majorHAnsi" w:cstheme="majorHAnsi"/>
                <w:szCs w:val="18"/>
              </w:rPr>
              <w:t xml:space="preserve"> in place with the relevant </w:t>
            </w:r>
            <w:r w:rsidR="00DA16AB" w:rsidRPr="00DA16AB">
              <w:rPr>
                <w:szCs w:val="18"/>
              </w:rPr>
              <w:t xml:space="preserve">transportation </w:t>
            </w:r>
            <w:r w:rsidRPr="007116E6">
              <w:rPr>
                <w:rFonts w:asciiTheme="majorHAnsi" w:hAnsiTheme="majorHAnsi" w:cstheme="majorHAnsi"/>
                <w:szCs w:val="18"/>
              </w:rPr>
              <w:t>service provider</w:t>
            </w:r>
            <w:r>
              <w:rPr>
                <w:rFonts w:asciiTheme="majorHAnsi" w:hAnsiTheme="majorHAnsi" w:cstheme="majorHAnsi"/>
                <w:szCs w:val="18"/>
              </w:rPr>
              <w:t xml:space="preserve"> (see Chapter 5 for detail)</w:t>
            </w:r>
            <w:r w:rsidRPr="007116E6">
              <w:rPr>
                <w:rFonts w:asciiTheme="majorHAnsi" w:hAnsiTheme="majorHAnsi" w:cstheme="majorHAnsi"/>
                <w:szCs w:val="18"/>
              </w:rPr>
              <w:t>.</w:t>
            </w:r>
          </w:p>
        </w:tc>
      </w:tr>
      <w:tr w:rsidR="00307760" w:rsidRPr="00C37D44" w14:paraId="326D475A" w14:textId="77777777" w:rsidTr="00A63967">
        <w:trPr>
          <w:cnfStyle w:val="000000010000" w:firstRow="0" w:lastRow="0" w:firstColumn="0" w:lastColumn="0" w:oddVBand="0" w:evenVBand="0" w:oddHBand="0" w:evenHBand="1" w:firstRowFirstColumn="0" w:firstRowLastColumn="0" w:lastRowFirstColumn="0" w:lastRowLastColumn="0"/>
        </w:trPr>
        <w:tc>
          <w:tcPr>
            <w:tcW w:w="1560" w:type="dxa"/>
            <w:tcBorders>
              <w:top w:val="single" w:sz="4" w:space="0" w:color="auto"/>
              <w:left w:val="nil"/>
              <w:bottom w:val="single" w:sz="4" w:space="0" w:color="auto"/>
              <w:right w:val="single" w:sz="4" w:space="0" w:color="auto"/>
            </w:tcBorders>
            <w:hideMark/>
          </w:tcPr>
          <w:p w14:paraId="2A56B1D8" w14:textId="77777777" w:rsidR="00307760" w:rsidRPr="00F04A8E" w:rsidRDefault="00307760" w:rsidP="00A63967">
            <w:pPr>
              <w:pStyle w:val="BodyText"/>
              <w:spacing w:before="20" w:after="20"/>
              <w:rPr>
                <w:rFonts w:asciiTheme="majorHAnsi" w:hAnsiTheme="majorHAnsi" w:cstheme="majorHAnsi"/>
                <w:b/>
                <w:szCs w:val="18"/>
              </w:rPr>
            </w:pPr>
            <w:r w:rsidRPr="00D30678">
              <w:rPr>
                <w:rFonts w:asciiTheme="majorHAnsi" w:hAnsiTheme="majorHAnsi" w:cstheme="majorHAnsi"/>
                <w:b/>
                <w:szCs w:val="18"/>
              </w:rPr>
              <w:t xml:space="preserve">Initial set of services to be listed on the exchange </w:t>
            </w:r>
          </w:p>
        </w:tc>
        <w:tc>
          <w:tcPr>
            <w:tcW w:w="12190" w:type="dxa"/>
            <w:tcBorders>
              <w:top w:val="single" w:sz="4" w:space="0" w:color="auto"/>
              <w:left w:val="single" w:sz="4" w:space="0" w:color="auto"/>
              <w:bottom w:val="single" w:sz="4" w:space="0" w:color="auto"/>
              <w:right w:val="nil"/>
            </w:tcBorders>
            <w:hideMark/>
          </w:tcPr>
          <w:p w14:paraId="5AF16370" w14:textId="77777777" w:rsidR="00307760" w:rsidRPr="00C37D44" w:rsidRDefault="00307760" w:rsidP="00A63967">
            <w:pPr>
              <w:pStyle w:val="TableBodyText"/>
              <w:spacing w:before="20" w:after="20"/>
              <w:rPr>
                <w:rFonts w:asciiTheme="majorHAnsi" w:hAnsiTheme="majorHAnsi" w:cstheme="majorHAnsi"/>
                <w:b/>
                <w:szCs w:val="18"/>
              </w:rPr>
            </w:pPr>
            <w:r w:rsidRPr="00C37D44">
              <w:rPr>
                <w:rFonts w:asciiTheme="majorHAnsi" w:hAnsiTheme="majorHAnsi" w:cstheme="majorHAnsi"/>
                <w:szCs w:val="18"/>
              </w:rPr>
              <w:t>The initial set of standardised products to be sold on the exchange include:</w:t>
            </w:r>
            <w:r w:rsidR="002570FE">
              <w:rPr>
                <w:rStyle w:val="FootnoteReference"/>
                <w:rFonts w:asciiTheme="majorHAnsi" w:hAnsiTheme="majorHAnsi" w:cstheme="majorHAnsi"/>
              </w:rPr>
              <w:t xml:space="preserve"> </w:t>
            </w:r>
            <w:r w:rsidR="002570FE">
              <w:rPr>
                <w:rStyle w:val="FootnoteReference"/>
                <w:rFonts w:asciiTheme="majorHAnsi" w:hAnsiTheme="majorHAnsi" w:cstheme="majorHAnsi"/>
              </w:rPr>
              <w:footnoteReference w:id="208"/>
            </w:r>
            <w:r w:rsidRPr="00C37D44">
              <w:rPr>
                <w:rFonts w:asciiTheme="majorHAnsi" w:hAnsiTheme="majorHAnsi" w:cstheme="majorHAnsi"/>
                <w:szCs w:val="18"/>
              </w:rPr>
              <w:t xml:space="preserve"> </w:t>
            </w:r>
          </w:p>
          <w:p w14:paraId="7980B3D3" w14:textId="77777777" w:rsidR="00307760" w:rsidRPr="00C37D44" w:rsidRDefault="00307760" w:rsidP="00A63967">
            <w:pPr>
              <w:pStyle w:val="TableBullet1"/>
              <w:numPr>
                <w:ilvl w:val="0"/>
                <w:numId w:val="27"/>
              </w:numPr>
              <w:spacing w:before="20" w:after="20"/>
              <w:rPr>
                <w:rFonts w:asciiTheme="majorHAnsi" w:hAnsiTheme="majorHAnsi" w:cstheme="majorHAnsi"/>
                <w:szCs w:val="18"/>
              </w:rPr>
            </w:pPr>
            <w:r w:rsidRPr="00C37D44">
              <w:rPr>
                <w:rFonts w:asciiTheme="majorHAnsi" w:hAnsiTheme="majorHAnsi" w:cstheme="majorHAnsi"/>
                <w:szCs w:val="18"/>
              </w:rPr>
              <w:t>firm forward haul services on transmission pipelines (if the pipeline is bi-directional,</w:t>
            </w:r>
            <w:r>
              <w:rPr>
                <w:rStyle w:val="FootnoteReference"/>
                <w:rFonts w:asciiTheme="majorHAnsi" w:hAnsiTheme="majorHAnsi" w:cstheme="majorHAnsi"/>
                <w:szCs w:val="18"/>
              </w:rPr>
              <w:footnoteReference w:id="209"/>
            </w:r>
            <w:r w:rsidRPr="00C37D44">
              <w:rPr>
                <w:rFonts w:asciiTheme="majorHAnsi" w:hAnsiTheme="majorHAnsi" w:cstheme="majorHAnsi"/>
                <w:szCs w:val="18"/>
              </w:rPr>
              <w:t xml:space="preserve"> services will be available in </w:t>
            </w:r>
            <w:r w:rsidR="0071681D">
              <w:rPr>
                <w:rFonts w:asciiTheme="majorHAnsi" w:hAnsiTheme="majorHAnsi" w:cstheme="majorHAnsi"/>
                <w:szCs w:val="18"/>
              </w:rPr>
              <w:t>each</w:t>
            </w:r>
            <w:r w:rsidR="0071681D" w:rsidRPr="00C37D44">
              <w:rPr>
                <w:rFonts w:asciiTheme="majorHAnsi" w:hAnsiTheme="majorHAnsi" w:cstheme="majorHAnsi"/>
                <w:szCs w:val="18"/>
              </w:rPr>
              <w:t xml:space="preserve"> </w:t>
            </w:r>
            <w:r w:rsidRPr="00C37D44">
              <w:rPr>
                <w:rFonts w:asciiTheme="majorHAnsi" w:hAnsiTheme="majorHAnsi" w:cstheme="majorHAnsi"/>
                <w:szCs w:val="18"/>
              </w:rPr>
              <w:t>direction);</w:t>
            </w:r>
          </w:p>
          <w:p w14:paraId="597F9452" w14:textId="77777777" w:rsidR="00307760" w:rsidRPr="00C37D44" w:rsidRDefault="00307760" w:rsidP="00A63967">
            <w:pPr>
              <w:pStyle w:val="TableBullet1"/>
              <w:numPr>
                <w:ilvl w:val="0"/>
                <w:numId w:val="27"/>
              </w:numPr>
              <w:spacing w:before="20" w:after="20"/>
              <w:rPr>
                <w:rFonts w:asciiTheme="majorHAnsi" w:hAnsiTheme="majorHAnsi" w:cstheme="majorHAnsi"/>
                <w:szCs w:val="18"/>
              </w:rPr>
            </w:pPr>
            <w:r w:rsidRPr="00C37D44">
              <w:rPr>
                <w:rFonts w:asciiTheme="majorHAnsi" w:hAnsiTheme="majorHAnsi" w:cstheme="majorHAnsi"/>
                <w:szCs w:val="18"/>
              </w:rPr>
              <w:t xml:space="preserve">firm compression services; and </w:t>
            </w:r>
          </w:p>
          <w:p w14:paraId="0E69F292" w14:textId="77777777" w:rsidR="00307760" w:rsidRPr="00C37D44" w:rsidRDefault="00307760" w:rsidP="00A63967">
            <w:pPr>
              <w:pStyle w:val="TableBullet1"/>
              <w:numPr>
                <w:ilvl w:val="0"/>
                <w:numId w:val="27"/>
              </w:numPr>
              <w:spacing w:before="20" w:after="20"/>
              <w:rPr>
                <w:rFonts w:asciiTheme="majorHAnsi" w:hAnsiTheme="majorHAnsi" w:cstheme="majorHAnsi"/>
                <w:szCs w:val="18"/>
              </w:rPr>
            </w:pPr>
            <w:r w:rsidRPr="00C37D44">
              <w:rPr>
                <w:rFonts w:asciiTheme="majorHAnsi" w:hAnsiTheme="majorHAnsi" w:cstheme="majorHAnsi"/>
                <w:szCs w:val="18"/>
              </w:rPr>
              <w:t>firm park (storage) services on transmission pipelines that offer this service.</w:t>
            </w:r>
          </w:p>
          <w:p w14:paraId="118B8A48" w14:textId="77777777" w:rsidR="00307760" w:rsidRPr="00C37D44" w:rsidRDefault="00307760" w:rsidP="00A63967">
            <w:pPr>
              <w:pStyle w:val="TableBodyText"/>
              <w:spacing w:before="20" w:after="20"/>
              <w:rPr>
                <w:rFonts w:asciiTheme="majorHAnsi" w:hAnsiTheme="majorHAnsi" w:cstheme="majorHAnsi"/>
                <w:szCs w:val="18"/>
              </w:rPr>
            </w:pPr>
            <w:r w:rsidRPr="00C37D44">
              <w:rPr>
                <w:rFonts w:asciiTheme="majorHAnsi" w:hAnsiTheme="majorHAnsi" w:cstheme="majorHAnsi"/>
                <w:szCs w:val="18"/>
              </w:rPr>
              <w:t>These services will have a minimum contract size of 500 GJ/day and will be available as: a day-ahead product; a daily product (available on a 6-day rolling basis); a weekly product (available on a 4-week rolling basis); and a monthly product (available on a 3-month rolling basis).</w:t>
            </w:r>
            <w:r w:rsidR="002570FE">
              <w:rPr>
                <w:rStyle w:val="FootnoteReference"/>
                <w:rFonts w:asciiTheme="majorHAnsi" w:hAnsiTheme="majorHAnsi" w:cstheme="majorHAnsi"/>
                <w:szCs w:val="18"/>
              </w:rPr>
              <w:footnoteReference w:id="210"/>
            </w:r>
            <w:r w:rsidRPr="00C37D44">
              <w:rPr>
                <w:rFonts w:asciiTheme="majorHAnsi" w:hAnsiTheme="majorHAnsi" w:cstheme="majorHAnsi"/>
                <w:szCs w:val="18"/>
              </w:rPr>
              <w:t xml:space="preserve"> </w:t>
            </w:r>
          </w:p>
          <w:p w14:paraId="3144AB52" w14:textId="77777777" w:rsidR="00307760" w:rsidRPr="00C37D44" w:rsidRDefault="00307760" w:rsidP="0071681D">
            <w:pPr>
              <w:pStyle w:val="TableBodyText"/>
              <w:spacing w:before="20" w:after="20"/>
              <w:rPr>
                <w:rFonts w:asciiTheme="majorHAnsi" w:hAnsiTheme="majorHAnsi" w:cstheme="majorHAnsi"/>
                <w:szCs w:val="18"/>
              </w:rPr>
            </w:pPr>
            <w:r w:rsidRPr="00C37D44">
              <w:rPr>
                <w:rFonts w:asciiTheme="majorHAnsi" w:hAnsiTheme="majorHAnsi" w:cstheme="majorHAnsi"/>
                <w:szCs w:val="18"/>
              </w:rPr>
              <w:t xml:space="preserve">The terms and conditions on which the buyer can use these products will be set out in the </w:t>
            </w:r>
            <w:r w:rsidR="00DA16AB" w:rsidRPr="00DA16AB">
              <w:rPr>
                <w:szCs w:val="18"/>
              </w:rPr>
              <w:t xml:space="preserve">transportation </w:t>
            </w:r>
            <w:r w:rsidRPr="00C37D44">
              <w:rPr>
                <w:rFonts w:asciiTheme="majorHAnsi" w:hAnsiTheme="majorHAnsi" w:cstheme="majorHAnsi"/>
                <w:szCs w:val="18"/>
              </w:rPr>
              <w:t>service provider’s standard OTSA</w:t>
            </w:r>
            <w:r>
              <w:rPr>
                <w:rFonts w:asciiTheme="majorHAnsi" w:hAnsiTheme="majorHAnsi" w:cstheme="majorHAnsi"/>
                <w:szCs w:val="18"/>
              </w:rPr>
              <w:t xml:space="preserve"> (or other agreement containing the terms for use of the service)</w:t>
            </w:r>
            <w:r w:rsidRPr="00C37D44">
              <w:rPr>
                <w:rFonts w:asciiTheme="majorHAnsi" w:hAnsiTheme="majorHAnsi" w:cstheme="majorHAnsi"/>
                <w:szCs w:val="18"/>
              </w:rPr>
              <w:t xml:space="preserve">, which, amongst other things, will specify the hourly flexibility and imbalance allowance </w:t>
            </w:r>
            <w:r w:rsidR="008D31D3">
              <w:rPr>
                <w:rFonts w:asciiTheme="majorHAnsi" w:hAnsiTheme="majorHAnsi" w:cstheme="majorHAnsi"/>
                <w:szCs w:val="18"/>
              </w:rPr>
              <w:t>applicable to the product</w:t>
            </w:r>
            <w:r w:rsidR="001C0DCA">
              <w:rPr>
                <w:rFonts w:asciiTheme="majorHAnsi" w:hAnsiTheme="majorHAnsi" w:cstheme="majorHAnsi"/>
                <w:szCs w:val="18"/>
              </w:rPr>
              <w:t xml:space="preserve"> </w:t>
            </w:r>
            <w:r w:rsidRPr="00C37D44">
              <w:rPr>
                <w:rFonts w:asciiTheme="majorHAnsi" w:hAnsiTheme="majorHAnsi" w:cstheme="majorHAnsi"/>
                <w:szCs w:val="18"/>
              </w:rPr>
              <w:t>and provide for a reasonable endeavours renomination right.</w:t>
            </w:r>
            <w:r w:rsidR="002570FE">
              <w:rPr>
                <w:rStyle w:val="FootnoteReference"/>
                <w:rFonts w:asciiTheme="majorHAnsi" w:hAnsiTheme="majorHAnsi" w:cstheme="majorHAnsi"/>
              </w:rPr>
              <w:t xml:space="preserve"> </w:t>
            </w:r>
            <w:r w:rsidR="002570FE">
              <w:rPr>
                <w:rStyle w:val="FootnoteReference"/>
                <w:rFonts w:asciiTheme="majorHAnsi" w:hAnsiTheme="majorHAnsi" w:cstheme="majorHAnsi"/>
              </w:rPr>
              <w:footnoteReference w:id="211"/>
            </w:r>
            <w:r w:rsidRPr="00C37D44">
              <w:rPr>
                <w:rFonts w:asciiTheme="majorHAnsi" w:hAnsiTheme="majorHAnsi" w:cstheme="majorHAnsi"/>
                <w:szCs w:val="18"/>
              </w:rPr>
              <w:t xml:space="preserve"> </w:t>
            </w:r>
          </w:p>
        </w:tc>
      </w:tr>
      <w:tr w:rsidR="00307760" w:rsidRPr="00C37D44" w14:paraId="235EB58D" w14:textId="77777777" w:rsidTr="00A63967">
        <w:tc>
          <w:tcPr>
            <w:tcW w:w="1560" w:type="dxa"/>
            <w:tcBorders>
              <w:top w:val="single" w:sz="4" w:space="0" w:color="auto"/>
              <w:left w:val="nil"/>
              <w:bottom w:val="single" w:sz="4" w:space="0" w:color="auto"/>
              <w:right w:val="single" w:sz="4" w:space="0" w:color="auto"/>
            </w:tcBorders>
            <w:hideMark/>
          </w:tcPr>
          <w:p w14:paraId="25570404" w14:textId="77777777" w:rsidR="00307760" w:rsidRPr="00F04A8E" w:rsidRDefault="00307760" w:rsidP="00307760">
            <w:pPr>
              <w:pStyle w:val="BodyText"/>
              <w:keepNext/>
              <w:spacing w:before="60" w:after="60"/>
              <w:rPr>
                <w:rFonts w:asciiTheme="majorHAnsi" w:hAnsiTheme="majorHAnsi" w:cstheme="majorHAnsi"/>
                <w:b/>
                <w:szCs w:val="18"/>
              </w:rPr>
            </w:pPr>
            <w:r w:rsidRPr="00D30678">
              <w:rPr>
                <w:rFonts w:asciiTheme="majorHAnsi" w:hAnsiTheme="majorHAnsi" w:cstheme="majorHAnsi"/>
                <w:b/>
                <w:szCs w:val="18"/>
              </w:rPr>
              <w:lastRenderedPageBreak/>
              <w:t xml:space="preserve">Contract path </w:t>
            </w:r>
          </w:p>
        </w:tc>
        <w:tc>
          <w:tcPr>
            <w:tcW w:w="12190" w:type="dxa"/>
            <w:tcBorders>
              <w:top w:val="single" w:sz="4" w:space="0" w:color="auto"/>
              <w:left w:val="single" w:sz="4" w:space="0" w:color="auto"/>
              <w:bottom w:val="single" w:sz="4" w:space="0" w:color="auto"/>
              <w:right w:val="nil"/>
            </w:tcBorders>
            <w:hideMark/>
          </w:tcPr>
          <w:p w14:paraId="1641C966" w14:textId="77777777" w:rsidR="00307760" w:rsidRPr="00C37D44" w:rsidRDefault="00307760" w:rsidP="00307760">
            <w:pPr>
              <w:pStyle w:val="TableBodyText"/>
              <w:keepNext/>
              <w:rPr>
                <w:rFonts w:asciiTheme="majorHAnsi" w:hAnsiTheme="majorHAnsi" w:cstheme="majorHAnsi"/>
                <w:szCs w:val="18"/>
              </w:rPr>
            </w:pPr>
            <w:r w:rsidRPr="00F04A8E">
              <w:rPr>
                <w:rFonts w:asciiTheme="majorHAnsi" w:hAnsiTheme="majorHAnsi" w:cstheme="majorHAnsi"/>
                <w:szCs w:val="18"/>
              </w:rPr>
              <w:t>Forw</w:t>
            </w:r>
            <w:r w:rsidRPr="00C37D44">
              <w:rPr>
                <w:rFonts w:asciiTheme="majorHAnsi" w:hAnsiTheme="majorHAnsi" w:cstheme="majorHAnsi"/>
                <w:szCs w:val="18"/>
              </w:rPr>
              <w:t xml:space="preserve">ard haul services </w:t>
            </w:r>
            <w:r w:rsidR="002570FE">
              <w:rPr>
                <w:rFonts w:asciiTheme="majorHAnsi" w:hAnsiTheme="majorHAnsi" w:cstheme="majorHAnsi"/>
                <w:szCs w:val="18"/>
              </w:rPr>
              <w:t xml:space="preserve">on the CTP </w:t>
            </w:r>
            <w:r w:rsidRPr="00C37D44">
              <w:rPr>
                <w:rFonts w:asciiTheme="majorHAnsi" w:hAnsiTheme="majorHAnsi" w:cstheme="majorHAnsi"/>
                <w:szCs w:val="18"/>
              </w:rPr>
              <w:t>will be traded using the zonal model. Under the zonal model:</w:t>
            </w:r>
            <w:r w:rsidR="006E27CF">
              <w:rPr>
                <w:rStyle w:val="FootnoteReference"/>
                <w:rFonts w:asciiTheme="majorHAnsi" w:hAnsiTheme="majorHAnsi" w:cstheme="majorHAnsi"/>
                <w:szCs w:val="18"/>
              </w:rPr>
              <w:t xml:space="preserve"> </w:t>
            </w:r>
            <w:r w:rsidR="006E27CF">
              <w:rPr>
                <w:rStyle w:val="FootnoteReference"/>
                <w:rFonts w:asciiTheme="majorHAnsi" w:hAnsiTheme="majorHAnsi" w:cstheme="majorHAnsi"/>
                <w:szCs w:val="18"/>
              </w:rPr>
              <w:footnoteReference w:id="212"/>
            </w:r>
            <w:r w:rsidRPr="00C37D44">
              <w:rPr>
                <w:rFonts w:asciiTheme="majorHAnsi" w:hAnsiTheme="majorHAnsi" w:cstheme="majorHAnsi"/>
                <w:szCs w:val="18"/>
              </w:rPr>
              <w:t xml:space="preserve"> </w:t>
            </w:r>
          </w:p>
          <w:p w14:paraId="74D80D84" w14:textId="77777777" w:rsidR="00307760" w:rsidRPr="00F04A8E" w:rsidRDefault="00307760" w:rsidP="00307760">
            <w:pPr>
              <w:pStyle w:val="TableBullet1"/>
              <w:keepNext/>
              <w:numPr>
                <w:ilvl w:val="0"/>
                <w:numId w:val="27"/>
              </w:numPr>
              <w:rPr>
                <w:rFonts w:asciiTheme="majorHAnsi" w:hAnsiTheme="majorHAnsi" w:cstheme="majorHAnsi"/>
                <w:szCs w:val="18"/>
              </w:rPr>
            </w:pPr>
            <w:r>
              <w:rPr>
                <w:rFonts w:asciiTheme="majorHAnsi" w:hAnsiTheme="majorHAnsi" w:cstheme="majorHAnsi"/>
                <w:szCs w:val="18"/>
              </w:rPr>
              <w:t xml:space="preserve">sellers </w:t>
            </w:r>
            <w:r w:rsidRPr="00D30678">
              <w:rPr>
                <w:rFonts w:asciiTheme="majorHAnsi" w:hAnsiTheme="majorHAnsi" w:cstheme="majorHAnsi"/>
                <w:szCs w:val="18"/>
              </w:rPr>
              <w:t>will be able to sell point-to-point capacity on a zone-to-zone basis; and</w:t>
            </w:r>
          </w:p>
          <w:p w14:paraId="1F8B7B63" w14:textId="77777777" w:rsidR="00307760" w:rsidRPr="00C37D44" w:rsidRDefault="00307760" w:rsidP="00307760">
            <w:pPr>
              <w:pStyle w:val="TableBullet1"/>
              <w:keepNext/>
              <w:numPr>
                <w:ilvl w:val="0"/>
                <w:numId w:val="27"/>
              </w:numPr>
              <w:rPr>
                <w:rFonts w:asciiTheme="majorHAnsi" w:hAnsiTheme="majorHAnsi" w:cstheme="majorHAnsi"/>
                <w:szCs w:val="18"/>
              </w:rPr>
            </w:pPr>
            <w:r>
              <w:rPr>
                <w:rFonts w:asciiTheme="majorHAnsi" w:hAnsiTheme="majorHAnsi" w:cstheme="majorHAnsi"/>
                <w:szCs w:val="18"/>
              </w:rPr>
              <w:t xml:space="preserve">buyers </w:t>
            </w:r>
            <w:r w:rsidRPr="00C37D44">
              <w:rPr>
                <w:rFonts w:asciiTheme="majorHAnsi" w:hAnsiTheme="majorHAnsi" w:cstheme="majorHAnsi"/>
                <w:szCs w:val="18"/>
              </w:rPr>
              <w:t>will be able to acquire capacity on a zone-to-zone basis</w:t>
            </w:r>
            <w:r w:rsidR="002570FE">
              <w:rPr>
                <w:rFonts w:asciiTheme="majorHAnsi" w:hAnsiTheme="majorHAnsi" w:cstheme="majorHAnsi"/>
                <w:szCs w:val="18"/>
              </w:rPr>
              <w:t xml:space="preserve"> and will have </w:t>
            </w:r>
            <w:r w:rsidR="002570FE" w:rsidRPr="00C37D44">
              <w:rPr>
                <w:rFonts w:asciiTheme="majorHAnsi" w:hAnsiTheme="majorHAnsi" w:cstheme="majorHAnsi"/>
                <w:szCs w:val="18"/>
              </w:rPr>
              <w:t>secondary firm rights at receipt and delivery points</w:t>
            </w:r>
            <w:r w:rsidR="006E27CF">
              <w:rPr>
                <w:rFonts w:asciiTheme="majorHAnsi" w:hAnsiTheme="majorHAnsi" w:cstheme="majorHAnsi"/>
                <w:szCs w:val="18"/>
              </w:rPr>
              <w:t xml:space="preserve"> in these zones</w:t>
            </w:r>
            <w:r w:rsidRPr="00C37D44">
              <w:rPr>
                <w:rFonts w:asciiTheme="majorHAnsi" w:hAnsiTheme="majorHAnsi" w:cstheme="majorHAnsi"/>
                <w:szCs w:val="18"/>
              </w:rPr>
              <w:t xml:space="preserve">. </w:t>
            </w:r>
          </w:p>
          <w:p w14:paraId="45095750" w14:textId="77777777" w:rsidR="00307760" w:rsidRDefault="00307760" w:rsidP="00307760">
            <w:pPr>
              <w:pStyle w:val="BodyText"/>
              <w:keepNext/>
              <w:spacing w:before="60"/>
              <w:rPr>
                <w:rFonts w:asciiTheme="majorHAnsi" w:hAnsiTheme="majorHAnsi" w:cstheme="majorHAnsi"/>
                <w:szCs w:val="18"/>
              </w:rPr>
            </w:pPr>
            <w:r w:rsidRPr="00C37D44">
              <w:rPr>
                <w:rFonts w:asciiTheme="majorHAnsi" w:hAnsiTheme="majorHAnsi" w:cstheme="majorHAnsi"/>
                <w:szCs w:val="18"/>
              </w:rPr>
              <w:t xml:space="preserve">The secondary firm rights concept is required under the zonal model because the capacity that is sold by the </w:t>
            </w:r>
            <w:r>
              <w:rPr>
                <w:rFonts w:asciiTheme="majorHAnsi" w:hAnsiTheme="majorHAnsi" w:cstheme="majorHAnsi"/>
                <w:szCs w:val="18"/>
              </w:rPr>
              <w:t xml:space="preserve">seller </w:t>
            </w:r>
            <w:r w:rsidRPr="00C37D44">
              <w:rPr>
                <w:rFonts w:asciiTheme="majorHAnsi" w:hAnsiTheme="majorHAnsi" w:cstheme="majorHAnsi"/>
                <w:szCs w:val="18"/>
              </w:rPr>
              <w:t xml:space="preserve">may be released from a different receipt or delivery point in the zone to the point the </w:t>
            </w:r>
            <w:r>
              <w:rPr>
                <w:rFonts w:asciiTheme="majorHAnsi" w:hAnsiTheme="majorHAnsi" w:cstheme="majorHAnsi"/>
                <w:szCs w:val="18"/>
              </w:rPr>
              <w:t xml:space="preserve">buyer </w:t>
            </w:r>
            <w:r w:rsidRPr="00C37D44">
              <w:rPr>
                <w:rFonts w:asciiTheme="majorHAnsi" w:hAnsiTheme="majorHAnsi" w:cstheme="majorHAnsi"/>
                <w:szCs w:val="18"/>
              </w:rPr>
              <w:t xml:space="preserve">intends to use in that zone and the capacity of individual points within a zone will usually be lower than the zonal capacity. To deal with these limitations, while also recognising the firm rights that primary shippers have to use receipt and delivery points, the secondary firm rights concept allows </w:t>
            </w:r>
            <w:r w:rsidR="002570FE">
              <w:rPr>
                <w:rFonts w:asciiTheme="majorHAnsi" w:hAnsiTheme="majorHAnsi" w:cstheme="majorHAnsi"/>
                <w:szCs w:val="18"/>
              </w:rPr>
              <w:t xml:space="preserve">buyers </w:t>
            </w:r>
            <w:r w:rsidRPr="00C37D44">
              <w:rPr>
                <w:rFonts w:asciiTheme="majorHAnsi" w:hAnsiTheme="majorHAnsi" w:cstheme="majorHAnsi"/>
                <w:szCs w:val="18"/>
              </w:rPr>
              <w:t>to use any receipt or delivery points within a zone but their rights at those points are subordinate to primary shippers with firm rights at those points.</w:t>
            </w:r>
          </w:p>
          <w:p w14:paraId="12676372" w14:textId="77777777" w:rsidR="00307760" w:rsidRPr="00D30678" w:rsidRDefault="00307760" w:rsidP="00307760">
            <w:pPr>
              <w:pStyle w:val="BodyText"/>
              <w:keepNext/>
              <w:spacing w:before="60" w:after="60"/>
              <w:rPr>
                <w:rFonts w:asciiTheme="majorHAnsi" w:hAnsiTheme="majorHAnsi" w:cstheme="majorHAnsi"/>
                <w:color w:val="000000"/>
                <w:szCs w:val="18"/>
              </w:rPr>
            </w:pPr>
            <w:r>
              <w:rPr>
                <w:rFonts w:asciiTheme="majorHAnsi" w:hAnsiTheme="majorHAnsi" w:cstheme="majorHAnsi"/>
                <w:color w:val="000000"/>
                <w:szCs w:val="18"/>
              </w:rPr>
              <w:t xml:space="preserve">At the time the trade is entered </w:t>
            </w:r>
            <w:r w:rsidR="002570FE">
              <w:rPr>
                <w:rFonts w:asciiTheme="majorHAnsi" w:hAnsiTheme="majorHAnsi" w:cstheme="majorHAnsi"/>
                <w:color w:val="000000"/>
                <w:szCs w:val="18"/>
              </w:rPr>
              <w:t xml:space="preserve">into </w:t>
            </w:r>
            <w:r>
              <w:rPr>
                <w:rFonts w:asciiTheme="majorHAnsi" w:hAnsiTheme="majorHAnsi" w:cstheme="majorHAnsi"/>
                <w:color w:val="000000"/>
                <w:szCs w:val="18"/>
              </w:rPr>
              <w:t xml:space="preserve">or the transfer occurs, AEMO </w:t>
            </w:r>
            <w:r w:rsidR="00C71A73">
              <w:rPr>
                <w:rFonts w:asciiTheme="majorHAnsi" w:hAnsiTheme="majorHAnsi" w:cstheme="majorHAnsi"/>
                <w:color w:val="000000"/>
                <w:szCs w:val="18"/>
              </w:rPr>
              <w:t>m</w:t>
            </w:r>
            <w:r w:rsidR="00C71A73">
              <w:rPr>
                <w:color w:val="000000"/>
              </w:rPr>
              <w:t xml:space="preserve">ay require sellers to notify it </w:t>
            </w:r>
            <w:r>
              <w:rPr>
                <w:rFonts w:asciiTheme="majorHAnsi" w:hAnsiTheme="majorHAnsi" w:cstheme="majorHAnsi"/>
                <w:color w:val="000000"/>
                <w:szCs w:val="18"/>
              </w:rPr>
              <w:t xml:space="preserve">of the receipt and delivery points they intend to release their capacity from and buyers </w:t>
            </w:r>
            <w:r w:rsidR="00C71A73">
              <w:rPr>
                <w:rFonts w:asciiTheme="majorHAnsi" w:hAnsiTheme="majorHAnsi" w:cstheme="majorHAnsi"/>
                <w:color w:val="000000"/>
                <w:szCs w:val="18"/>
              </w:rPr>
              <w:t>t</w:t>
            </w:r>
            <w:r w:rsidR="00C71A73">
              <w:rPr>
                <w:color w:val="000000"/>
              </w:rPr>
              <w:t xml:space="preserve">o </w:t>
            </w:r>
            <w:r w:rsidR="00C71A73">
              <w:rPr>
                <w:rFonts w:asciiTheme="majorHAnsi" w:hAnsiTheme="majorHAnsi" w:cstheme="majorHAnsi"/>
                <w:color w:val="000000"/>
                <w:szCs w:val="18"/>
              </w:rPr>
              <w:t>i</w:t>
            </w:r>
            <w:r w:rsidR="00C71A73">
              <w:rPr>
                <w:color w:val="000000"/>
              </w:rPr>
              <w:t xml:space="preserve">dentify </w:t>
            </w:r>
            <w:r>
              <w:rPr>
                <w:rFonts w:asciiTheme="majorHAnsi" w:hAnsiTheme="majorHAnsi" w:cstheme="majorHAnsi"/>
                <w:color w:val="000000"/>
                <w:szCs w:val="18"/>
              </w:rPr>
              <w:t>the points they intend to use.</w:t>
            </w:r>
            <w:r w:rsidR="00F72E63">
              <w:rPr>
                <w:rStyle w:val="FootnoteReference"/>
                <w:rFonts w:asciiTheme="majorHAnsi" w:hAnsiTheme="majorHAnsi" w:cstheme="majorHAnsi"/>
                <w:color w:val="000000"/>
                <w:szCs w:val="18"/>
              </w:rPr>
              <w:t xml:space="preserve"> </w:t>
            </w:r>
            <w:r w:rsidR="00F72E63">
              <w:rPr>
                <w:rStyle w:val="FootnoteReference"/>
                <w:rFonts w:asciiTheme="majorHAnsi" w:hAnsiTheme="majorHAnsi" w:cstheme="majorHAnsi"/>
                <w:color w:val="000000"/>
                <w:szCs w:val="18"/>
              </w:rPr>
              <w:footnoteReference w:id="213"/>
            </w:r>
            <w:r>
              <w:rPr>
                <w:rFonts w:asciiTheme="majorHAnsi" w:hAnsiTheme="majorHAnsi" w:cstheme="majorHAnsi"/>
                <w:color w:val="000000"/>
                <w:szCs w:val="18"/>
              </w:rPr>
              <w:t xml:space="preserve"> This information will be provided to the relevant </w:t>
            </w:r>
            <w:r w:rsidR="00DA16AB" w:rsidRPr="00DA16AB">
              <w:rPr>
                <w:szCs w:val="18"/>
              </w:rPr>
              <w:t xml:space="preserve">transportation </w:t>
            </w:r>
            <w:r>
              <w:rPr>
                <w:rFonts w:asciiTheme="majorHAnsi" w:hAnsiTheme="majorHAnsi" w:cstheme="majorHAnsi"/>
                <w:color w:val="000000"/>
                <w:szCs w:val="18"/>
              </w:rPr>
              <w:t>service provider</w:t>
            </w:r>
            <w:r w:rsidR="002570FE">
              <w:rPr>
                <w:rFonts w:asciiTheme="majorHAnsi" w:hAnsiTheme="majorHAnsi" w:cstheme="majorHAnsi"/>
                <w:color w:val="000000"/>
                <w:szCs w:val="18"/>
              </w:rPr>
              <w:t xml:space="preserve"> when the transfer occurs</w:t>
            </w:r>
            <w:r>
              <w:rPr>
                <w:rFonts w:asciiTheme="majorHAnsi" w:hAnsiTheme="majorHAnsi" w:cstheme="majorHAnsi"/>
                <w:color w:val="000000"/>
                <w:szCs w:val="18"/>
              </w:rPr>
              <w:t>.</w:t>
            </w:r>
          </w:p>
        </w:tc>
      </w:tr>
      <w:tr w:rsidR="00307760" w:rsidRPr="00C37D44" w14:paraId="3CE79770" w14:textId="77777777" w:rsidTr="00A63967">
        <w:trPr>
          <w:cnfStyle w:val="000000010000" w:firstRow="0" w:lastRow="0" w:firstColumn="0" w:lastColumn="0" w:oddVBand="0" w:evenVBand="0" w:oddHBand="0" w:evenHBand="1" w:firstRowFirstColumn="0" w:firstRowLastColumn="0" w:lastRowFirstColumn="0" w:lastRowLastColumn="0"/>
        </w:trPr>
        <w:tc>
          <w:tcPr>
            <w:tcW w:w="1560" w:type="dxa"/>
            <w:tcBorders>
              <w:top w:val="single" w:sz="4" w:space="0" w:color="auto"/>
              <w:left w:val="nil"/>
              <w:bottom w:val="single" w:sz="4" w:space="0" w:color="auto"/>
              <w:right w:val="single" w:sz="4" w:space="0" w:color="auto"/>
            </w:tcBorders>
            <w:hideMark/>
          </w:tcPr>
          <w:p w14:paraId="0367B15A" w14:textId="77777777" w:rsidR="00307760" w:rsidRPr="00F04A8E" w:rsidRDefault="00307760" w:rsidP="00307760">
            <w:pPr>
              <w:pStyle w:val="BodyText"/>
              <w:keepNext/>
              <w:spacing w:before="60" w:after="60"/>
              <w:rPr>
                <w:rFonts w:asciiTheme="majorHAnsi" w:hAnsiTheme="majorHAnsi" w:cstheme="majorHAnsi"/>
                <w:b/>
                <w:szCs w:val="18"/>
              </w:rPr>
            </w:pPr>
            <w:r w:rsidRPr="00D30678">
              <w:rPr>
                <w:rFonts w:asciiTheme="majorHAnsi" w:hAnsiTheme="majorHAnsi" w:cstheme="majorHAnsi"/>
                <w:b/>
                <w:szCs w:val="18"/>
              </w:rPr>
              <w:t>Management of financial and delivery default risks</w:t>
            </w:r>
          </w:p>
        </w:tc>
        <w:tc>
          <w:tcPr>
            <w:tcW w:w="12190" w:type="dxa"/>
            <w:tcBorders>
              <w:top w:val="single" w:sz="4" w:space="0" w:color="auto"/>
              <w:left w:val="single" w:sz="4" w:space="0" w:color="auto"/>
              <w:bottom w:val="single" w:sz="4" w:space="0" w:color="auto"/>
              <w:right w:val="nil"/>
            </w:tcBorders>
            <w:hideMark/>
          </w:tcPr>
          <w:p w14:paraId="3C0B75FA" w14:textId="77777777" w:rsidR="00307760" w:rsidRPr="00C37D44" w:rsidRDefault="008D31D3" w:rsidP="00307760">
            <w:pPr>
              <w:pStyle w:val="TableBodyText"/>
              <w:keepNext/>
              <w:rPr>
                <w:rFonts w:asciiTheme="majorHAnsi" w:hAnsiTheme="majorHAnsi" w:cstheme="majorHAnsi"/>
                <w:szCs w:val="18"/>
              </w:rPr>
            </w:pPr>
            <w:r>
              <w:rPr>
                <w:rFonts w:asciiTheme="majorHAnsi" w:hAnsiTheme="majorHAnsi" w:cstheme="majorHAnsi"/>
                <w:szCs w:val="18"/>
              </w:rPr>
              <w:t>B</w:t>
            </w:r>
            <w:r w:rsidR="00307760" w:rsidRPr="00C37D44">
              <w:rPr>
                <w:rFonts w:asciiTheme="majorHAnsi" w:hAnsiTheme="majorHAnsi" w:cstheme="majorHAnsi"/>
                <w:szCs w:val="18"/>
              </w:rPr>
              <w:t xml:space="preserve">uyers using the exchange </w:t>
            </w:r>
            <w:r>
              <w:rPr>
                <w:rFonts w:asciiTheme="majorHAnsi" w:hAnsiTheme="majorHAnsi" w:cstheme="majorHAnsi"/>
                <w:szCs w:val="18"/>
              </w:rPr>
              <w:t>are</w:t>
            </w:r>
            <w:r w:rsidR="00307760" w:rsidRPr="00C37D44">
              <w:rPr>
                <w:rFonts w:asciiTheme="majorHAnsi" w:hAnsiTheme="majorHAnsi" w:cstheme="majorHAnsi"/>
                <w:szCs w:val="18"/>
              </w:rPr>
              <w:t xml:space="preserve"> exposed to</w:t>
            </w:r>
            <w:r>
              <w:rPr>
                <w:rFonts w:asciiTheme="majorHAnsi" w:hAnsiTheme="majorHAnsi" w:cstheme="majorHAnsi"/>
                <w:szCs w:val="18"/>
              </w:rPr>
              <w:t xml:space="preserve"> </w:t>
            </w:r>
            <w:r w:rsidRPr="00C37D44">
              <w:rPr>
                <w:rFonts w:asciiTheme="majorHAnsi" w:hAnsiTheme="majorHAnsi" w:cstheme="majorHAnsi"/>
                <w:szCs w:val="18"/>
              </w:rPr>
              <w:t>two key risks</w:t>
            </w:r>
            <w:r w:rsidR="00307760" w:rsidRPr="00C37D44">
              <w:rPr>
                <w:rFonts w:asciiTheme="majorHAnsi" w:hAnsiTheme="majorHAnsi" w:cstheme="majorHAnsi"/>
                <w:szCs w:val="18"/>
              </w:rPr>
              <w:t>:</w:t>
            </w:r>
          </w:p>
          <w:p w14:paraId="1EB9DF13" w14:textId="77777777" w:rsidR="00307760" w:rsidRPr="00B46E13" w:rsidRDefault="00307760" w:rsidP="00307760">
            <w:pPr>
              <w:pStyle w:val="TableBullet1"/>
              <w:keepNext/>
              <w:numPr>
                <w:ilvl w:val="0"/>
                <w:numId w:val="27"/>
              </w:numPr>
              <w:rPr>
                <w:rFonts w:asciiTheme="majorHAnsi" w:hAnsiTheme="majorHAnsi" w:cstheme="majorHAnsi"/>
                <w:szCs w:val="18"/>
              </w:rPr>
            </w:pPr>
            <w:r w:rsidRPr="00B46E13">
              <w:rPr>
                <w:rFonts w:asciiTheme="majorHAnsi" w:hAnsiTheme="majorHAnsi" w:cstheme="majorHAnsi"/>
                <w:szCs w:val="18"/>
              </w:rPr>
              <w:t xml:space="preserve">The </w:t>
            </w:r>
            <w:r w:rsidR="00443460">
              <w:rPr>
                <w:rFonts w:asciiTheme="majorHAnsi" w:hAnsiTheme="majorHAnsi" w:cstheme="majorHAnsi"/>
                <w:szCs w:val="18"/>
              </w:rPr>
              <w:t xml:space="preserve">risk that the </w:t>
            </w:r>
            <w:r w:rsidRPr="00B46E13">
              <w:rPr>
                <w:rFonts w:asciiTheme="majorHAnsi" w:hAnsiTheme="majorHAnsi" w:cstheme="majorHAnsi"/>
                <w:szCs w:val="18"/>
              </w:rPr>
              <w:t xml:space="preserve">seller’s primary facility agreement is terminated or suspended by the </w:t>
            </w:r>
            <w:r w:rsidR="006E27CF">
              <w:rPr>
                <w:rFonts w:asciiTheme="majorHAnsi" w:hAnsiTheme="majorHAnsi" w:cstheme="majorHAnsi"/>
                <w:szCs w:val="18"/>
              </w:rPr>
              <w:t xml:space="preserve">transportation </w:t>
            </w:r>
            <w:r w:rsidRPr="00B46E13">
              <w:rPr>
                <w:rFonts w:asciiTheme="majorHAnsi" w:hAnsiTheme="majorHAnsi" w:cstheme="majorHAnsi"/>
                <w:szCs w:val="18"/>
              </w:rPr>
              <w:t>service provider:</w:t>
            </w:r>
            <w:r w:rsidR="005415B7">
              <w:rPr>
                <w:rStyle w:val="FootnoteReference"/>
                <w:rFonts w:asciiTheme="majorHAnsi" w:hAnsiTheme="majorHAnsi" w:cstheme="majorHAnsi"/>
              </w:rPr>
              <w:t xml:space="preserve"> </w:t>
            </w:r>
            <w:r w:rsidR="005415B7">
              <w:rPr>
                <w:rStyle w:val="FootnoteReference"/>
                <w:rFonts w:asciiTheme="majorHAnsi" w:hAnsiTheme="majorHAnsi" w:cstheme="majorHAnsi"/>
              </w:rPr>
              <w:footnoteReference w:id="214"/>
            </w:r>
            <w:r w:rsidRPr="00B46E13">
              <w:rPr>
                <w:rFonts w:asciiTheme="majorHAnsi" w:hAnsiTheme="majorHAnsi" w:cstheme="majorHAnsi"/>
                <w:szCs w:val="18"/>
              </w:rPr>
              <w:t xml:space="preserve"> </w:t>
            </w:r>
          </w:p>
          <w:p w14:paraId="5BAF9AEA" w14:textId="77777777" w:rsidR="003B087D" w:rsidRPr="003B087D" w:rsidRDefault="00307760" w:rsidP="003B087D">
            <w:pPr>
              <w:pStyle w:val="TableBullet2"/>
              <w:rPr>
                <w:szCs w:val="18"/>
              </w:rPr>
            </w:pPr>
            <w:r w:rsidRPr="003B087D">
              <w:t xml:space="preserve">If the agreement is </w:t>
            </w:r>
            <w:r w:rsidRPr="00443460">
              <w:rPr>
                <w:b/>
              </w:rPr>
              <w:t>terminated</w:t>
            </w:r>
            <w:r w:rsidRPr="003B087D">
              <w:t xml:space="preserve">, the </w:t>
            </w:r>
            <w:r w:rsidR="006E27CF" w:rsidRPr="003B087D">
              <w:t xml:space="preserve">transportation </w:t>
            </w:r>
            <w:r w:rsidRPr="003B087D">
              <w:t xml:space="preserve">service provider will be obliged to notify AEMO of the termination of the primary facility agreement and to honour the transaction for up to 14 days after the notification is received. If this occurs, the </w:t>
            </w:r>
            <w:r w:rsidR="003B087D" w:rsidRPr="003B087D">
              <w:t xml:space="preserve">transportation </w:t>
            </w:r>
            <w:r w:rsidRPr="003B087D">
              <w:t xml:space="preserve">service provider will </w:t>
            </w:r>
            <w:r w:rsidR="003B087D">
              <w:t xml:space="preserve">be entitled to be paid an amount determined by </w:t>
            </w:r>
            <w:r w:rsidR="003B087D" w:rsidRPr="003B087D">
              <w:rPr>
                <w:szCs w:val="18"/>
              </w:rPr>
              <w:t>AEMO using the methodology set out in the CT&amp;A Procedures, which must comply with the following requirements:</w:t>
            </w:r>
            <w:r w:rsidR="00443460">
              <w:rPr>
                <w:rStyle w:val="FootnoteReference"/>
              </w:rPr>
              <w:t xml:space="preserve"> </w:t>
            </w:r>
            <w:r w:rsidR="00443460">
              <w:rPr>
                <w:rStyle w:val="FootnoteReference"/>
              </w:rPr>
              <w:footnoteReference w:id="215"/>
            </w:r>
            <w:r w:rsidR="003B087D" w:rsidRPr="003B087D">
              <w:rPr>
                <w:szCs w:val="18"/>
              </w:rPr>
              <w:t xml:space="preserve"> </w:t>
            </w:r>
          </w:p>
          <w:p w14:paraId="7AD6F9FE" w14:textId="77777777" w:rsidR="003B087D" w:rsidRDefault="003B087D" w:rsidP="00443460">
            <w:pPr>
              <w:pStyle w:val="ListBullet2"/>
              <w:ind w:left="924" w:hanging="357"/>
            </w:pPr>
            <w:r>
              <w:t>the amount payable must be determined by reference to the price (or prices) at which the terminated seller sold the capacity through the exchange; and</w:t>
            </w:r>
          </w:p>
          <w:p w14:paraId="24417033" w14:textId="77777777" w:rsidR="003B087D" w:rsidRDefault="003B087D" w:rsidP="00443460">
            <w:pPr>
              <w:pStyle w:val="ListBullet2"/>
              <w:ind w:left="924" w:hanging="357"/>
            </w:pPr>
            <w:r>
              <w:t xml:space="preserve">the amount payable must be determined in respect of the quantity of capacity the </w:t>
            </w:r>
            <w:r w:rsidR="00DA16AB" w:rsidRPr="00DA16AB">
              <w:rPr>
                <w:szCs w:val="18"/>
              </w:rPr>
              <w:t xml:space="preserve">transportation </w:t>
            </w:r>
            <w:r>
              <w:t>service provider is required to continue to provide.</w:t>
            </w:r>
          </w:p>
          <w:p w14:paraId="7D7A0FCB" w14:textId="77777777" w:rsidR="00307760" w:rsidRDefault="00307760" w:rsidP="00307760">
            <w:pPr>
              <w:pStyle w:val="TableBullet2"/>
              <w:rPr>
                <w:rFonts w:asciiTheme="majorHAnsi" w:hAnsiTheme="majorHAnsi" w:cstheme="majorHAnsi"/>
              </w:rPr>
            </w:pPr>
            <w:r w:rsidRPr="00B46E13">
              <w:rPr>
                <w:rFonts w:asciiTheme="majorHAnsi" w:hAnsiTheme="majorHAnsi" w:cstheme="majorHAnsi"/>
              </w:rPr>
              <w:t xml:space="preserve">If the agreement is </w:t>
            </w:r>
            <w:r w:rsidRPr="00443460">
              <w:rPr>
                <w:rFonts w:asciiTheme="majorHAnsi" w:hAnsiTheme="majorHAnsi" w:cstheme="majorHAnsi"/>
                <w:b/>
              </w:rPr>
              <w:t>suspended</w:t>
            </w:r>
            <w:r w:rsidRPr="00B46E13">
              <w:rPr>
                <w:rFonts w:asciiTheme="majorHAnsi" w:hAnsiTheme="majorHAnsi" w:cstheme="majorHAnsi"/>
              </w:rPr>
              <w:t xml:space="preserve">, the </w:t>
            </w:r>
            <w:r w:rsidR="003B087D">
              <w:rPr>
                <w:rFonts w:asciiTheme="majorHAnsi" w:hAnsiTheme="majorHAnsi" w:cstheme="majorHAnsi"/>
              </w:rPr>
              <w:t xml:space="preserve">transportation </w:t>
            </w:r>
            <w:r w:rsidRPr="00B46E13">
              <w:rPr>
                <w:rFonts w:asciiTheme="majorHAnsi" w:hAnsiTheme="majorHAnsi" w:cstheme="majorHAnsi"/>
              </w:rPr>
              <w:t xml:space="preserve">service provider will be obliged to honour the trade for the term of the trade. In contrast to a termination, the </w:t>
            </w:r>
            <w:r w:rsidR="003B087D">
              <w:rPr>
                <w:rFonts w:asciiTheme="majorHAnsi" w:hAnsiTheme="majorHAnsi" w:cstheme="majorHAnsi"/>
              </w:rPr>
              <w:t xml:space="preserve">transportation </w:t>
            </w:r>
            <w:r w:rsidRPr="00B46E13">
              <w:rPr>
                <w:rFonts w:asciiTheme="majorHAnsi" w:hAnsiTheme="majorHAnsi" w:cstheme="majorHAnsi"/>
              </w:rPr>
              <w:t>service provider will not receive any payment for honouring the trade</w:t>
            </w:r>
            <w:r w:rsidR="003B087D">
              <w:rPr>
                <w:rFonts w:asciiTheme="majorHAnsi" w:hAnsiTheme="majorHAnsi" w:cstheme="majorHAnsi"/>
              </w:rPr>
              <w:t>,</w:t>
            </w:r>
            <w:r w:rsidRPr="00B46E13">
              <w:rPr>
                <w:rFonts w:asciiTheme="majorHAnsi" w:hAnsiTheme="majorHAnsi" w:cstheme="majorHAnsi"/>
              </w:rPr>
              <w:t xml:space="preserve"> because it will be expected to continue recovering the charges from the seller under the terms of the primary facility agreement.</w:t>
            </w:r>
          </w:p>
          <w:p w14:paraId="4EBCD296" w14:textId="77777777" w:rsidR="00307760" w:rsidRPr="00C37D44" w:rsidRDefault="00307760" w:rsidP="008D31D3">
            <w:pPr>
              <w:pStyle w:val="TableBullet1"/>
              <w:keepNext/>
              <w:numPr>
                <w:ilvl w:val="0"/>
                <w:numId w:val="27"/>
              </w:numPr>
              <w:rPr>
                <w:rFonts w:asciiTheme="majorHAnsi" w:hAnsiTheme="majorHAnsi" w:cstheme="majorHAnsi"/>
                <w:szCs w:val="18"/>
              </w:rPr>
            </w:pPr>
            <w:r w:rsidRPr="00C37D44">
              <w:rPr>
                <w:rFonts w:asciiTheme="majorHAnsi" w:hAnsiTheme="majorHAnsi" w:cstheme="majorHAnsi"/>
                <w:szCs w:val="18"/>
              </w:rPr>
              <w:t xml:space="preserve">The </w:t>
            </w:r>
            <w:r w:rsidR="00443460">
              <w:rPr>
                <w:rFonts w:asciiTheme="majorHAnsi" w:hAnsiTheme="majorHAnsi" w:cstheme="majorHAnsi"/>
                <w:szCs w:val="18"/>
              </w:rPr>
              <w:t xml:space="preserve">risk that the </w:t>
            </w:r>
            <w:r w:rsidRPr="00C37D44">
              <w:rPr>
                <w:rFonts w:asciiTheme="majorHAnsi" w:hAnsiTheme="majorHAnsi" w:cstheme="majorHAnsi"/>
                <w:szCs w:val="18"/>
              </w:rPr>
              <w:t>seller’s facility agreement does not provide for the services that have been sold</w:t>
            </w:r>
            <w:r w:rsidR="002570FE">
              <w:rPr>
                <w:rFonts w:asciiTheme="majorHAnsi" w:hAnsiTheme="majorHAnsi" w:cstheme="majorHAnsi"/>
                <w:szCs w:val="18"/>
              </w:rPr>
              <w:t>.</w:t>
            </w:r>
            <w:r w:rsidRPr="00C37D44">
              <w:rPr>
                <w:rFonts w:asciiTheme="majorHAnsi" w:hAnsiTheme="majorHAnsi" w:cstheme="majorHAnsi"/>
                <w:szCs w:val="18"/>
              </w:rPr>
              <w:t xml:space="preserve"> In this case, the arrangements in the </w:t>
            </w:r>
            <w:r w:rsidR="00201550">
              <w:rPr>
                <w:rFonts w:asciiTheme="majorHAnsi" w:hAnsiTheme="majorHAnsi" w:cstheme="majorHAnsi"/>
                <w:szCs w:val="18"/>
              </w:rPr>
              <w:t>CT&amp;A Procedures</w:t>
            </w:r>
            <w:r w:rsidRPr="00C37D44">
              <w:rPr>
                <w:rFonts w:asciiTheme="majorHAnsi" w:hAnsiTheme="majorHAnsi" w:cstheme="majorHAnsi"/>
                <w:szCs w:val="18"/>
              </w:rPr>
              <w:t xml:space="preserve"> will give the seller a short period of time to rectify the position. If it cannot be rectified, the trade will be cancelled, and the buyer(s) compensated </w:t>
            </w:r>
            <w:r>
              <w:rPr>
                <w:rFonts w:asciiTheme="majorHAnsi" w:hAnsiTheme="majorHAnsi" w:cstheme="majorHAnsi"/>
                <w:szCs w:val="18"/>
              </w:rPr>
              <w:t xml:space="preserve">under the delivery failure arrangements in the </w:t>
            </w:r>
            <w:r w:rsidR="003B087D">
              <w:rPr>
                <w:rFonts w:asciiTheme="majorHAnsi" w:hAnsiTheme="majorHAnsi" w:cstheme="majorHAnsi"/>
                <w:szCs w:val="18"/>
              </w:rPr>
              <w:t>e</w:t>
            </w:r>
            <w:r>
              <w:rPr>
                <w:rFonts w:asciiTheme="majorHAnsi" w:hAnsiTheme="majorHAnsi" w:cstheme="majorHAnsi"/>
                <w:szCs w:val="18"/>
              </w:rPr>
              <w:t xml:space="preserve">xchange </w:t>
            </w:r>
            <w:r w:rsidR="003B087D">
              <w:rPr>
                <w:rFonts w:asciiTheme="majorHAnsi" w:hAnsiTheme="majorHAnsi" w:cstheme="majorHAnsi"/>
                <w:szCs w:val="18"/>
              </w:rPr>
              <w:t>a</w:t>
            </w:r>
            <w:r>
              <w:rPr>
                <w:rFonts w:asciiTheme="majorHAnsi" w:hAnsiTheme="majorHAnsi" w:cstheme="majorHAnsi"/>
                <w:szCs w:val="18"/>
              </w:rPr>
              <w:t>greement</w:t>
            </w:r>
            <w:r w:rsidRPr="00C37D44">
              <w:rPr>
                <w:rFonts w:asciiTheme="majorHAnsi" w:hAnsiTheme="majorHAnsi" w:cstheme="majorHAnsi"/>
                <w:szCs w:val="18"/>
              </w:rPr>
              <w:t xml:space="preserve">. Because individual counterparties will not be known, if a trade is cancelled all secondary shippers’ capacity </w:t>
            </w:r>
            <w:r w:rsidR="002570FE">
              <w:rPr>
                <w:rFonts w:asciiTheme="majorHAnsi" w:hAnsiTheme="majorHAnsi" w:cstheme="majorHAnsi"/>
                <w:szCs w:val="18"/>
              </w:rPr>
              <w:t>will</w:t>
            </w:r>
            <w:r w:rsidRPr="00C37D44">
              <w:rPr>
                <w:rFonts w:asciiTheme="majorHAnsi" w:hAnsiTheme="majorHAnsi" w:cstheme="majorHAnsi"/>
                <w:szCs w:val="18"/>
              </w:rPr>
              <w:t xml:space="preserve"> be pro-rated down. In addition to this measure, exchange members </w:t>
            </w:r>
            <w:r w:rsidR="008D31D3">
              <w:rPr>
                <w:rFonts w:asciiTheme="majorHAnsi" w:hAnsiTheme="majorHAnsi" w:cstheme="majorHAnsi"/>
                <w:szCs w:val="18"/>
              </w:rPr>
              <w:t xml:space="preserve">are </w:t>
            </w:r>
            <w:r w:rsidRPr="00C37D44">
              <w:rPr>
                <w:rFonts w:asciiTheme="majorHAnsi" w:hAnsiTheme="majorHAnsi" w:cstheme="majorHAnsi"/>
                <w:szCs w:val="18"/>
              </w:rPr>
              <w:t>prohibited from short-selling capacity</w:t>
            </w:r>
            <w:r>
              <w:rPr>
                <w:rFonts w:asciiTheme="majorHAnsi" w:hAnsiTheme="majorHAnsi" w:cstheme="majorHAnsi"/>
                <w:szCs w:val="18"/>
              </w:rPr>
              <w:t>.</w:t>
            </w:r>
            <w:r w:rsidR="002570FE">
              <w:rPr>
                <w:rStyle w:val="FootnoteReference"/>
                <w:rFonts w:asciiTheme="majorHAnsi" w:hAnsiTheme="majorHAnsi" w:cstheme="majorHAnsi"/>
                <w:szCs w:val="18"/>
              </w:rPr>
              <w:footnoteReference w:id="216"/>
            </w:r>
            <w:r>
              <w:rPr>
                <w:rFonts w:asciiTheme="majorHAnsi" w:hAnsiTheme="majorHAnsi" w:cstheme="majorHAnsi"/>
                <w:szCs w:val="18"/>
              </w:rPr>
              <w:t xml:space="preserve"> When </w:t>
            </w:r>
            <w:r w:rsidRPr="00C37D44">
              <w:rPr>
                <w:rFonts w:asciiTheme="majorHAnsi" w:hAnsiTheme="majorHAnsi" w:cstheme="majorHAnsi"/>
                <w:szCs w:val="18"/>
              </w:rPr>
              <w:t xml:space="preserve">coupled with the prudential controls in the GSH, </w:t>
            </w:r>
            <w:r>
              <w:rPr>
                <w:rFonts w:asciiTheme="majorHAnsi" w:hAnsiTheme="majorHAnsi" w:cstheme="majorHAnsi"/>
                <w:szCs w:val="18"/>
              </w:rPr>
              <w:t xml:space="preserve">these provisions </w:t>
            </w:r>
            <w:r w:rsidRPr="00C37D44">
              <w:rPr>
                <w:rFonts w:asciiTheme="majorHAnsi" w:hAnsiTheme="majorHAnsi" w:cstheme="majorHAnsi"/>
                <w:szCs w:val="18"/>
              </w:rPr>
              <w:t xml:space="preserve">should discourage any uncovered speculative trading. </w:t>
            </w:r>
          </w:p>
        </w:tc>
      </w:tr>
    </w:tbl>
    <w:p w14:paraId="1BA98074" w14:textId="77777777" w:rsidR="00307760" w:rsidRDefault="00307760" w:rsidP="00307760">
      <w:pPr>
        <w:pStyle w:val="BodyText"/>
        <w:sectPr w:rsidR="00307760" w:rsidSect="005C7634">
          <w:pgSz w:w="16839" w:h="11907" w:orient="landscape" w:code="9"/>
          <w:pgMar w:top="1701" w:right="1418" w:bottom="709" w:left="1701" w:header="425" w:footer="397" w:gutter="0"/>
          <w:cols w:space="708"/>
          <w:docGrid w:linePitch="360"/>
        </w:sectPr>
      </w:pPr>
    </w:p>
    <w:p w14:paraId="50B190AC" w14:textId="56BD1530" w:rsidR="00307760" w:rsidRDefault="00307760" w:rsidP="00307760">
      <w:pPr>
        <w:pStyle w:val="BodyText"/>
      </w:pPr>
      <w:r>
        <w:lastRenderedPageBreak/>
        <w:t xml:space="preserve">As </w:t>
      </w:r>
      <w:r>
        <w:fldChar w:fldCharType="begin"/>
      </w:r>
      <w:r>
        <w:instrText xml:space="preserve"> REF _Ref508823283 \h </w:instrText>
      </w:r>
      <w:r>
        <w:fldChar w:fldCharType="separate"/>
      </w:r>
      <w:r w:rsidR="0026074F">
        <w:t xml:space="preserve">Table </w:t>
      </w:r>
      <w:r w:rsidR="0026074F">
        <w:rPr>
          <w:noProof/>
        </w:rPr>
        <w:t>6</w:t>
      </w:r>
      <w:r w:rsidR="0026074F">
        <w:t>.</w:t>
      </w:r>
      <w:r w:rsidR="0026074F">
        <w:rPr>
          <w:noProof/>
        </w:rPr>
        <w:t>1</w:t>
      </w:r>
      <w:r>
        <w:fldChar w:fldCharType="end"/>
      </w:r>
      <w:r>
        <w:t xml:space="preserve"> highlights, the initial set of services to be listed on the exchange will include firm forward haul services, firm stand-alone compression services and firm park (storage) services. While it will be possible to add other products to the exchange over time or to extend the term of the existing set of products, as a practical matter, a product can only be listed on the exchange if it can be 'delivered'. In the case of transportation services, 'delivery' requires the </w:t>
      </w:r>
      <w:r w:rsidR="003B087D">
        <w:t xml:space="preserve">transportation </w:t>
      </w:r>
      <w:r>
        <w:t xml:space="preserve">service provider to agree to give effect to the trade. The reach of the platform is therefore constrained by the specification of standardised services in the Code. Any proposal to add different types of transportation services to the exchange (e.g. a loan service) would therefore require changes to the Code (unless a </w:t>
      </w:r>
      <w:r w:rsidR="003B087D">
        <w:t xml:space="preserve">transportation </w:t>
      </w:r>
      <w:r>
        <w:t>service provider volunteers to put in place arrangements to allow the trade of other products).</w:t>
      </w:r>
    </w:p>
    <w:p w14:paraId="4707E89B" w14:textId="77777777" w:rsidR="00307760" w:rsidRDefault="00307760" w:rsidP="003B087D">
      <w:pPr>
        <w:pStyle w:val="Heading2"/>
        <w:spacing w:before="240" w:after="120"/>
      </w:pPr>
      <w:bookmarkStart w:id="78" w:name="_Toc530546470"/>
      <w:r>
        <w:t>Legal and regulatory framework</w:t>
      </w:r>
      <w:bookmarkEnd w:id="78"/>
      <w:r>
        <w:t xml:space="preserve"> </w:t>
      </w:r>
    </w:p>
    <w:p w14:paraId="15735F26" w14:textId="77777777" w:rsidR="00307760" w:rsidRDefault="00307760" w:rsidP="003B087D">
      <w:pPr>
        <w:pStyle w:val="BodyText"/>
        <w:spacing w:before="120"/>
      </w:pPr>
      <w:r>
        <w:t xml:space="preserve">The capacity trading platform will form part of the GSH and will therefore be subject to the legal and regulatory framework that has been established for the GSH. An overview of this framework is provided in Table 7.2. </w:t>
      </w:r>
    </w:p>
    <w:p w14:paraId="0615EA4F" w14:textId="72740D5F" w:rsidR="00307760" w:rsidRDefault="00307760" w:rsidP="003B087D">
      <w:pPr>
        <w:pStyle w:val="Caption"/>
        <w:spacing w:before="120" w:after="0"/>
      </w:pPr>
      <w:bookmarkStart w:id="79" w:name="_Ref513746322"/>
      <w:bookmarkStart w:id="80" w:name="_Ref508683078"/>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6</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2</w:t>
      </w:r>
      <w:r w:rsidR="002B13EB">
        <w:rPr>
          <w:noProof/>
        </w:rPr>
        <w:fldChar w:fldCharType="end"/>
      </w:r>
      <w:bookmarkEnd w:id="79"/>
      <w:r>
        <w:t xml:space="preserve">: </w:t>
      </w:r>
      <w:bookmarkEnd w:id="80"/>
      <w:r>
        <w:t xml:space="preserve">Existing GSH legal and regulatory framework </w:t>
      </w:r>
    </w:p>
    <w:tbl>
      <w:tblPr>
        <w:tblStyle w:val="TableGrid"/>
        <w:tblW w:w="5097" w:type="pct"/>
        <w:tblLook w:val="0420" w:firstRow="1" w:lastRow="0" w:firstColumn="0" w:lastColumn="0" w:noHBand="0" w:noVBand="1"/>
        <w:tblCaption w:val="Table E.2"/>
        <w:tblDescription w:val="Current GSH governance framework "/>
      </w:tblPr>
      <w:tblGrid>
        <w:gridCol w:w="1276"/>
        <w:gridCol w:w="7682"/>
      </w:tblGrid>
      <w:tr w:rsidR="00307760" w14:paraId="3E777A7B" w14:textId="77777777" w:rsidTr="005415B7">
        <w:trPr>
          <w:cnfStyle w:val="100000000000" w:firstRow="1" w:lastRow="0" w:firstColumn="0" w:lastColumn="0" w:oddVBand="0" w:evenVBand="0" w:oddHBand="0" w:evenHBand="0" w:firstRowFirstColumn="0" w:firstRowLastColumn="0" w:lastRowFirstColumn="0" w:lastRowLastColumn="0"/>
          <w:cantSplit/>
          <w:tblHeader/>
        </w:trPr>
        <w:tc>
          <w:tcPr>
            <w:tcW w:w="712" w:type="pct"/>
            <w:tcBorders>
              <w:top w:val="single" w:sz="4" w:space="0" w:color="auto"/>
              <w:left w:val="nil"/>
              <w:bottom w:val="single" w:sz="4" w:space="0" w:color="auto"/>
              <w:right w:val="single" w:sz="4" w:space="0" w:color="auto"/>
            </w:tcBorders>
            <w:shd w:val="clear" w:color="auto" w:fill="0099CC"/>
            <w:hideMark/>
          </w:tcPr>
          <w:p w14:paraId="11CA8057" w14:textId="77777777" w:rsidR="00307760" w:rsidRDefault="00307760" w:rsidP="005415B7">
            <w:pPr>
              <w:pStyle w:val="TableHeading"/>
              <w:spacing w:line="252" w:lineRule="auto"/>
              <w:rPr>
                <w:szCs w:val="18"/>
                <w:lang w:eastAsia="fr-CA"/>
              </w:rPr>
            </w:pPr>
            <w:r>
              <w:rPr>
                <w:szCs w:val="18"/>
                <w:lang w:eastAsia="fr-CA"/>
              </w:rPr>
              <w:t>Instrument</w:t>
            </w:r>
          </w:p>
        </w:tc>
        <w:tc>
          <w:tcPr>
            <w:tcW w:w="4288" w:type="pct"/>
            <w:tcBorders>
              <w:top w:val="single" w:sz="4" w:space="0" w:color="auto"/>
              <w:left w:val="single" w:sz="4" w:space="0" w:color="auto"/>
              <w:bottom w:val="single" w:sz="4" w:space="0" w:color="auto"/>
              <w:right w:val="nil"/>
            </w:tcBorders>
            <w:shd w:val="clear" w:color="auto" w:fill="0099CC"/>
            <w:hideMark/>
          </w:tcPr>
          <w:p w14:paraId="20AA4075" w14:textId="77777777" w:rsidR="00307760" w:rsidRDefault="00307760" w:rsidP="005415B7">
            <w:pPr>
              <w:pStyle w:val="TableHeading"/>
              <w:spacing w:line="252" w:lineRule="auto"/>
              <w:rPr>
                <w:szCs w:val="18"/>
                <w:lang w:eastAsia="fr-CA"/>
              </w:rPr>
            </w:pPr>
            <w:r>
              <w:rPr>
                <w:szCs w:val="18"/>
                <w:lang w:eastAsia="fr-CA"/>
              </w:rPr>
              <w:t>Description</w:t>
            </w:r>
          </w:p>
        </w:tc>
      </w:tr>
      <w:tr w:rsidR="00307760" w14:paraId="19497B73" w14:textId="77777777" w:rsidTr="005415B7">
        <w:trPr>
          <w:cantSplit/>
        </w:trPr>
        <w:tc>
          <w:tcPr>
            <w:tcW w:w="712" w:type="pct"/>
            <w:tcBorders>
              <w:top w:val="single" w:sz="4" w:space="0" w:color="auto"/>
              <w:left w:val="nil"/>
              <w:bottom w:val="single" w:sz="4" w:space="0" w:color="auto"/>
              <w:right w:val="single" w:sz="4" w:space="0" w:color="auto"/>
            </w:tcBorders>
            <w:hideMark/>
          </w:tcPr>
          <w:p w14:paraId="08A2A072" w14:textId="77777777" w:rsidR="00307760" w:rsidRDefault="00307760" w:rsidP="005415B7">
            <w:pPr>
              <w:pStyle w:val="TableBodyText"/>
              <w:spacing w:line="252" w:lineRule="auto"/>
              <w:rPr>
                <w:szCs w:val="18"/>
                <w:lang w:eastAsia="fr-CA"/>
              </w:rPr>
            </w:pPr>
            <w:r>
              <w:rPr>
                <w:szCs w:val="18"/>
                <w:lang w:eastAsia="fr-CA"/>
              </w:rPr>
              <w:t>NGL (Chapter 2, Part 6 Division 2B)</w:t>
            </w:r>
          </w:p>
        </w:tc>
        <w:tc>
          <w:tcPr>
            <w:tcW w:w="4288" w:type="pct"/>
            <w:tcBorders>
              <w:top w:val="single" w:sz="4" w:space="0" w:color="auto"/>
              <w:left w:val="single" w:sz="4" w:space="0" w:color="auto"/>
              <w:bottom w:val="single" w:sz="4" w:space="0" w:color="auto"/>
              <w:right w:val="nil"/>
            </w:tcBorders>
            <w:hideMark/>
          </w:tcPr>
          <w:p w14:paraId="61F1EE22" w14:textId="77777777" w:rsidR="00307760" w:rsidRDefault="00307760" w:rsidP="005415B7">
            <w:pPr>
              <w:pStyle w:val="TableBodyText"/>
              <w:spacing w:line="252" w:lineRule="auto"/>
              <w:rPr>
                <w:szCs w:val="18"/>
                <w:lang w:eastAsia="fr-CA"/>
              </w:rPr>
            </w:pPr>
            <w:r>
              <w:rPr>
                <w:szCs w:val="18"/>
              </w:rPr>
              <w:t xml:space="preserve">AEMO operates the GSH as one of its statutory functions under section 91BRK of the NGL. This section </w:t>
            </w:r>
            <w:r>
              <w:rPr>
                <w:szCs w:val="18"/>
                <w:lang w:eastAsia="fr-CA"/>
              </w:rPr>
              <w:t xml:space="preserve">provides for AEMO to establish, operate and administer ‘gas trading exchanges’, which are defined as facilities through which persons may elect to buy and sell natural gas or related goods or services, including pipeline capacity. This section also allows </w:t>
            </w:r>
            <w:r>
              <w:rPr>
                <w:rFonts w:eastAsiaTheme="majorEastAsia"/>
                <w:szCs w:val="18"/>
              </w:rPr>
              <w:t xml:space="preserve">AEMO to make and administer the </w:t>
            </w:r>
            <w:r w:rsidR="000E0023">
              <w:rPr>
                <w:rFonts w:eastAsiaTheme="majorEastAsia"/>
                <w:szCs w:val="18"/>
              </w:rPr>
              <w:t>e</w:t>
            </w:r>
            <w:r w:rsidR="005415B7">
              <w:rPr>
                <w:rFonts w:eastAsiaTheme="majorEastAsia"/>
                <w:szCs w:val="18"/>
              </w:rPr>
              <w:t xml:space="preserve">xchange </w:t>
            </w:r>
            <w:r w:rsidR="000E0023">
              <w:rPr>
                <w:rFonts w:eastAsiaTheme="majorEastAsia"/>
                <w:szCs w:val="18"/>
              </w:rPr>
              <w:t>a</w:t>
            </w:r>
            <w:r w:rsidR="005415B7">
              <w:rPr>
                <w:rFonts w:eastAsiaTheme="majorEastAsia"/>
                <w:szCs w:val="18"/>
              </w:rPr>
              <w:t>greement</w:t>
            </w:r>
            <w:r>
              <w:rPr>
                <w:rFonts w:eastAsiaTheme="majorEastAsia"/>
                <w:szCs w:val="18"/>
              </w:rPr>
              <w:t xml:space="preserve">.  </w:t>
            </w:r>
          </w:p>
        </w:tc>
      </w:tr>
      <w:tr w:rsidR="00307760" w14:paraId="35D057F9" w14:textId="77777777" w:rsidTr="005415B7">
        <w:trPr>
          <w:cnfStyle w:val="000000010000" w:firstRow="0" w:lastRow="0" w:firstColumn="0" w:lastColumn="0" w:oddVBand="0" w:evenVBand="0" w:oddHBand="0" w:evenHBand="1" w:firstRowFirstColumn="0" w:firstRowLastColumn="0" w:lastRowFirstColumn="0" w:lastRowLastColumn="0"/>
          <w:cantSplit/>
        </w:trPr>
        <w:tc>
          <w:tcPr>
            <w:tcW w:w="712" w:type="pct"/>
            <w:tcBorders>
              <w:top w:val="single" w:sz="4" w:space="0" w:color="auto"/>
              <w:left w:val="nil"/>
              <w:bottom w:val="single" w:sz="4" w:space="0" w:color="auto"/>
              <w:right w:val="single" w:sz="4" w:space="0" w:color="auto"/>
            </w:tcBorders>
            <w:hideMark/>
          </w:tcPr>
          <w:p w14:paraId="3311B03D" w14:textId="77777777" w:rsidR="00307760" w:rsidRDefault="00307760" w:rsidP="005415B7">
            <w:pPr>
              <w:pStyle w:val="TableBodyText"/>
              <w:spacing w:line="252" w:lineRule="auto"/>
              <w:rPr>
                <w:szCs w:val="18"/>
                <w:lang w:eastAsia="fr-CA"/>
              </w:rPr>
            </w:pPr>
            <w:r>
              <w:rPr>
                <w:szCs w:val="18"/>
                <w:lang w:eastAsia="fr-CA"/>
              </w:rPr>
              <w:t>Part 22 of the NGR</w:t>
            </w:r>
          </w:p>
        </w:tc>
        <w:tc>
          <w:tcPr>
            <w:tcW w:w="4288" w:type="pct"/>
            <w:tcBorders>
              <w:top w:val="single" w:sz="4" w:space="0" w:color="auto"/>
              <w:left w:val="single" w:sz="4" w:space="0" w:color="auto"/>
              <w:bottom w:val="single" w:sz="4" w:space="0" w:color="auto"/>
              <w:right w:val="nil"/>
            </w:tcBorders>
            <w:hideMark/>
          </w:tcPr>
          <w:p w14:paraId="48A2D63F" w14:textId="77777777" w:rsidR="00307760" w:rsidRDefault="00307760" w:rsidP="005415B7">
            <w:pPr>
              <w:pStyle w:val="TableBodyText"/>
              <w:spacing w:line="252" w:lineRule="auto"/>
              <w:rPr>
                <w:rFonts w:eastAsiaTheme="majorEastAsia"/>
                <w:szCs w:val="18"/>
              </w:rPr>
            </w:pPr>
            <w:r>
              <w:rPr>
                <w:rFonts w:eastAsiaTheme="majorEastAsia"/>
                <w:szCs w:val="18"/>
              </w:rPr>
              <w:t xml:space="preserve">Part 22 of the NGR </w:t>
            </w:r>
            <w:r w:rsidR="003B087D">
              <w:rPr>
                <w:rFonts w:eastAsiaTheme="majorEastAsia"/>
                <w:szCs w:val="18"/>
              </w:rPr>
              <w:t xml:space="preserve">sets out the </w:t>
            </w:r>
            <w:r>
              <w:rPr>
                <w:rFonts w:eastAsiaTheme="majorEastAsia"/>
                <w:szCs w:val="18"/>
              </w:rPr>
              <w:t xml:space="preserve">rules </w:t>
            </w:r>
            <w:r w:rsidR="003B087D">
              <w:rPr>
                <w:rFonts w:eastAsiaTheme="majorEastAsia"/>
                <w:szCs w:val="18"/>
              </w:rPr>
              <w:t>relating to the GSH, including rules that set out</w:t>
            </w:r>
            <w:r>
              <w:rPr>
                <w:rFonts w:eastAsiaTheme="majorEastAsia"/>
                <w:szCs w:val="18"/>
              </w:rPr>
              <w:t xml:space="preserve">: </w:t>
            </w:r>
          </w:p>
          <w:p w14:paraId="2A0210AB" w14:textId="77777777" w:rsidR="00307760" w:rsidRDefault="005415B7" w:rsidP="005415B7">
            <w:pPr>
              <w:pStyle w:val="TableBullet1"/>
              <w:spacing w:line="252" w:lineRule="auto"/>
              <w:rPr>
                <w:rFonts w:eastAsiaTheme="majorEastAsia"/>
              </w:rPr>
            </w:pPr>
            <w:r>
              <w:rPr>
                <w:rFonts w:eastAsiaTheme="majorEastAsia"/>
              </w:rPr>
              <w:t xml:space="preserve">the </w:t>
            </w:r>
            <w:r w:rsidR="00307760">
              <w:rPr>
                <w:rFonts w:eastAsiaTheme="majorEastAsia"/>
              </w:rPr>
              <w:t>high level design parameters for the exchange;</w:t>
            </w:r>
          </w:p>
          <w:p w14:paraId="2C464B89" w14:textId="77777777" w:rsidR="00307760" w:rsidRDefault="005415B7" w:rsidP="005415B7">
            <w:pPr>
              <w:pStyle w:val="TableBullet1"/>
              <w:spacing w:line="252" w:lineRule="auto"/>
              <w:rPr>
                <w:rFonts w:eastAsiaTheme="majorEastAsia"/>
              </w:rPr>
            </w:pPr>
            <w:r>
              <w:rPr>
                <w:rFonts w:eastAsiaTheme="majorEastAsia"/>
              </w:rPr>
              <w:t xml:space="preserve">the </w:t>
            </w:r>
            <w:r w:rsidR="00307760">
              <w:rPr>
                <w:rFonts w:eastAsiaTheme="majorEastAsia"/>
              </w:rPr>
              <w:t>arrangements for the determination of charges for delivery failures;</w:t>
            </w:r>
          </w:p>
          <w:p w14:paraId="1FCC9153" w14:textId="77777777" w:rsidR="00307760" w:rsidRDefault="005415B7" w:rsidP="005415B7">
            <w:pPr>
              <w:pStyle w:val="TableBullet1"/>
              <w:spacing w:line="252" w:lineRule="auto"/>
              <w:rPr>
                <w:rFonts w:eastAsiaTheme="majorEastAsia"/>
              </w:rPr>
            </w:pPr>
            <w:r>
              <w:rPr>
                <w:rFonts w:eastAsiaTheme="majorEastAsia"/>
              </w:rPr>
              <w:t xml:space="preserve">the </w:t>
            </w:r>
            <w:r w:rsidR="00307760" w:rsidRPr="005C7634">
              <w:rPr>
                <w:rFonts w:eastAsiaTheme="majorEastAsia"/>
              </w:rPr>
              <w:t>arrangements for becoming a member and AEMO’s power to suspend a member;</w:t>
            </w:r>
          </w:p>
          <w:p w14:paraId="05EFECBB" w14:textId="77777777" w:rsidR="005415B7" w:rsidRPr="005C7634" w:rsidRDefault="005415B7" w:rsidP="005415B7">
            <w:pPr>
              <w:pStyle w:val="TableBullet1"/>
              <w:spacing w:line="252" w:lineRule="auto"/>
              <w:rPr>
                <w:rFonts w:eastAsiaTheme="majorEastAsia"/>
              </w:rPr>
            </w:pPr>
            <w:r>
              <w:rPr>
                <w:rFonts w:eastAsiaTheme="majorEastAsia"/>
              </w:rPr>
              <w:t>AEMO’s ability to charge fees for establishing, operating and administering the exchange;</w:t>
            </w:r>
          </w:p>
          <w:p w14:paraId="605971A9" w14:textId="77777777" w:rsidR="00307760" w:rsidRDefault="00307760" w:rsidP="005415B7">
            <w:pPr>
              <w:pStyle w:val="TableBullet1"/>
              <w:spacing w:line="252" w:lineRule="auto"/>
              <w:rPr>
                <w:rFonts w:eastAsiaTheme="majorEastAsia"/>
              </w:rPr>
            </w:pPr>
            <w:r>
              <w:rPr>
                <w:rFonts w:eastAsiaTheme="majorEastAsia"/>
              </w:rPr>
              <w:t xml:space="preserve">the subject matter for the </w:t>
            </w:r>
            <w:r w:rsidR="003B087D">
              <w:rPr>
                <w:rFonts w:eastAsiaTheme="majorEastAsia"/>
              </w:rPr>
              <w:t>e</w:t>
            </w:r>
            <w:r w:rsidR="005415B7">
              <w:rPr>
                <w:rFonts w:eastAsiaTheme="majorEastAsia"/>
              </w:rPr>
              <w:t xml:space="preserve">xchange </w:t>
            </w:r>
            <w:r w:rsidR="003B087D">
              <w:rPr>
                <w:rFonts w:eastAsiaTheme="majorEastAsia"/>
              </w:rPr>
              <w:t>a</w:t>
            </w:r>
            <w:r w:rsidR="005415B7">
              <w:rPr>
                <w:rFonts w:eastAsiaTheme="majorEastAsia"/>
              </w:rPr>
              <w:t>greement</w:t>
            </w:r>
            <w:r>
              <w:rPr>
                <w:rFonts w:eastAsiaTheme="majorEastAsia"/>
              </w:rPr>
              <w:t xml:space="preserve">; and </w:t>
            </w:r>
          </w:p>
          <w:p w14:paraId="626A5548" w14:textId="77777777" w:rsidR="008D31D3" w:rsidRDefault="00307760" w:rsidP="005415B7">
            <w:pPr>
              <w:pStyle w:val="TableBullet1"/>
              <w:spacing w:line="252" w:lineRule="auto"/>
              <w:rPr>
                <w:rFonts w:eastAsiaTheme="majorEastAsia"/>
              </w:rPr>
            </w:pPr>
            <w:r>
              <w:rPr>
                <w:rFonts w:eastAsiaTheme="majorEastAsia"/>
              </w:rPr>
              <w:t>the market conduct rules</w:t>
            </w:r>
          </w:p>
          <w:p w14:paraId="245692C9" w14:textId="77777777" w:rsidR="00307760" w:rsidRDefault="008D31D3" w:rsidP="005415B7">
            <w:pPr>
              <w:pStyle w:val="TableBullet1"/>
              <w:spacing w:line="252" w:lineRule="auto"/>
              <w:rPr>
                <w:rFonts w:eastAsiaTheme="majorEastAsia"/>
              </w:rPr>
            </w:pPr>
            <w:r>
              <w:rPr>
                <w:rFonts w:eastAsiaTheme="majorEastAsia"/>
              </w:rPr>
              <w:t>the prohibition on short selling</w:t>
            </w:r>
            <w:r w:rsidR="00307760">
              <w:rPr>
                <w:rFonts w:eastAsiaTheme="majorEastAsia"/>
              </w:rPr>
              <w:t xml:space="preserve">. </w:t>
            </w:r>
          </w:p>
          <w:p w14:paraId="2849E484" w14:textId="77777777" w:rsidR="00307760" w:rsidRDefault="00307760" w:rsidP="005415B7">
            <w:pPr>
              <w:pStyle w:val="TableBodyText"/>
              <w:spacing w:line="252" w:lineRule="auto"/>
              <w:rPr>
                <w:rFonts w:eastAsiaTheme="majorEastAsia"/>
                <w:szCs w:val="18"/>
              </w:rPr>
            </w:pPr>
            <w:r>
              <w:rPr>
                <w:rFonts w:eastAsiaTheme="majorEastAsia"/>
                <w:szCs w:val="18"/>
              </w:rPr>
              <w:t>Part 22 can be amended by the AEMC through the usual rule change process.  The</w:t>
            </w:r>
            <w:r>
              <w:rPr>
                <w:szCs w:val="18"/>
              </w:rPr>
              <w:t xml:space="preserve"> AER monitors compliance and can investigate and enforce breaches under its ge</w:t>
            </w:r>
            <w:r>
              <w:rPr>
                <w:rFonts w:eastAsiaTheme="majorEastAsia"/>
                <w:szCs w:val="18"/>
              </w:rPr>
              <w:t xml:space="preserve">neral powers.  It also has a specific duty </w:t>
            </w:r>
            <w:r w:rsidR="003B087D">
              <w:rPr>
                <w:rFonts w:eastAsiaTheme="majorEastAsia"/>
                <w:szCs w:val="18"/>
              </w:rPr>
              <w:t xml:space="preserve">under </w:t>
            </w:r>
            <w:r>
              <w:rPr>
                <w:rFonts w:eastAsiaTheme="majorEastAsia"/>
                <w:szCs w:val="18"/>
              </w:rPr>
              <w:t xml:space="preserve">Part 22 </w:t>
            </w:r>
            <w:r w:rsidR="003B087D">
              <w:rPr>
                <w:rFonts w:eastAsiaTheme="majorEastAsia"/>
                <w:szCs w:val="18"/>
              </w:rPr>
              <w:t xml:space="preserve">of the NGR </w:t>
            </w:r>
            <w:r>
              <w:rPr>
                <w:rFonts w:eastAsiaTheme="majorEastAsia"/>
                <w:szCs w:val="18"/>
              </w:rPr>
              <w:t xml:space="preserve">to monitor compliance with </w:t>
            </w:r>
            <w:r w:rsidR="005415B7">
              <w:rPr>
                <w:rFonts w:eastAsiaTheme="majorEastAsia"/>
                <w:szCs w:val="18"/>
              </w:rPr>
              <w:t xml:space="preserve">the </w:t>
            </w:r>
            <w:r>
              <w:rPr>
                <w:rFonts w:eastAsiaTheme="majorEastAsia"/>
                <w:szCs w:val="18"/>
              </w:rPr>
              <w:t>market conduct rules.</w:t>
            </w:r>
          </w:p>
        </w:tc>
      </w:tr>
      <w:tr w:rsidR="00307760" w14:paraId="4E84A4AA" w14:textId="77777777" w:rsidTr="005415B7">
        <w:trPr>
          <w:cantSplit/>
        </w:trPr>
        <w:tc>
          <w:tcPr>
            <w:tcW w:w="712" w:type="pct"/>
            <w:tcBorders>
              <w:top w:val="single" w:sz="4" w:space="0" w:color="auto"/>
              <w:left w:val="nil"/>
              <w:bottom w:val="single" w:sz="4" w:space="0" w:color="auto"/>
              <w:right w:val="single" w:sz="4" w:space="0" w:color="auto"/>
            </w:tcBorders>
            <w:hideMark/>
          </w:tcPr>
          <w:p w14:paraId="14CBB1E5" w14:textId="77777777" w:rsidR="00307760" w:rsidRDefault="005415B7" w:rsidP="005415B7">
            <w:pPr>
              <w:pStyle w:val="TableBodyText"/>
              <w:spacing w:line="252" w:lineRule="auto"/>
              <w:rPr>
                <w:szCs w:val="18"/>
                <w:lang w:eastAsia="fr-CA"/>
              </w:rPr>
            </w:pPr>
            <w:r>
              <w:rPr>
                <w:szCs w:val="18"/>
                <w:lang w:eastAsia="fr-CA"/>
              </w:rPr>
              <w:t xml:space="preserve">Exchange </w:t>
            </w:r>
            <w:r w:rsidR="003B087D">
              <w:rPr>
                <w:szCs w:val="18"/>
                <w:lang w:eastAsia="fr-CA"/>
              </w:rPr>
              <w:t>a</w:t>
            </w:r>
            <w:r>
              <w:rPr>
                <w:szCs w:val="18"/>
                <w:lang w:eastAsia="fr-CA"/>
              </w:rPr>
              <w:t>greement</w:t>
            </w:r>
          </w:p>
        </w:tc>
        <w:tc>
          <w:tcPr>
            <w:tcW w:w="4288" w:type="pct"/>
            <w:tcBorders>
              <w:top w:val="single" w:sz="4" w:space="0" w:color="auto"/>
              <w:left w:val="single" w:sz="4" w:space="0" w:color="auto"/>
              <w:bottom w:val="single" w:sz="4" w:space="0" w:color="auto"/>
              <w:right w:val="nil"/>
            </w:tcBorders>
            <w:hideMark/>
          </w:tcPr>
          <w:p w14:paraId="657447C6" w14:textId="77777777" w:rsidR="00307760" w:rsidRDefault="00307760" w:rsidP="005415B7">
            <w:pPr>
              <w:pStyle w:val="TableBodyText"/>
              <w:spacing w:line="252" w:lineRule="auto"/>
              <w:rPr>
                <w:rFonts w:eastAsiaTheme="majorEastAsia"/>
                <w:szCs w:val="18"/>
              </w:rPr>
            </w:pPr>
            <w:r>
              <w:rPr>
                <w:rFonts w:eastAsiaTheme="majorEastAsia"/>
                <w:szCs w:val="18"/>
              </w:rPr>
              <w:t xml:space="preserve">The </w:t>
            </w:r>
            <w:r w:rsidR="003B087D">
              <w:rPr>
                <w:rFonts w:eastAsiaTheme="majorEastAsia"/>
                <w:szCs w:val="18"/>
              </w:rPr>
              <w:t>e</w:t>
            </w:r>
            <w:r w:rsidR="005415B7">
              <w:rPr>
                <w:rFonts w:eastAsiaTheme="majorEastAsia"/>
                <w:szCs w:val="18"/>
              </w:rPr>
              <w:t xml:space="preserve">xchange </w:t>
            </w:r>
            <w:r w:rsidR="003B087D">
              <w:rPr>
                <w:rFonts w:eastAsiaTheme="majorEastAsia"/>
                <w:szCs w:val="18"/>
              </w:rPr>
              <w:t>a</w:t>
            </w:r>
            <w:r w:rsidR="005415B7">
              <w:rPr>
                <w:rFonts w:eastAsiaTheme="majorEastAsia"/>
                <w:szCs w:val="18"/>
              </w:rPr>
              <w:t>greement</w:t>
            </w:r>
            <w:r>
              <w:rPr>
                <w:rFonts w:eastAsiaTheme="majorEastAsia"/>
                <w:szCs w:val="18"/>
              </w:rPr>
              <w:t xml:space="preserve"> developed by AEMO (in accordance with the NGR and NGL), is a multilateral contract.  It covers admission to the exchange, prudential requirements, operation of the exchange, product definition, delivery obligations and settlement.  Some provisions (e.g. the Settlements and Prudential Methodology) are set out in subsidiary documents.  </w:t>
            </w:r>
          </w:p>
          <w:p w14:paraId="38F26FDD" w14:textId="77777777" w:rsidR="005415B7" w:rsidRDefault="00307760" w:rsidP="005415B7">
            <w:pPr>
              <w:pStyle w:val="TableBodyText"/>
              <w:spacing w:line="252" w:lineRule="auto"/>
              <w:rPr>
                <w:szCs w:val="18"/>
                <w:lang w:eastAsia="fr-CA"/>
              </w:rPr>
            </w:pPr>
            <w:bookmarkStart w:id="81" w:name="_Hlk499048545"/>
            <w:r>
              <w:rPr>
                <w:rFonts w:eastAsiaTheme="majorEastAsia"/>
                <w:szCs w:val="18"/>
              </w:rPr>
              <w:t xml:space="preserve">The </w:t>
            </w:r>
            <w:r w:rsidR="003B087D">
              <w:rPr>
                <w:rFonts w:eastAsiaTheme="majorEastAsia"/>
                <w:szCs w:val="18"/>
              </w:rPr>
              <w:t>e</w:t>
            </w:r>
            <w:r w:rsidR="005415B7">
              <w:rPr>
                <w:rFonts w:eastAsiaTheme="majorEastAsia"/>
                <w:szCs w:val="18"/>
              </w:rPr>
              <w:t xml:space="preserve">xchange </w:t>
            </w:r>
            <w:r w:rsidR="003B087D">
              <w:rPr>
                <w:rFonts w:eastAsiaTheme="majorEastAsia"/>
                <w:szCs w:val="18"/>
              </w:rPr>
              <w:t>a</w:t>
            </w:r>
            <w:r w:rsidR="005415B7">
              <w:rPr>
                <w:rFonts w:eastAsiaTheme="majorEastAsia"/>
                <w:szCs w:val="18"/>
              </w:rPr>
              <w:t>greement</w:t>
            </w:r>
            <w:r>
              <w:rPr>
                <w:rFonts w:eastAsiaTheme="majorEastAsia"/>
                <w:szCs w:val="18"/>
              </w:rPr>
              <w:t xml:space="preserve"> can be amended by AEMO over time to, for example, add new products, remove redundant products, or make refinements to existing products.</w:t>
            </w:r>
            <w:r>
              <w:rPr>
                <w:szCs w:val="18"/>
                <w:lang w:eastAsia="fr-CA"/>
              </w:rPr>
              <w:t xml:space="preserve"> Specifically, rule 540 allows any person to propose an amendment to the </w:t>
            </w:r>
            <w:r w:rsidR="003B087D">
              <w:rPr>
                <w:szCs w:val="18"/>
                <w:lang w:eastAsia="fr-CA"/>
              </w:rPr>
              <w:t>e</w:t>
            </w:r>
            <w:r w:rsidR="005415B7">
              <w:rPr>
                <w:szCs w:val="18"/>
                <w:lang w:eastAsia="fr-CA"/>
              </w:rPr>
              <w:t xml:space="preserve">xchange </w:t>
            </w:r>
            <w:r w:rsidR="003B087D">
              <w:rPr>
                <w:szCs w:val="18"/>
                <w:lang w:eastAsia="fr-CA"/>
              </w:rPr>
              <w:t>a</w:t>
            </w:r>
            <w:r w:rsidR="005415B7">
              <w:rPr>
                <w:szCs w:val="18"/>
                <w:lang w:eastAsia="fr-CA"/>
              </w:rPr>
              <w:t>greement</w:t>
            </w:r>
            <w:r>
              <w:rPr>
                <w:szCs w:val="18"/>
                <w:lang w:eastAsia="fr-CA"/>
              </w:rPr>
              <w:t xml:space="preserve"> and states that AEMO can approve the amendment if it is satisfied: </w:t>
            </w:r>
          </w:p>
          <w:p w14:paraId="47BA5191" w14:textId="77777777" w:rsidR="005415B7" w:rsidRDefault="00307760" w:rsidP="005415B7">
            <w:pPr>
              <w:pStyle w:val="TableListNumber"/>
              <w:spacing w:line="252" w:lineRule="auto"/>
              <w:rPr>
                <w:lang w:eastAsia="fr-CA"/>
              </w:rPr>
            </w:pPr>
            <w:r>
              <w:rPr>
                <w:lang w:eastAsia="fr-CA"/>
              </w:rPr>
              <w:t xml:space="preserve">the amendment is consistent with the NGL and the NGR; and </w:t>
            </w:r>
          </w:p>
          <w:p w14:paraId="51D8112D" w14:textId="77777777" w:rsidR="005415B7" w:rsidRDefault="00307760" w:rsidP="005415B7">
            <w:pPr>
              <w:pStyle w:val="TableListNumber"/>
              <w:spacing w:line="252" w:lineRule="auto"/>
              <w:rPr>
                <w:lang w:eastAsia="fr-CA"/>
              </w:rPr>
            </w:pPr>
            <w:r>
              <w:rPr>
                <w:lang w:eastAsia="fr-CA"/>
              </w:rPr>
              <w:t xml:space="preserve">the amendment is appropriate having regard to the NGO and the compliance costs likely to be incurred by AEMO and participants. </w:t>
            </w:r>
          </w:p>
          <w:p w14:paraId="6917BB98" w14:textId="77777777" w:rsidR="00307760" w:rsidRDefault="00307760" w:rsidP="005415B7">
            <w:pPr>
              <w:pStyle w:val="TableBodyText"/>
              <w:spacing w:line="252" w:lineRule="auto"/>
              <w:rPr>
                <w:szCs w:val="18"/>
                <w:lang w:eastAsia="fr-CA"/>
              </w:rPr>
            </w:pPr>
            <w:r>
              <w:rPr>
                <w:szCs w:val="18"/>
                <w:lang w:eastAsia="fr-CA"/>
              </w:rPr>
              <w:t xml:space="preserve">Before making a change, AEMO must consult with exchange members and any other persons AEMO thinks would be affected by the proposed amendment. </w:t>
            </w:r>
            <w:bookmarkEnd w:id="81"/>
          </w:p>
        </w:tc>
      </w:tr>
      <w:tr w:rsidR="00307760" w14:paraId="6AA6EBA7" w14:textId="77777777" w:rsidTr="005415B7">
        <w:trPr>
          <w:cnfStyle w:val="000000010000" w:firstRow="0" w:lastRow="0" w:firstColumn="0" w:lastColumn="0" w:oddVBand="0" w:evenVBand="0" w:oddHBand="0" w:evenHBand="1" w:firstRowFirstColumn="0" w:firstRowLastColumn="0" w:lastRowFirstColumn="0" w:lastRowLastColumn="0"/>
          <w:cantSplit/>
        </w:trPr>
        <w:tc>
          <w:tcPr>
            <w:tcW w:w="712" w:type="pct"/>
            <w:tcBorders>
              <w:top w:val="single" w:sz="4" w:space="0" w:color="auto"/>
              <w:left w:val="nil"/>
              <w:bottom w:val="single" w:sz="4" w:space="0" w:color="auto"/>
              <w:right w:val="single" w:sz="4" w:space="0" w:color="auto"/>
            </w:tcBorders>
            <w:hideMark/>
          </w:tcPr>
          <w:p w14:paraId="51ADDD8E" w14:textId="77777777" w:rsidR="00307760" w:rsidRDefault="00307760" w:rsidP="005415B7">
            <w:pPr>
              <w:pStyle w:val="TableBodyText"/>
              <w:spacing w:line="252" w:lineRule="auto"/>
              <w:rPr>
                <w:szCs w:val="18"/>
                <w:lang w:eastAsia="fr-CA"/>
              </w:rPr>
            </w:pPr>
            <w:bookmarkStart w:id="82" w:name="_Hlk492233680"/>
            <w:r>
              <w:rPr>
                <w:szCs w:val="18"/>
                <w:lang w:eastAsia="fr-CA"/>
              </w:rPr>
              <w:lastRenderedPageBreak/>
              <w:t>GSH Subsidiary Documents</w:t>
            </w:r>
          </w:p>
        </w:tc>
        <w:tc>
          <w:tcPr>
            <w:tcW w:w="4288" w:type="pct"/>
            <w:tcBorders>
              <w:top w:val="single" w:sz="4" w:space="0" w:color="auto"/>
              <w:left w:val="single" w:sz="4" w:space="0" w:color="auto"/>
              <w:bottom w:val="single" w:sz="4" w:space="0" w:color="auto"/>
              <w:right w:val="nil"/>
            </w:tcBorders>
            <w:hideMark/>
          </w:tcPr>
          <w:p w14:paraId="16197B96" w14:textId="77777777" w:rsidR="00307760" w:rsidRDefault="00307760" w:rsidP="005415B7">
            <w:pPr>
              <w:pStyle w:val="TableBodyText"/>
              <w:spacing w:line="252" w:lineRule="auto"/>
              <w:rPr>
                <w:szCs w:val="18"/>
              </w:rPr>
            </w:pPr>
            <w:r>
              <w:rPr>
                <w:szCs w:val="18"/>
              </w:rPr>
              <w:t xml:space="preserve">AEMO has the power to make procedures in accordance with the </w:t>
            </w:r>
            <w:r w:rsidR="003B087D">
              <w:rPr>
                <w:szCs w:val="18"/>
              </w:rPr>
              <w:t>e</w:t>
            </w:r>
            <w:r w:rsidR="005415B7">
              <w:rPr>
                <w:szCs w:val="18"/>
              </w:rPr>
              <w:t xml:space="preserve">xchange </w:t>
            </w:r>
            <w:r w:rsidR="003B087D">
              <w:rPr>
                <w:szCs w:val="18"/>
              </w:rPr>
              <w:t>a</w:t>
            </w:r>
            <w:r w:rsidR="005415B7">
              <w:rPr>
                <w:szCs w:val="18"/>
              </w:rPr>
              <w:t>greement</w:t>
            </w:r>
            <w:r>
              <w:rPr>
                <w:szCs w:val="18"/>
              </w:rPr>
              <w:t xml:space="preserve">. The procedures AEMO has published to date include procedures on: reallocations (the Reallocation Procedure); the interface between systems (Interface Protocol); exchange fees; and security deposits. </w:t>
            </w:r>
          </w:p>
        </w:tc>
      </w:tr>
    </w:tbl>
    <w:bookmarkEnd w:id="82"/>
    <w:p w14:paraId="20AB4E6C" w14:textId="77777777" w:rsidR="00307760" w:rsidRDefault="00307760" w:rsidP="00307760">
      <w:pPr>
        <w:pStyle w:val="BodyText"/>
      </w:pPr>
      <w:r>
        <w:t xml:space="preserve">While the capacity trading platform will largely rely on this existing framework, </w:t>
      </w:r>
      <w:r w:rsidR="003B087D">
        <w:t xml:space="preserve">it has been necessary to make </w:t>
      </w:r>
      <w:r>
        <w:t>some amendments to the NGL, NGR and Regulations</w:t>
      </w:r>
      <w:r>
        <w:rPr>
          <w:rFonts w:cs="Arial"/>
        </w:rPr>
        <w:t xml:space="preserve">. </w:t>
      </w:r>
      <w:r>
        <w:t>Further detail on these amendments is provided below.</w:t>
      </w:r>
    </w:p>
    <w:p w14:paraId="66EC3629" w14:textId="77777777" w:rsidR="00307760" w:rsidRDefault="00307760" w:rsidP="00307760">
      <w:pPr>
        <w:pStyle w:val="Heading3"/>
      </w:pPr>
      <w:r>
        <w:t>Changes to the NGL</w:t>
      </w:r>
    </w:p>
    <w:p w14:paraId="0EE6B430" w14:textId="77777777" w:rsidR="00A07B03" w:rsidRDefault="005415B7" w:rsidP="00A07B03">
      <w:pPr>
        <w:pStyle w:val="BodyText"/>
      </w:pPr>
      <w:r>
        <w:t xml:space="preserve">To give effect to the final design of the </w:t>
      </w:r>
      <w:r w:rsidR="003B087D">
        <w:t>capacity trading platform</w:t>
      </w:r>
      <w:r>
        <w:t>, the NGL has been amended to</w:t>
      </w:r>
      <w:r w:rsidR="00A07B03">
        <w:t xml:space="preserve"> extend the subject matter of the </w:t>
      </w:r>
      <w:r>
        <w:t>NGR</w:t>
      </w:r>
      <w:r w:rsidR="00A07B03">
        <w:t xml:space="preserve"> </w:t>
      </w:r>
      <w:r w:rsidR="00DA6E45">
        <w:t xml:space="preserve">and the AEMC’s rule making functions </w:t>
      </w:r>
      <w:r w:rsidR="00A07B03">
        <w:t xml:space="preserve">to </w:t>
      </w:r>
      <w:r w:rsidR="00DA6E45">
        <w:t>include rules relating to:</w:t>
      </w:r>
      <w:r w:rsidR="00DA6E45" w:rsidRPr="00DA6E45">
        <w:rPr>
          <w:rStyle w:val="FootnoteReference"/>
        </w:rPr>
        <w:t xml:space="preserve"> </w:t>
      </w:r>
      <w:r w:rsidR="00DA6E45">
        <w:rPr>
          <w:rStyle w:val="FootnoteReference"/>
        </w:rPr>
        <w:footnoteReference w:id="217"/>
      </w:r>
    </w:p>
    <w:p w14:paraId="439B617D" w14:textId="77777777" w:rsidR="005415B7" w:rsidRDefault="005415B7" w:rsidP="00DA6E45">
      <w:pPr>
        <w:pStyle w:val="ListBullet"/>
      </w:pPr>
      <w:r>
        <w:t xml:space="preserve">the obligations </w:t>
      </w:r>
      <w:r w:rsidR="00DA16AB">
        <w:t xml:space="preserve">transportation </w:t>
      </w:r>
      <w:r>
        <w:t xml:space="preserve">service providers </w:t>
      </w:r>
      <w:r w:rsidR="00A07B03">
        <w:t xml:space="preserve">will have to facilitate </w:t>
      </w:r>
      <w:r>
        <w:t>operational transfers</w:t>
      </w:r>
      <w:r w:rsidR="00A07B03">
        <w:t>;</w:t>
      </w:r>
      <w:r w:rsidR="00A07B03">
        <w:rPr>
          <w:rStyle w:val="FootnoteReference"/>
        </w:rPr>
        <w:footnoteReference w:id="218"/>
      </w:r>
      <w:r w:rsidR="00A07B03">
        <w:t xml:space="preserve"> </w:t>
      </w:r>
    </w:p>
    <w:p w14:paraId="3AF7E043" w14:textId="77777777" w:rsidR="00233587" w:rsidRDefault="00233587" w:rsidP="00233587">
      <w:pPr>
        <w:pStyle w:val="ListBullet"/>
      </w:pPr>
      <w:r>
        <w:t>the priority to be given to a transportation service;</w:t>
      </w:r>
      <w:r>
        <w:rPr>
          <w:rStyle w:val="FootnoteReference"/>
        </w:rPr>
        <w:footnoteReference w:id="219"/>
      </w:r>
      <w:r>
        <w:t xml:space="preserve"> and</w:t>
      </w:r>
    </w:p>
    <w:p w14:paraId="52633ABD" w14:textId="77777777" w:rsidR="00307760" w:rsidRDefault="00A07B03" w:rsidP="00DA6E45">
      <w:pPr>
        <w:pStyle w:val="ListBullet"/>
      </w:pPr>
      <w:r>
        <w:t xml:space="preserve">the use of an operational transportation service after </w:t>
      </w:r>
      <w:r w:rsidR="00DA6E45">
        <w:t>a seller’s primary facility agreement has been terminated or suspended</w:t>
      </w:r>
      <w:r w:rsidR="005415B7">
        <w:t>.</w:t>
      </w:r>
      <w:r w:rsidR="00307760">
        <w:rPr>
          <w:rStyle w:val="FootnoteReference"/>
        </w:rPr>
        <w:footnoteReference w:id="220"/>
      </w:r>
      <w:r w:rsidR="00307760">
        <w:t xml:space="preserve"> </w:t>
      </w:r>
    </w:p>
    <w:p w14:paraId="43D13AAE" w14:textId="77777777" w:rsidR="00DA6E45" w:rsidRDefault="00DA6E45" w:rsidP="003B087D">
      <w:pPr>
        <w:pStyle w:val="BodyText"/>
      </w:pPr>
      <w:r>
        <w:t>The NGL has also been amended to</w:t>
      </w:r>
      <w:r w:rsidR="00BF6073">
        <w:t xml:space="preserve"> extend the subject matter of the NGR and the AEMC’s rule making functions to include the transaction support arrangements that will be used to give effect to trades conducted through the exchange</w:t>
      </w:r>
      <w:r w:rsidR="003B087D">
        <w:t xml:space="preserve"> (see Chapter 5 for more detail).</w:t>
      </w:r>
      <w:r w:rsidR="00BF6073">
        <w:rPr>
          <w:rStyle w:val="FootnoteReference"/>
        </w:rPr>
        <w:footnoteReference w:id="221"/>
      </w:r>
      <w:r w:rsidR="00BF6073">
        <w:t xml:space="preserve"> </w:t>
      </w:r>
    </w:p>
    <w:p w14:paraId="4CC4ECC4" w14:textId="77777777" w:rsidR="00307760" w:rsidRDefault="00307760" w:rsidP="00307760">
      <w:pPr>
        <w:pStyle w:val="Heading3"/>
      </w:pPr>
      <w:r>
        <w:t xml:space="preserve">Changes to the NGR </w:t>
      </w:r>
    </w:p>
    <w:p w14:paraId="39BC06F3" w14:textId="77777777" w:rsidR="00307760" w:rsidRDefault="0082501F" w:rsidP="00307760">
      <w:pPr>
        <w:pStyle w:val="BodyText"/>
      </w:pPr>
      <w:r>
        <w:t xml:space="preserve">In keeping with the amendments that have been made to the </w:t>
      </w:r>
      <w:r w:rsidR="00307760">
        <w:t>NGL</w:t>
      </w:r>
      <w:r>
        <w:t xml:space="preserve"> and the final design of this element of the reform package</w:t>
      </w:r>
      <w:r w:rsidR="00307760">
        <w:t xml:space="preserve">, </w:t>
      </w:r>
      <w:r w:rsidR="00924F95">
        <w:t xml:space="preserve">provisions have been included in </w:t>
      </w:r>
      <w:r>
        <w:t xml:space="preserve">the NGR </w:t>
      </w:r>
      <w:r w:rsidR="00924F95">
        <w:t>that</w:t>
      </w:r>
      <w:r w:rsidR="00307760">
        <w:t xml:space="preserve">: </w:t>
      </w:r>
    </w:p>
    <w:p w14:paraId="7D6379C1" w14:textId="77777777" w:rsidR="00DE6158" w:rsidRDefault="00DE6158" w:rsidP="00DE6158">
      <w:pPr>
        <w:pStyle w:val="ListBullet"/>
        <w:numPr>
          <w:ilvl w:val="0"/>
          <w:numId w:val="25"/>
        </w:numPr>
        <w:ind w:left="357" w:hanging="357"/>
      </w:pPr>
      <w:r>
        <w:t>Specify the priority that capacity procured through the exchange will have if there is insufficient capacity at a service point on a day (i.e. buyers will have secondary firm rights at service points).</w:t>
      </w:r>
      <w:r>
        <w:rPr>
          <w:rStyle w:val="FootnoteReference"/>
        </w:rPr>
        <w:footnoteReference w:id="222"/>
      </w:r>
    </w:p>
    <w:p w14:paraId="6C42ED60" w14:textId="77777777" w:rsidR="00233587" w:rsidRDefault="003B087D" w:rsidP="00233587">
      <w:pPr>
        <w:pStyle w:val="ListBullet"/>
        <w:numPr>
          <w:ilvl w:val="0"/>
          <w:numId w:val="25"/>
        </w:numPr>
        <w:ind w:left="357" w:hanging="357"/>
      </w:pPr>
      <w:r>
        <w:t>Set out t</w:t>
      </w:r>
      <w:r w:rsidR="00233587">
        <w:t>he obligation</w:t>
      </w:r>
      <w:r w:rsidR="00233587" w:rsidRPr="00DA16AB">
        <w:t xml:space="preserve">s that </w:t>
      </w:r>
      <w:r w:rsidR="00DA16AB" w:rsidRPr="00DA16AB">
        <w:t xml:space="preserve">transportation </w:t>
      </w:r>
      <w:r w:rsidR="00233587">
        <w:t xml:space="preserve">service providers have to give effect to operational transfers arising as a result of trades carried out through the exchange (subject to any transaction support arrangements in the </w:t>
      </w:r>
      <w:r w:rsidR="00201550">
        <w:t>CT&amp;A Procedures</w:t>
      </w:r>
      <w:r w:rsidR="00233587">
        <w:t xml:space="preserve"> and the terms and conditions of the applicable facility agreemen</w:t>
      </w:r>
      <w:r>
        <w:t>t)</w:t>
      </w:r>
      <w:r w:rsidR="00233587">
        <w:rPr>
          <w:rStyle w:val="CommentReference"/>
          <w:rFonts w:asciiTheme="minorHAnsi" w:eastAsiaTheme="minorHAnsi" w:hAnsiTheme="minorHAnsi" w:cstheme="minorBidi"/>
          <w:lang w:eastAsia="en-US"/>
        </w:rPr>
        <w:t>.</w:t>
      </w:r>
      <w:r w:rsidR="00233587">
        <w:rPr>
          <w:rStyle w:val="FootnoteReference"/>
        </w:rPr>
        <w:footnoteReference w:id="223"/>
      </w:r>
      <w:r w:rsidR="00233587">
        <w:t xml:space="preserve"> </w:t>
      </w:r>
    </w:p>
    <w:p w14:paraId="5E997D46" w14:textId="77777777" w:rsidR="00307760" w:rsidRDefault="003B087D" w:rsidP="00307760">
      <w:pPr>
        <w:pStyle w:val="ListBullet"/>
        <w:numPr>
          <w:ilvl w:val="0"/>
          <w:numId w:val="25"/>
        </w:numPr>
        <w:ind w:left="357" w:hanging="357"/>
      </w:pPr>
      <w:r>
        <w:t>Set out t</w:t>
      </w:r>
      <w:r w:rsidR="00233587">
        <w:t xml:space="preserve">he obligations that </w:t>
      </w:r>
      <w:r w:rsidR="00DA16AB" w:rsidRPr="00DA16AB">
        <w:t xml:space="preserve">transportation </w:t>
      </w:r>
      <w:r w:rsidR="00307760">
        <w:t xml:space="preserve">service providers will have to honour transactions conducted through the exchange that are given effect through an </w:t>
      </w:r>
      <w:r w:rsidR="00C71A73">
        <w:t>OTSA</w:t>
      </w:r>
      <w:r w:rsidR="007B0EEF">
        <w:t xml:space="preserve">, </w:t>
      </w:r>
      <w:r w:rsidR="007B0EEF">
        <w:lastRenderedPageBreak/>
        <w:t>which differ depending on whether the primary facility agreement has been</w:t>
      </w:r>
      <w:r>
        <w:t xml:space="preserve"> terminated or suspended (see Table 6.1</w:t>
      </w:r>
      <w:r w:rsidR="00443460">
        <w:t xml:space="preserve"> for more detail</w:t>
      </w:r>
      <w:r>
        <w:t>).</w:t>
      </w:r>
      <w:r w:rsidR="00307760">
        <w:rPr>
          <w:rStyle w:val="FootnoteReference"/>
        </w:rPr>
        <w:footnoteReference w:id="224"/>
      </w:r>
      <w:r w:rsidR="00307760">
        <w:t xml:space="preserve"> </w:t>
      </w:r>
    </w:p>
    <w:p w14:paraId="4167DAF2" w14:textId="77777777" w:rsidR="00307760" w:rsidRDefault="00924F95" w:rsidP="00924F95">
      <w:pPr>
        <w:pStyle w:val="BodyText"/>
      </w:pPr>
      <w:r>
        <w:t xml:space="preserve">Provisions have also been included in Part 22 of the </w:t>
      </w:r>
      <w:r w:rsidR="00307760">
        <w:t>NGR to:</w:t>
      </w:r>
    </w:p>
    <w:p w14:paraId="48473AB3" w14:textId="77777777" w:rsidR="00307760" w:rsidRDefault="00307760" w:rsidP="00307760">
      <w:pPr>
        <w:pStyle w:val="ListBullet"/>
      </w:pPr>
      <w:r>
        <w:t>prohibit short selling of transportation capacity;</w:t>
      </w:r>
      <w:r>
        <w:rPr>
          <w:rStyle w:val="FootnoteReference"/>
        </w:rPr>
        <w:footnoteReference w:id="225"/>
      </w:r>
      <w:r>
        <w:t xml:space="preserve"> and</w:t>
      </w:r>
    </w:p>
    <w:p w14:paraId="6FA3B520" w14:textId="77777777" w:rsidR="00307760" w:rsidRDefault="00307760" w:rsidP="00307760">
      <w:pPr>
        <w:pStyle w:val="ListBullet"/>
        <w:rPr>
          <w:rStyle w:val="EMR-Term-Local"/>
          <w:rFonts w:eastAsiaTheme="minorHAnsi"/>
        </w:rPr>
      </w:pPr>
      <w:r>
        <w:t>give AEMO some flexibility to deal with the recovery of the costs o</w:t>
      </w:r>
      <w:r w:rsidRPr="002104D9">
        <w:rPr>
          <w:rStyle w:val="EMR-Term-Local"/>
          <w:rFonts w:eastAsiaTheme="minorHAnsi"/>
          <w:b w:val="0"/>
        </w:rPr>
        <w:t xml:space="preserve">f establishing, operating and administering the </w:t>
      </w:r>
      <w:r w:rsidR="00201550">
        <w:rPr>
          <w:rStyle w:val="EMR-Term-Local"/>
          <w:rFonts w:eastAsiaTheme="minorHAnsi"/>
          <w:b w:val="0"/>
        </w:rPr>
        <w:t>CT&amp;A Procedures</w:t>
      </w:r>
      <w:r>
        <w:rPr>
          <w:rStyle w:val="EMR-Term-Local"/>
          <w:rFonts w:eastAsiaTheme="minorHAnsi"/>
        </w:rPr>
        <w:t>.</w:t>
      </w:r>
      <w:r>
        <w:rPr>
          <w:rStyle w:val="FootnoteReference"/>
          <w:bCs/>
        </w:rPr>
        <w:footnoteReference w:id="226"/>
      </w:r>
    </w:p>
    <w:p w14:paraId="76686D21" w14:textId="77777777" w:rsidR="00307760" w:rsidRPr="002104D9" w:rsidRDefault="00307760" w:rsidP="00307760">
      <w:pPr>
        <w:pStyle w:val="BodyText"/>
        <w:rPr>
          <w:rFonts w:eastAsiaTheme="minorHAnsi"/>
        </w:rPr>
      </w:pPr>
      <w:r>
        <w:t xml:space="preserve">These </w:t>
      </w:r>
      <w:r w:rsidR="00924F95">
        <w:t>provisions</w:t>
      </w:r>
      <w:r>
        <w:t xml:space="preserve"> are set out in </w:t>
      </w:r>
      <w:r w:rsidRPr="002104D9">
        <w:t xml:space="preserve">Part 22 (Gas Trading Exchange) and Division 6 of Part 24 (Facilitating capacity trades and the capacity auction). </w:t>
      </w:r>
    </w:p>
    <w:p w14:paraId="1F2F8965" w14:textId="77777777" w:rsidR="00307760" w:rsidRDefault="00307760" w:rsidP="00307760">
      <w:pPr>
        <w:pStyle w:val="BodyText"/>
      </w:pPr>
      <w:r>
        <w:t xml:space="preserve">These provisions should be read in conjunction with: </w:t>
      </w:r>
    </w:p>
    <w:p w14:paraId="7DB6ABA6" w14:textId="77777777" w:rsidR="00307760" w:rsidRDefault="00924F95" w:rsidP="00307760">
      <w:pPr>
        <w:pStyle w:val="ListBullet"/>
        <w:numPr>
          <w:ilvl w:val="0"/>
          <w:numId w:val="25"/>
        </w:numPr>
        <w:ind w:left="357" w:hanging="357"/>
      </w:pPr>
      <w:r>
        <w:t>O</w:t>
      </w:r>
      <w:r w:rsidR="00307760">
        <w:t xml:space="preserve">ther divisions in </w:t>
      </w:r>
      <w:r w:rsidR="00307760" w:rsidRPr="00C71A73">
        <w:rPr>
          <w:b/>
        </w:rPr>
        <w:t>Part 24 (Facilitating capacity trades and the capacity auction)</w:t>
      </w:r>
      <w:r w:rsidR="00307760">
        <w:t>, which, amongst other things, set out:</w:t>
      </w:r>
    </w:p>
    <w:p w14:paraId="63E3F5D7" w14:textId="77777777" w:rsidR="00307760" w:rsidRDefault="00307760" w:rsidP="00307760">
      <w:pPr>
        <w:pStyle w:val="ListBullet2"/>
        <w:ind w:left="714" w:hanging="357"/>
      </w:pPr>
      <w:r>
        <w:t>the matters that must be dealt with in the Code, which include the specification of the standard operational transportation services that will be available on the exchange and the terms on which those services can be used;</w:t>
      </w:r>
      <w:r w:rsidR="00924F95">
        <w:rPr>
          <w:rStyle w:val="FootnoteReference"/>
        </w:rPr>
        <w:footnoteReference w:id="227"/>
      </w:r>
    </w:p>
    <w:p w14:paraId="3B5B20BB" w14:textId="77777777" w:rsidR="00307760" w:rsidRDefault="00307760" w:rsidP="00307760">
      <w:pPr>
        <w:pStyle w:val="ListBullet2"/>
        <w:ind w:left="714" w:hanging="357"/>
      </w:pPr>
      <w:r>
        <w:t xml:space="preserve">a number of matters to be dealt with in the </w:t>
      </w:r>
      <w:r w:rsidR="00201550">
        <w:t>CT&amp;A Procedures</w:t>
      </w:r>
      <w:r>
        <w:t>, including:</w:t>
      </w:r>
      <w:r>
        <w:rPr>
          <w:rStyle w:val="FootnoteReference"/>
        </w:rPr>
        <w:t xml:space="preserve"> </w:t>
      </w:r>
      <w:r>
        <w:rPr>
          <w:rStyle w:val="FootnoteReference"/>
        </w:rPr>
        <w:footnoteReference w:id="228"/>
      </w:r>
      <w:r>
        <w:t xml:space="preserve"> </w:t>
      </w:r>
    </w:p>
    <w:p w14:paraId="320387CB" w14:textId="77777777" w:rsidR="00307760" w:rsidRDefault="00307760" w:rsidP="00307760">
      <w:pPr>
        <w:pStyle w:val="ListBullet3"/>
        <w:numPr>
          <w:ilvl w:val="0"/>
          <w:numId w:val="26"/>
        </w:numPr>
      </w:pPr>
      <w:r>
        <w:t>the process for obtaining information on the transportation facility agreements to be used to give effect to trades conducted through the exchange;</w:t>
      </w:r>
      <w:r w:rsidR="00924F95">
        <w:rPr>
          <w:rStyle w:val="FootnoteReference"/>
        </w:rPr>
        <w:footnoteReference w:id="229"/>
      </w:r>
      <w:r>
        <w:rPr>
          <w:rStyle w:val="FootnoteReference"/>
        </w:rPr>
        <w:t xml:space="preserve"> </w:t>
      </w:r>
    </w:p>
    <w:p w14:paraId="4C7D32C3" w14:textId="77777777" w:rsidR="00307760" w:rsidRDefault="00307760" w:rsidP="00307760">
      <w:pPr>
        <w:pStyle w:val="ListBullet2"/>
        <w:numPr>
          <w:ilvl w:val="0"/>
          <w:numId w:val="26"/>
        </w:numPr>
      </w:pPr>
      <w:r>
        <w:t>the process for determining the zones and service points that will be used for capacity trades conducted through the exchange;</w:t>
      </w:r>
      <w:r w:rsidR="00924F95">
        <w:rPr>
          <w:rStyle w:val="FootnoteReference"/>
        </w:rPr>
        <w:footnoteReference w:id="230"/>
      </w:r>
      <w:r>
        <w:t xml:space="preserve"> </w:t>
      </w:r>
    </w:p>
    <w:p w14:paraId="7A114FA2" w14:textId="77777777" w:rsidR="00307760" w:rsidRDefault="00307760" w:rsidP="00307760">
      <w:pPr>
        <w:pStyle w:val="ListBullet2"/>
        <w:numPr>
          <w:ilvl w:val="0"/>
          <w:numId w:val="26"/>
        </w:numPr>
      </w:pPr>
      <w:r>
        <w:t xml:space="preserve">the arrangements that will apply to capacity procured through the capacity trading platform at a DWGM </w:t>
      </w:r>
      <w:r w:rsidR="00924F95">
        <w:t xml:space="preserve">or </w:t>
      </w:r>
      <w:r>
        <w:t>STTM interface point;</w:t>
      </w:r>
      <w:r w:rsidR="00924F95">
        <w:rPr>
          <w:rStyle w:val="FootnoteReference"/>
        </w:rPr>
        <w:footnoteReference w:id="231"/>
      </w:r>
      <w:r>
        <w:t xml:space="preserve"> and</w:t>
      </w:r>
    </w:p>
    <w:p w14:paraId="0528F02B" w14:textId="77777777" w:rsidR="00924F95" w:rsidRDefault="00924F95" w:rsidP="00307760">
      <w:pPr>
        <w:pStyle w:val="ListBullet2"/>
        <w:numPr>
          <w:ilvl w:val="0"/>
          <w:numId w:val="26"/>
        </w:numPr>
      </w:pPr>
      <w:r>
        <w:t>the information that AEMO will publish on the Bulletin Board regarding the curtailment of capacity within a zone.</w:t>
      </w:r>
      <w:r>
        <w:rPr>
          <w:rStyle w:val="FootnoteReference"/>
        </w:rPr>
        <w:footnoteReference w:id="232"/>
      </w:r>
    </w:p>
    <w:p w14:paraId="0E924DE8" w14:textId="77777777" w:rsidR="00307760" w:rsidRDefault="00307760" w:rsidP="00307760">
      <w:pPr>
        <w:pStyle w:val="ListBullet"/>
        <w:numPr>
          <w:ilvl w:val="0"/>
          <w:numId w:val="25"/>
        </w:numPr>
        <w:ind w:left="357" w:hanging="357"/>
      </w:pPr>
      <w:r w:rsidRPr="00C71A73">
        <w:rPr>
          <w:b/>
        </w:rPr>
        <w:t>Part 18 (Natural Gas Services Bulletin Board)</w:t>
      </w:r>
      <w:r>
        <w:t xml:space="preserve"> of the NGR and the transitional rules</w:t>
      </w:r>
      <w:r w:rsidR="00924F95">
        <w:t xml:space="preserve"> in Schedule 5</w:t>
      </w:r>
      <w:r w:rsidR="00096CC9">
        <w:t xml:space="preserve"> (Part 5)</w:t>
      </w:r>
      <w:r>
        <w:t xml:space="preserve">, which require additional information to be reported by </w:t>
      </w:r>
      <w:r w:rsidR="00443460">
        <w:t xml:space="preserve">transportation </w:t>
      </w:r>
      <w:r>
        <w:t xml:space="preserve">service providers to enable </w:t>
      </w:r>
      <w:r w:rsidR="00924F95">
        <w:t xml:space="preserve">buyers </w:t>
      </w:r>
      <w:r>
        <w:t xml:space="preserve">to assess the risks associated with capacity procured through </w:t>
      </w:r>
      <w:r w:rsidR="00924F95">
        <w:t>capacity trading platform</w:t>
      </w:r>
      <w:r w:rsidR="00096CC9">
        <w:t xml:space="preserve"> (see Chapter 8 for more detail)</w:t>
      </w:r>
      <w:r>
        <w:t xml:space="preserve">. </w:t>
      </w:r>
    </w:p>
    <w:p w14:paraId="1DC37E2C" w14:textId="77777777" w:rsidR="00307760" w:rsidRDefault="00307760" w:rsidP="00307760">
      <w:pPr>
        <w:pStyle w:val="Heading3"/>
      </w:pPr>
      <w:r>
        <w:lastRenderedPageBreak/>
        <w:t xml:space="preserve">Changes to the Regulations </w:t>
      </w:r>
    </w:p>
    <w:p w14:paraId="6FCC1CFF" w14:textId="77777777" w:rsidR="00307760" w:rsidRDefault="00096CC9" w:rsidP="00307760">
      <w:pPr>
        <w:pStyle w:val="BodyText"/>
      </w:pPr>
      <w:r>
        <w:t xml:space="preserve">Schedules 3 and 4 of the Regulations have been amended to classify a number of capacity trading platform related provisions as </w:t>
      </w:r>
      <w:r w:rsidR="00307760">
        <w:t>civil penalty or conduct provisions. A list of the</w:t>
      </w:r>
      <w:r>
        <w:t>se</w:t>
      </w:r>
      <w:r w:rsidR="00307760">
        <w:t xml:space="preserve"> provisions is </w:t>
      </w:r>
      <w:r>
        <w:t>set out in the table below.</w:t>
      </w:r>
    </w:p>
    <w:p w14:paraId="048159A0" w14:textId="347B3971" w:rsidR="00096CC9" w:rsidRDefault="007B0EEF" w:rsidP="00443460">
      <w:pPr>
        <w:pStyle w:val="Caption"/>
        <w:spacing w:after="0"/>
      </w:pPr>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6</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3</w:t>
      </w:r>
      <w:r w:rsidR="002B13EB">
        <w:rPr>
          <w:noProof/>
        </w:rPr>
        <w:fldChar w:fldCharType="end"/>
      </w:r>
      <w:r>
        <w:t xml:space="preserve">: Civil penalty and conduct provisions </w:t>
      </w:r>
    </w:p>
    <w:tbl>
      <w:tblPr>
        <w:tblStyle w:val="TableGrid"/>
        <w:tblW w:w="5351" w:type="pct"/>
        <w:tblLook w:val="04A0" w:firstRow="1" w:lastRow="0" w:firstColumn="1" w:lastColumn="0" w:noHBand="0" w:noVBand="1"/>
      </w:tblPr>
      <w:tblGrid>
        <w:gridCol w:w="1560"/>
        <w:gridCol w:w="5596"/>
        <w:gridCol w:w="2249"/>
      </w:tblGrid>
      <w:tr w:rsidR="00C71A73" w14:paraId="1BD8C695" w14:textId="77777777" w:rsidTr="00C71A73">
        <w:trPr>
          <w:cnfStyle w:val="100000000000" w:firstRow="1" w:lastRow="0" w:firstColumn="0" w:lastColumn="0" w:oddVBand="0" w:evenVBand="0" w:oddHBand="0" w:evenHBand="0" w:firstRowFirstColumn="0" w:firstRowLastColumn="0" w:lastRowFirstColumn="0" w:lastRowLastColumn="0"/>
          <w:cantSplit/>
          <w:tblHeader/>
        </w:trPr>
        <w:tc>
          <w:tcPr>
            <w:tcW w:w="1560" w:type="dxa"/>
            <w:tcBorders>
              <w:bottom w:val="single" w:sz="4" w:space="0" w:color="auto"/>
            </w:tcBorders>
            <w:shd w:val="clear" w:color="auto" w:fill="0099CC"/>
            <w:hideMark/>
          </w:tcPr>
          <w:p w14:paraId="715813AF" w14:textId="77777777" w:rsidR="00C71A73" w:rsidRDefault="00C71A73" w:rsidP="00443460">
            <w:pPr>
              <w:pStyle w:val="TableHeading"/>
              <w:keepNext/>
              <w:spacing w:before="40" w:after="40"/>
              <w:rPr>
                <w:b w:val="0"/>
              </w:rPr>
            </w:pPr>
            <w:r>
              <w:t>Provision</w:t>
            </w:r>
          </w:p>
        </w:tc>
        <w:tc>
          <w:tcPr>
            <w:tcW w:w="5596" w:type="dxa"/>
            <w:tcBorders>
              <w:bottom w:val="single" w:sz="4" w:space="0" w:color="auto"/>
            </w:tcBorders>
            <w:shd w:val="clear" w:color="auto" w:fill="0099CC"/>
          </w:tcPr>
          <w:p w14:paraId="5AF80221" w14:textId="77777777" w:rsidR="00C71A73" w:rsidRDefault="00C71A73" w:rsidP="00443460">
            <w:pPr>
              <w:pStyle w:val="TableHeading"/>
              <w:keepNext/>
              <w:spacing w:before="40" w:after="40"/>
            </w:pPr>
            <w:r>
              <w:t>Summary of provision</w:t>
            </w:r>
          </w:p>
        </w:tc>
        <w:tc>
          <w:tcPr>
            <w:tcW w:w="2249" w:type="dxa"/>
            <w:tcBorders>
              <w:bottom w:val="single" w:sz="4" w:space="0" w:color="auto"/>
            </w:tcBorders>
            <w:shd w:val="clear" w:color="auto" w:fill="0099CC"/>
            <w:hideMark/>
          </w:tcPr>
          <w:p w14:paraId="77769902" w14:textId="77777777" w:rsidR="00C71A73" w:rsidRDefault="00C71A73" w:rsidP="00443460">
            <w:pPr>
              <w:pStyle w:val="TableHeading"/>
              <w:keepNext/>
              <w:spacing w:before="40" w:after="40"/>
            </w:pPr>
            <w:r>
              <w:t>Type of penalty</w:t>
            </w:r>
          </w:p>
        </w:tc>
      </w:tr>
      <w:tr w:rsidR="00096CC9" w14:paraId="4E1D6C64" w14:textId="77777777" w:rsidTr="007B0EEF">
        <w:trPr>
          <w:cantSplit/>
        </w:trPr>
        <w:tc>
          <w:tcPr>
            <w:tcW w:w="9405" w:type="dxa"/>
            <w:gridSpan w:val="3"/>
            <w:shd w:val="clear" w:color="auto" w:fill="65697F" w:themeFill="background2" w:themeFillShade="80"/>
          </w:tcPr>
          <w:p w14:paraId="6647087C" w14:textId="77777777" w:rsidR="00096CC9" w:rsidRDefault="00096CC9" w:rsidP="00443460">
            <w:pPr>
              <w:pStyle w:val="TableBodyText"/>
              <w:keepNext/>
              <w:spacing w:before="40" w:after="40"/>
              <w:jc w:val="center"/>
            </w:pPr>
            <w:r w:rsidRPr="007B1704">
              <w:rPr>
                <w:b/>
                <w:color w:val="FFFFFF" w:themeColor="background1"/>
              </w:rPr>
              <w:t>Part 22 of the NGR</w:t>
            </w:r>
          </w:p>
        </w:tc>
      </w:tr>
      <w:tr w:rsidR="00C71A73" w:rsidRPr="0084479B" w14:paraId="386F05ED" w14:textId="77777777" w:rsidTr="00C71A73">
        <w:trPr>
          <w:cnfStyle w:val="000000010000" w:firstRow="0" w:lastRow="0" w:firstColumn="0" w:lastColumn="0" w:oddVBand="0" w:evenVBand="0" w:oddHBand="0" w:evenHBand="1" w:firstRowFirstColumn="0" w:firstRowLastColumn="0" w:lastRowFirstColumn="0" w:lastRowLastColumn="0"/>
          <w:cantSplit/>
        </w:trPr>
        <w:tc>
          <w:tcPr>
            <w:tcW w:w="1560" w:type="dxa"/>
          </w:tcPr>
          <w:p w14:paraId="59D40F05" w14:textId="77777777" w:rsidR="00C71A73" w:rsidRPr="00D95D50" w:rsidRDefault="00C71A73" w:rsidP="00862169">
            <w:pPr>
              <w:pStyle w:val="TableBodyText"/>
              <w:tabs>
                <w:tab w:val="left" w:pos="5046"/>
              </w:tabs>
              <w:spacing w:before="40" w:after="40"/>
            </w:pPr>
            <w:r w:rsidRPr="00D95D50">
              <w:t xml:space="preserve">Rule 543A(1) and (2) </w:t>
            </w:r>
          </w:p>
        </w:tc>
        <w:tc>
          <w:tcPr>
            <w:tcW w:w="5596" w:type="dxa"/>
          </w:tcPr>
          <w:p w14:paraId="375112BA" w14:textId="77777777" w:rsidR="00C71A73" w:rsidRPr="00D95D50" w:rsidRDefault="00443460" w:rsidP="00862169">
            <w:pPr>
              <w:pStyle w:val="TableBodyText"/>
              <w:tabs>
                <w:tab w:val="left" w:pos="5046"/>
              </w:tabs>
              <w:spacing w:before="40" w:after="40"/>
            </w:pPr>
            <w:r>
              <w:t xml:space="preserve">Gas trading exchange members must only sell transportation capacity through the GSH if at the time of the sale </w:t>
            </w:r>
            <w:r w:rsidR="00B531A5">
              <w:t>they have</w:t>
            </w:r>
            <w:r>
              <w:t xml:space="preserve">, or believe on reasonable grounds that </w:t>
            </w:r>
            <w:r w:rsidR="00B531A5">
              <w:t>they have</w:t>
            </w:r>
            <w:r w:rsidR="001C0945">
              <w:t>,</w:t>
            </w:r>
            <w:r w:rsidR="00B531A5">
              <w:t xml:space="preserve"> </w:t>
            </w:r>
            <w:r>
              <w:t>a right to transfer the capacity to the buyer (i.e. n</w:t>
            </w:r>
            <w:r w:rsidR="00C71A73" w:rsidRPr="00D95D50">
              <w:t>o short selling of transportation capacity</w:t>
            </w:r>
            <w:r>
              <w:t>)</w:t>
            </w:r>
          </w:p>
        </w:tc>
        <w:tc>
          <w:tcPr>
            <w:tcW w:w="2249" w:type="dxa"/>
          </w:tcPr>
          <w:p w14:paraId="3C48303A" w14:textId="77777777" w:rsidR="00C71A73" w:rsidRPr="0084479B" w:rsidRDefault="00C71A73" w:rsidP="00862169">
            <w:pPr>
              <w:pStyle w:val="TableBodyText"/>
              <w:spacing w:before="40" w:after="40"/>
            </w:pPr>
            <w:r w:rsidRPr="00D95D50">
              <w:t>Civil penalty and conduct provision</w:t>
            </w:r>
          </w:p>
        </w:tc>
      </w:tr>
      <w:tr w:rsidR="007B0EEF" w:rsidRPr="00886B5E" w14:paraId="277B60BF" w14:textId="77777777" w:rsidTr="00C71A73">
        <w:trPr>
          <w:cantSplit/>
        </w:trPr>
        <w:tc>
          <w:tcPr>
            <w:tcW w:w="9405" w:type="dxa"/>
            <w:gridSpan w:val="3"/>
            <w:tcBorders>
              <w:bottom w:val="single" w:sz="4" w:space="0" w:color="auto"/>
            </w:tcBorders>
            <w:shd w:val="clear" w:color="auto" w:fill="65697F" w:themeFill="background2" w:themeFillShade="80"/>
            <w:hideMark/>
          </w:tcPr>
          <w:p w14:paraId="16431B4F" w14:textId="77777777" w:rsidR="007B0EEF" w:rsidRPr="00886B5E" w:rsidRDefault="007B0EEF" w:rsidP="00862169">
            <w:pPr>
              <w:pStyle w:val="TableBodyText"/>
              <w:keepNext/>
              <w:spacing w:before="40" w:after="40"/>
              <w:jc w:val="center"/>
              <w:rPr>
                <w:b/>
                <w:color w:val="FFFFFF" w:themeColor="background1"/>
              </w:rPr>
            </w:pPr>
            <w:r w:rsidRPr="00886B5E">
              <w:rPr>
                <w:b/>
                <w:color w:val="FFFFFF" w:themeColor="background1"/>
              </w:rPr>
              <w:t>Part 24 of the NGR</w:t>
            </w:r>
          </w:p>
        </w:tc>
      </w:tr>
      <w:tr w:rsidR="00C71A73" w14:paraId="0E7E2FB5" w14:textId="77777777" w:rsidTr="00C71A73">
        <w:trPr>
          <w:cnfStyle w:val="000000010000" w:firstRow="0" w:lastRow="0" w:firstColumn="0" w:lastColumn="0" w:oddVBand="0" w:evenVBand="0" w:oddHBand="0" w:evenHBand="1" w:firstRowFirstColumn="0" w:firstRowLastColumn="0" w:lastRowFirstColumn="0" w:lastRowLastColumn="0"/>
          <w:cantSplit/>
        </w:trPr>
        <w:tc>
          <w:tcPr>
            <w:tcW w:w="1560" w:type="dxa"/>
            <w:tcBorders>
              <w:bottom w:val="single" w:sz="4" w:space="0" w:color="auto"/>
            </w:tcBorders>
            <w:shd w:val="clear" w:color="auto" w:fill="FFFFFF" w:themeFill="background1"/>
          </w:tcPr>
          <w:p w14:paraId="433B37F5" w14:textId="77777777" w:rsidR="00C71A73" w:rsidRPr="004F2763" w:rsidRDefault="00C71A73" w:rsidP="00862169">
            <w:pPr>
              <w:pStyle w:val="TableBodyText"/>
              <w:spacing w:before="40" w:after="40"/>
            </w:pPr>
            <w:r w:rsidRPr="004F2763">
              <w:t>Rule 63</w:t>
            </w:r>
            <w:r>
              <w:t>8(1)</w:t>
            </w:r>
            <w:r w:rsidRPr="004F2763">
              <w:t xml:space="preserve"> </w:t>
            </w:r>
          </w:p>
        </w:tc>
        <w:tc>
          <w:tcPr>
            <w:tcW w:w="5596" w:type="dxa"/>
            <w:tcBorders>
              <w:bottom w:val="single" w:sz="4" w:space="0" w:color="auto"/>
            </w:tcBorders>
            <w:shd w:val="clear" w:color="auto" w:fill="FFFFFF" w:themeFill="background1"/>
          </w:tcPr>
          <w:p w14:paraId="51DE9129" w14:textId="77777777" w:rsidR="00C71A73" w:rsidRPr="004F2763" w:rsidRDefault="00443460" w:rsidP="00862169">
            <w:pPr>
              <w:pStyle w:val="TableBodyText"/>
              <w:spacing w:before="40" w:after="40"/>
            </w:pPr>
            <w:r>
              <w:t>Transportation s</w:t>
            </w:r>
            <w:r w:rsidR="00C71A73">
              <w:t>ervice provider</w:t>
            </w:r>
            <w:r w:rsidR="00F15E3F">
              <w:t>s</w:t>
            </w:r>
            <w:r w:rsidR="00C71A73">
              <w:t xml:space="preserve"> </w:t>
            </w:r>
            <w:r w:rsidR="00F15E3F">
              <w:t xml:space="preserve">of </w:t>
            </w:r>
            <w:r w:rsidR="00C71A73">
              <w:t>Part 24 facilit</w:t>
            </w:r>
            <w:r w:rsidR="00F15E3F">
              <w:t>ies</w:t>
            </w:r>
            <w:r w:rsidR="00C71A73" w:rsidRPr="004F2763">
              <w:t xml:space="preserve"> must give effect to operational transfer</w:t>
            </w:r>
            <w:r w:rsidR="00F15E3F">
              <w:t>s</w:t>
            </w:r>
            <w:r w:rsidR="00C71A73" w:rsidRPr="004F2763">
              <w:t xml:space="preserve"> notified by AEMO</w:t>
            </w:r>
          </w:p>
        </w:tc>
        <w:tc>
          <w:tcPr>
            <w:tcW w:w="2249" w:type="dxa"/>
            <w:tcBorders>
              <w:bottom w:val="single" w:sz="4" w:space="0" w:color="auto"/>
            </w:tcBorders>
            <w:shd w:val="clear" w:color="auto" w:fill="FFFFFF" w:themeFill="background1"/>
          </w:tcPr>
          <w:p w14:paraId="6273C5F5" w14:textId="77777777" w:rsidR="00C71A73" w:rsidRDefault="00C71A73" w:rsidP="00862169">
            <w:pPr>
              <w:pStyle w:val="TableBodyText"/>
              <w:spacing w:before="40" w:after="40"/>
            </w:pPr>
            <w:r>
              <w:t xml:space="preserve">Civil penalty and conduct provision </w:t>
            </w:r>
          </w:p>
        </w:tc>
      </w:tr>
      <w:tr w:rsidR="00C71A73" w14:paraId="66277B61" w14:textId="77777777" w:rsidTr="00C71A73">
        <w:trPr>
          <w:cantSplit/>
        </w:trPr>
        <w:tc>
          <w:tcPr>
            <w:tcW w:w="1560" w:type="dxa"/>
            <w:tcBorders>
              <w:bottom w:val="single" w:sz="4" w:space="0" w:color="auto"/>
            </w:tcBorders>
            <w:shd w:val="clear" w:color="auto" w:fill="E1E2E7" w:themeFill="background2"/>
          </w:tcPr>
          <w:p w14:paraId="19F8F538" w14:textId="77777777" w:rsidR="00C71A73" w:rsidRPr="004F2763" w:rsidRDefault="00C71A73" w:rsidP="00862169">
            <w:pPr>
              <w:pStyle w:val="TableBodyText"/>
              <w:spacing w:before="40" w:after="40"/>
            </w:pPr>
            <w:r w:rsidRPr="004F2763">
              <w:t>Rule 63</w:t>
            </w:r>
            <w:r>
              <w:t>9(2)</w:t>
            </w:r>
            <w:r w:rsidRPr="004F2763">
              <w:t xml:space="preserve"> </w:t>
            </w:r>
          </w:p>
        </w:tc>
        <w:tc>
          <w:tcPr>
            <w:tcW w:w="5596" w:type="dxa"/>
            <w:tcBorders>
              <w:bottom w:val="single" w:sz="4" w:space="0" w:color="auto"/>
            </w:tcBorders>
            <w:shd w:val="clear" w:color="auto" w:fill="E1E2E7" w:themeFill="background2"/>
          </w:tcPr>
          <w:p w14:paraId="7EE41D3D" w14:textId="77777777" w:rsidR="00C71A73" w:rsidRPr="004F2763" w:rsidRDefault="00443460" w:rsidP="00862169">
            <w:pPr>
              <w:pStyle w:val="TableBodyText"/>
              <w:spacing w:before="40" w:after="40"/>
            </w:pPr>
            <w:r>
              <w:t>Transportation s</w:t>
            </w:r>
            <w:r w:rsidR="00C71A73">
              <w:t>ervice provider</w:t>
            </w:r>
            <w:r w:rsidR="00F15E3F">
              <w:t>s</w:t>
            </w:r>
            <w:r w:rsidR="00C71A73">
              <w:t xml:space="preserve"> </w:t>
            </w:r>
            <w:r w:rsidR="00F15E3F">
              <w:t xml:space="preserve">of </w:t>
            </w:r>
            <w:r w:rsidR="00C71A73" w:rsidRPr="009E4043">
              <w:t>Part 24 facilit</w:t>
            </w:r>
            <w:r w:rsidR="00F15E3F">
              <w:t>ies</w:t>
            </w:r>
            <w:r w:rsidR="00C71A73" w:rsidRPr="004F2763">
              <w:t xml:space="preserve"> must</w:t>
            </w:r>
            <w:r w:rsidR="00F15E3F">
              <w:t>,</w:t>
            </w:r>
            <w:r w:rsidR="00C71A73" w:rsidRPr="004F2763">
              <w:t xml:space="preserve"> </w:t>
            </w:r>
            <w:r w:rsidR="00C71A73">
              <w:t>in relation to traded capacity</w:t>
            </w:r>
            <w:r w:rsidR="00F15E3F">
              <w:t>,</w:t>
            </w:r>
            <w:r w:rsidR="00C71A73">
              <w:t xml:space="preserve"> </w:t>
            </w:r>
            <w:r w:rsidR="00C71A73" w:rsidRPr="004F2763">
              <w:t xml:space="preserve">give effect to </w:t>
            </w:r>
            <w:r w:rsidR="00C71A73">
              <w:t>each</w:t>
            </w:r>
            <w:r w:rsidR="00C71A73" w:rsidRPr="004F2763">
              <w:t xml:space="preserve"> operational transfer and </w:t>
            </w:r>
            <w:r w:rsidR="00C71A73">
              <w:t>provide transportation services in respect of traded capacity derived from a terminated primary facility agreement during the service continuity period</w:t>
            </w:r>
            <w:r>
              <w:t xml:space="preserve"> (i.e. for up to 14 days after the termination has been notified to AEMO)</w:t>
            </w:r>
          </w:p>
        </w:tc>
        <w:tc>
          <w:tcPr>
            <w:tcW w:w="2249" w:type="dxa"/>
            <w:tcBorders>
              <w:bottom w:val="single" w:sz="4" w:space="0" w:color="auto"/>
            </w:tcBorders>
            <w:shd w:val="clear" w:color="auto" w:fill="E1E2E7" w:themeFill="background2"/>
          </w:tcPr>
          <w:p w14:paraId="10429A55" w14:textId="77777777" w:rsidR="00C71A73" w:rsidRDefault="00C71A73" w:rsidP="00862169">
            <w:pPr>
              <w:pStyle w:val="TableBodyText"/>
              <w:spacing w:before="40" w:after="40"/>
            </w:pPr>
            <w:r>
              <w:t>Civil penalty and conduct provision</w:t>
            </w:r>
          </w:p>
        </w:tc>
      </w:tr>
      <w:tr w:rsidR="00C71A73" w14:paraId="05C7353D" w14:textId="77777777" w:rsidTr="00C71A73">
        <w:trPr>
          <w:cnfStyle w:val="000000010000" w:firstRow="0" w:lastRow="0" w:firstColumn="0" w:lastColumn="0" w:oddVBand="0" w:evenVBand="0" w:oddHBand="0" w:evenHBand="1" w:firstRowFirstColumn="0" w:firstRowLastColumn="0" w:lastRowFirstColumn="0" w:lastRowLastColumn="0"/>
          <w:cantSplit/>
        </w:trPr>
        <w:tc>
          <w:tcPr>
            <w:tcW w:w="1560" w:type="dxa"/>
            <w:shd w:val="clear" w:color="auto" w:fill="FFFFFF" w:themeFill="background1"/>
          </w:tcPr>
          <w:p w14:paraId="13B5238A" w14:textId="77777777" w:rsidR="00C71A73" w:rsidRPr="004F2763" w:rsidRDefault="00C71A73" w:rsidP="00862169">
            <w:pPr>
              <w:pStyle w:val="TableBodyText"/>
              <w:spacing w:before="40" w:after="40"/>
            </w:pPr>
            <w:r w:rsidRPr="004F2763">
              <w:t>Rule 63</w:t>
            </w:r>
            <w:r>
              <w:t>9(5)</w:t>
            </w:r>
            <w:r w:rsidRPr="004F2763">
              <w:t xml:space="preserve"> </w:t>
            </w:r>
          </w:p>
        </w:tc>
        <w:tc>
          <w:tcPr>
            <w:tcW w:w="5596" w:type="dxa"/>
            <w:shd w:val="clear" w:color="auto" w:fill="FFFFFF" w:themeFill="background1"/>
          </w:tcPr>
          <w:p w14:paraId="27211CCE" w14:textId="77777777" w:rsidR="00C71A73" w:rsidRPr="004F2763" w:rsidRDefault="00443460" w:rsidP="00862169">
            <w:pPr>
              <w:pStyle w:val="TableBodyText"/>
              <w:spacing w:before="40" w:after="40"/>
            </w:pPr>
            <w:r>
              <w:t xml:space="preserve">Transportation </w:t>
            </w:r>
            <w:r w:rsidR="00C71A73">
              <w:t>service provider</w:t>
            </w:r>
            <w:r>
              <w:t>s</w:t>
            </w:r>
            <w:r w:rsidR="00C71A73">
              <w:t xml:space="preserve"> </w:t>
            </w:r>
            <w:r>
              <w:t xml:space="preserve">of </w:t>
            </w:r>
            <w:r w:rsidR="00C71A73" w:rsidRPr="009E4043">
              <w:t>Part 24 facilit</w:t>
            </w:r>
            <w:r>
              <w:t>ies</w:t>
            </w:r>
            <w:r w:rsidR="00C71A73" w:rsidRPr="004F2763">
              <w:t xml:space="preserve"> must</w:t>
            </w:r>
            <w:r>
              <w:t>, in relation to traded capacity,</w:t>
            </w:r>
            <w:r w:rsidR="00C71A73" w:rsidRPr="004F2763">
              <w:t xml:space="preserve"> give effect to </w:t>
            </w:r>
            <w:r w:rsidR="00C71A73">
              <w:t>each</w:t>
            </w:r>
            <w:r w:rsidR="00C71A73" w:rsidRPr="004F2763">
              <w:t xml:space="preserve"> operational transfer and </w:t>
            </w:r>
            <w:r w:rsidR="00C71A73">
              <w:t xml:space="preserve">provide transportation services in respect of </w:t>
            </w:r>
            <w:r>
              <w:t xml:space="preserve">traded </w:t>
            </w:r>
            <w:r w:rsidR="00C71A73">
              <w:t>capacity</w:t>
            </w:r>
            <w:r>
              <w:t xml:space="preserve"> derived from a suspended primary facility agreement for the term of the trade.</w:t>
            </w:r>
          </w:p>
        </w:tc>
        <w:tc>
          <w:tcPr>
            <w:tcW w:w="2249" w:type="dxa"/>
            <w:shd w:val="clear" w:color="auto" w:fill="FFFFFF" w:themeFill="background1"/>
          </w:tcPr>
          <w:p w14:paraId="3C5AE31A" w14:textId="77777777" w:rsidR="00C71A73" w:rsidRDefault="00C71A73" w:rsidP="00862169">
            <w:pPr>
              <w:pStyle w:val="TableBodyText"/>
              <w:spacing w:before="40" w:after="40"/>
            </w:pPr>
            <w:r>
              <w:t>Civil penalty and conduct provision</w:t>
            </w:r>
          </w:p>
        </w:tc>
      </w:tr>
    </w:tbl>
    <w:p w14:paraId="46522200" w14:textId="77777777" w:rsidR="00096CC9" w:rsidRDefault="00096CC9" w:rsidP="00307760">
      <w:pPr>
        <w:pStyle w:val="BodyText"/>
      </w:pPr>
    </w:p>
    <w:p w14:paraId="57EF46B8" w14:textId="77777777" w:rsidR="00307760" w:rsidRDefault="00307760" w:rsidP="00307760">
      <w:pPr>
        <w:pStyle w:val="BodyText"/>
      </w:pPr>
      <w:r>
        <w:t xml:space="preserve"> </w:t>
      </w:r>
      <w:r>
        <w:br w:type="page"/>
      </w:r>
    </w:p>
    <w:p w14:paraId="1178F031" w14:textId="77777777" w:rsidR="00B454FE" w:rsidRDefault="00B454FE" w:rsidP="00E95E85">
      <w:pPr>
        <w:pStyle w:val="Heading1"/>
        <w:spacing w:before="0" w:after="120"/>
      </w:pPr>
      <w:bookmarkStart w:id="83" w:name="_Toc530546471"/>
      <w:r>
        <w:lastRenderedPageBreak/>
        <w:t>Day-ahead auction</w:t>
      </w:r>
      <w:bookmarkEnd w:id="83"/>
    </w:p>
    <w:p w14:paraId="67A33821" w14:textId="77777777" w:rsidR="00281A63" w:rsidRDefault="00281A63" w:rsidP="00693356">
      <w:pPr>
        <w:pStyle w:val="BodyText"/>
        <w:spacing w:before="60" w:after="60" w:line="252" w:lineRule="auto"/>
      </w:pPr>
      <w:r>
        <w:t xml:space="preserve">The day-ahead auction </w:t>
      </w:r>
      <w:r w:rsidR="00693356">
        <w:t xml:space="preserve">will enable auction participants to procure </w:t>
      </w:r>
      <w:r w:rsidR="00116654">
        <w:t xml:space="preserve">CBU </w:t>
      </w:r>
      <w:r w:rsidR="00693356">
        <w:t xml:space="preserve">capacity shortly after nomination cut-off time on gas day D-1. The auction, which will be operated and administered by AEMO, </w:t>
      </w:r>
      <w:r>
        <w:t>is expected to improve the efficiency with which short-term transportation capacity is allocated and used, by making this capacity available on a daily basis to shippers that value it most. The auction is expected to achieve this objective by:</w:t>
      </w:r>
      <w:r w:rsidRPr="00110FC0">
        <w:rPr>
          <w:vertAlign w:val="superscript"/>
        </w:rPr>
        <w:footnoteReference w:id="233"/>
      </w:r>
      <w:r>
        <w:t xml:space="preserve"> </w:t>
      </w:r>
    </w:p>
    <w:p w14:paraId="7BAD29E5" w14:textId="77777777" w:rsidR="00281A63" w:rsidRDefault="00281A63" w:rsidP="00E95E85">
      <w:pPr>
        <w:pStyle w:val="ListBullet"/>
        <w:numPr>
          <w:ilvl w:val="0"/>
          <w:numId w:val="25"/>
        </w:numPr>
        <w:spacing w:line="252" w:lineRule="auto"/>
        <w:ind w:left="357" w:hanging="357"/>
        <w:rPr>
          <w:rFonts w:eastAsiaTheme="minorEastAsia"/>
        </w:rPr>
      </w:pPr>
      <w:r>
        <w:rPr>
          <w:rFonts w:eastAsiaTheme="minorEastAsia"/>
        </w:rPr>
        <w:t>improving the incentives that firm capacity holders have to release any spare capacity they may have through secondary trading prior to the auction; and</w:t>
      </w:r>
    </w:p>
    <w:p w14:paraId="3D2D2336" w14:textId="77777777" w:rsidR="00281A63" w:rsidRDefault="00281A63" w:rsidP="00E95E85">
      <w:pPr>
        <w:pStyle w:val="ListBullet"/>
        <w:numPr>
          <w:ilvl w:val="0"/>
          <w:numId w:val="25"/>
        </w:numPr>
        <w:spacing w:line="252" w:lineRule="auto"/>
        <w:ind w:left="357" w:hanging="357"/>
        <w:rPr>
          <w:rFonts w:eastAsiaTheme="minorEastAsia"/>
        </w:rPr>
      </w:pPr>
      <w:r>
        <w:rPr>
          <w:rFonts w:eastAsiaTheme="minorEastAsia"/>
        </w:rPr>
        <w:t xml:space="preserve">limiting the ability of </w:t>
      </w:r>
      <w:r w:rsidR="00CA4147">
        <w:rPr>
          <w:rFonts w:eastAsiaTheme="minorEastAsia"/>
        </w:rPr>
        <w:t xml:space="preserve">transportation </w:t>
      </w:r>
      <w:r>
        <w:rPr>
          <w:rFonts w:eastAsiaTheme="minorEastAsia"/>
        </w:rPr>
        <w:t>service providers to price short-term capacity products above the levels that would be expected in a workably competitive market.</w:t>
      </w:r>
    </w:p>
    <w:p w14:paraId="07ACB38D" w14:textId="77777777" w:rsidR="00281A63" w:rsidRDefault="00281A63" w:rsidP="00E95E85">
      <w:pPr>
        <w:pStyle w:val="BodyText"/>
        <w:spacing w:line="252" w:lineRule="auto"/>
        <w:rPr>
          <w:rFonts w:eastAsiaTheme="majorEastAsia"/>
        </w:rPr>
      </w:pPr>
      <w:r>
        <w:t xml:space="preserve">The </w:t>
      </w:r>
      <w:r w:rsidR="00E95E85">
        <w:t xml:space="preserve">day-ahead </w:t>
      </w:r>
      <w:r>
        <w:t>auction</w:t>
      </w:r>
      <w:r w:rsidR="00693356">
        <w:t xml:space="preserve"> </w:t>
      </w:r>
      <w:r>
        <w:t>is also expected to ove</w:t>
      </w:r>
      <w:r w:rsidRPr="008F7A39">
        <w:t>rcome the co-ordination failures that can otherwise be associated with procuring day-ahead capacity.</w:t>
      </w:r>
      <w:r w:rsidR="000204F6">
        <w:t xml:space="preserve"> It will do so by </w:t>
      </w:r>
      <w:r w:rsidR="000204F6">
        <w:rPr>
          <w:rFonts w:eastAsiaTheme="majorEastAsia"/>
        </w:rPr>
        <w:t>e</w:t>
      </w:r>
      <w:r w:rsidR="000204F6" w:rsidRPr="009B282A">
        <w:rPr>
          <w:rFonts w:eastAsiaTheme="majorEastAsia"/>
        </w:rPr>
        <w:t xml:space="preserve">nabling shippers to </w:t>
      </w:r>
      <w:r w:rsidR="000204F6">
        <w:rPr>
          <w:rFonts w:eastAsiaTheme="majorEastAsia"/>
        </w:rPr>
        <w:t xml:space="preserve">procure </w:t>
      </w:r>
      <w:r w:rsidR="000204F6" w:rsidRPr="009B282A">
        <w:rPr>
          <w:rFonts w:eastAsiaTheme="majorEastAsia"/>
        </w:rPr>
        <w:t xml:space="preserve">day-ahead capacity </w:t>
      </w:r>
      <w:r w:rsidR="000204F6">
        <w:rPr>
          <w:rFonts w:eastAsiaTheme="majorEastAsia"/>
        </w:rPr>
        <w:t>through a single bid in a market wide partial combinatorial auction that</w:t>
      </w:r>
      <w:r>
        <w:rPr>
          <w:rFonts w:eastAsiaTheme="majorEastAsia"/>
        </w:rPr>
        <w:t xml:space="preserve"> </w:t>
      </w:r>
      <w:r w:rsidR="000204F6">
        <w:rPr>
          <w:rFonts w:eastAsiaTheme="majorEastAsia"/>
        </w:rPr>
        <w:t>include</w:t>
      </w:r>
      <w:r w:rsidR="00E95E85">
        <w:rPr>
          <w:rFonts w:eastAsiaTheme="majorEastAsia"/>
        </w:rPr>
        <w:t>s</w:t>
      </w:r>
      <w:r>
        <w:rPr>
          <w:rFonts w:eastAsiaTheme="majorEastAsia"/>
        </w:rPr>
        <w:t>:</w:t>
      </w:r>
      <w:r w:rsidR="000204F6">
        <w:rPr>
          <w:rFonts w:eastAsiaTheme="majorEastAsia"/>
        </w:rPr>
        <w:t xml:space="preserve"> </w:t>
      </w:r>
    </w:p>
    <w:p w14:paraId="0770CF0A" w14:textId="51E1F0A0" w:rsidR="00281A63" w:rsidRDefault="000204F6" w:rsidP="00E95E85">
      <w:pPr>
        <w:pStyle w:val="ListBullet"/>
        <w:spacing w:line="252" w:lineRule="auto"/>
        <w:rPr>
          <w:rFonts w:eastAsiaTheme="majorEastAsia"/>
        </w:rPr>
      </w:pPr>
      <w:r w:rsidRPr="00281A63">
        <w:t xml:space="preserve">all transmission pipelines with a nameplate rating of 10 TJ/day or more </w:t>
      </w:r>
      <w:r w:rsidR="00281A63" w:rsidRPr="00281A63">
        <w:t>that are</w:t>
      </w:r>
      <w:r w:rsidR="00281A63">
        <w:rPr>
          <w:rFonts w:eastAsiaTheme="majorEastAsia"/>
        </w:rPr>
        <w:t xml:space="preserve"> providing third party access and are used to service more than one shipper; </w:t>
      </w:r>
      <w:r>
        <w:rPr>
          <w:rFonts w:eastAsiaTheme="majorEastAsia"/>
        </w:rPr>
        <w:t xml:space="preserve">and </w:t>
      </w:r>
    </w:p>
    <w:p w14:paraId="0DC3698F" w14:textId="77777777" w:rsidR="000204F6" w:rsidRDefault="000204F6" w:rsidP="00E95E85">
      <w:pPr>
        <w:pStyle w:val="ListBullet"/>
        <w:spacing w:line="252" w:lineRule="auto"/>
        <w:rPr>
          <w:rFonts w:eastAsiaTheme="majorEastAsia"/>
        </w:rPr>
      </w:pPr>
      <w:r>
        <w:rPr>
          <w:rFonts w:eastAsiaTheme="majorEastAsia"/>
        </w:rPr>
        <w:t xml:space="preserve">the Moomba, Wallumbilla, Ballera and Iona compression </w:t>
      </w:r>
      <w:r w:rsidR="00D51280">
        <w:rPr>
          <w:rFonts w:eastAsiaTheme="majorEastAsia"/>
        </w:rPr>
        <w:t xml:space="preserve">service </w:t>
      </w:r>
      <w:r>
        <w:rPr>
          <w:rFonts w:eastAsiaTheme="majorEastAsia"/>
        </w:rPr>
        <w:t>facilities</w:t>
      </w:r>
      <w:r w:rsidR="00281A63">
        <w:rPr>
          <w:rFonts w:eastAsiaTheme="majorEastAsia"/>
        </w:rPr>
        <w:t xml:space="preserve"> and any other stand-alone compressors that </w:t>
      </w:r>
      <w:r w:rsidR="0011427B">
        <w:t>do not qualify for</w:t>
      </w:r>
      <w:r w:rsidR="0011427B" w:rsidDel="0011427B">
        <w:rPr>
          <w:rFonts w:eastAsiaTheme="majorEastAsia"/>
        </w:rPr>
        <w:t xml:space="preserve"> </w:t>
      </w:r>
      <w:r w:rsidR="00281A63">
        <w:rPr>
          <w:rFonts w:eastAsiaTheme="majorEastAsia"/>
        </w:rPr>
        <w:t>an exemption</w:t>
      </w:r>
      <w:r>
        <w:rPr>
          <w:rFonts w:eastAsiaTheme="majorEastAsia"/>
        </w:rPr>
        <w:t>.</w:t>
      </w:r>
    </w:p>
    <w:p w14:paraId="1CB54BE6" w14:textId="77777777" w:rsidR="00E95E85" w:rsidRDefault="00E95E85" w:rsidP="00E95E85">
      <w:pPr>
        <w:pStyle w:val="ListBullet"/>
        <w:numPr>
          <w:ilvl w:val="0"/>
          <w:numId w:val="0"/>
        </w:numPr>
        <w:spacing w:line="252" w:lineRule="auto"/>
        <w:ind w:left="360" w:hanging="360"/>
        <w:rPr>
          <w:rFonts w:eastAsiaTheme="majorEastAsia"/>
        </w:rPr>
      </w:pPr>
      <w:r>
        <w:rPr>
          <w:rFonts w:eastAsiaTheme="majorEastAsia"/>
        </w:rPr>
        <w:t>In addition to these benefits, the day-ahead auction is expected to:</w:t>
      </w:r>
    </w:p>
    <w:p w14:paraId="722D6BD3" w14:textId="77777777" w:rsidR="00E95E85" w:rsidRPr="00CC0DD0" w:rsidRDefault="00E95E85" w:rsidP="00E95E85">
      <w:pPr>
        <w:pStyle w:val="ListBullet"/>
        <w:spacing w:line="252" w:lineRule="auto"/>
      </w:pPr>
      <w:r w:rsidRPr="00151B67">
        <w:t xml:space="preserve">reduce the search and transaction costs associated with procuring day-ahead </w:t>
      </w:r>
      <w:r w:rsidRPr="00CC0DD0">
        <w:t>capacity and aid the price discovery process</w:t>
      </w:r>
      <w:r>
        <w:t xml:space="preserve"> for day-ahead capacity</w:t>
      </w:r>
      <w:r w:rsidRPr="00CC0DD0">
        <w:t>; and</w:t>
      </w:r>
    </w:p>
    <w:p w14:paraId="538E8379" w14:textId="77777777" w:rsidR="00E95E85" w:rsidRPr="00CC0DD0" w:rsidRDefault="00E95E85" w:rsidP="00E95E85">
      <w:pPr>
        <w:pStyle w:val="ListBullet"/>
        <w:spacing w:line="252" w:lineRule="auto"/>
        <w:rPr>
          <w:rFonts w:eastAsiaTheme="majorEastAsia"/>
        </w:rPr>
      </w:pPr>
      <w:r w:rsidRPr="00CC0DD0">
        <w:rPr>
          <w:rFonts w:eastAsiaTheme="majorEastAsia"/>
        </w:rPr>
        <w:t>instil confidence in the day-ahead auction through the use of robust delivery, settlement, credit, curtailment and other risk management processes and governance arrangements.</w:t>
      </w:r>
    </w:p>
    <w:p w14:paraId="1D56A2AF" w14:textId="77777777" w:rsidR="00066A4F" w:rsidRDefault="00066A4F" w:rsidP="00E95E85">
      <w:pPr>
        <w:pStyle w:val="BodyText"/>
        <w:spacing w:line="252" w:lineRule="auto"/>
      </w:pPr>
      <w:r>
        <w:rPr>
          <w:rFonts w:asciiTheme="majorHAnsi" w:hAnsiTheme="majorHAnsi" w:cstheme="majorHAnsi"/>
        </w:rPr>
        <w:t xml:space="preserve">Further detail on </w:t>
      </w:r>
      <w:r w:rsidR="00E95E85">
        <w:rPr>
          <w:rFonts w:asciiTheme="majorHAnsi" w:hAnsiTheme="majorHAnsi" w:cstheme="majorHAnsi"/>
        </w:rPr>
        <w:t xml:space="preserve">the </w:t>
      </w:r>
      <w:r>
        <w:rPr>
          <w:rFonts w:asciiTheme="majorHAnsi" w:hAnsiTheme="majorHAnsi" w:cstheme="majorHAnsi"/>
        </w:rPr>
        <w:t xml:space="preserve">auction is provided below, along with an overview of the changes that have been made to the NGL, NGR and Regulations to give effect to </w:t>
      </w:r>
      <w:r w:rsidR="00E95E85">
        <w:rPr>
          <w:rFonts w:asciiTheme="majorHAnsi" w:hAnsiTheme="majorHAnsi" w:cstheme="majorHAnsi"/>
        </w:rPr>
        <w:t>this reform</w:t>
      </w:r>
      <w:r>
        <w:rPr>
          <w:rFonts w:asciiTheme="majorHAnsi" w:hAnsiTheme="majorHAnsi" w:cstheme="majorHAnsi"/>
        </w:rPr>
        <w:t>.</w:t>
      </w:r>
    </w:p>
    <w:p w14:paraId="1FABD25E" w14:textId="77777777" w:rsidR="00A12CCF" w:rsidRPr="00086528" w:rsidRDefault="00A12CCF" w:rsidP="00A12CCF">
      <w:pPr>
        <w:pStyle w:val="Heading2"/>
        <w:spacing w:before="0" w:after="120" w:line="252" w:lineRule="auto"/>
      </w:pPr>
      <w:bookmarkStart w:id="84" w:name="_Toc530546472"/>
      <w:r>
        <w:t>Overview of the day-ahead auction</w:t>
      </w:r>
      <w:bookmarkEnd w:id="84"/>
      <w:r>
        <w:t xml:space="preserve"> </w:t>
      </w:r>
    </w:p>
    <w:p w14:paraId="1DB21BDE" w14:textId="341A5773" w:rsidR="00590352" w:rsidRDefault="00201550" w:rsidP="00CA4147">
      <w:pPr>
        <w:pStyle w:val="BodyText"/>
        <w:spacing w:line="252" w:lineRule="auto"/>
        <w:rPr>
          <w:i/>
        </w:rPr>
      </w:pPr>
      <w:r>
        <w:fldChar w:fldCharType="begin"/>
      </w:r>
      <w:r>
        <w:instrText xml:space="preserve"> REF _Ref522857360 \h </w:instrText>
      </w:r>
      <w:r>
        <w:fldChar w:fldCharType="separate"/>
      </w:r>
      <w:r w:rsidR="0026074F">
        <w:t xml:space="preserve">Table </w:t>
      </w:r>
      <w:r w:rsidR="0026074F">
        <w:rPr>
          <w:noProof/>
        </w:rPr>
        <w:t>7</w:t>
      </w:r>
      <w:r w:rsidR="0026074F">
        <w:t>.</w:t>
      </w:r>
      <w:r w:rsidR="0026074F">
        <w:rPr>
          <w:noProof/>
        </w:rPr>
        <w:t>1</w:t>
      </w:r>
      <w:r>
        <w:fldChar w:fldCharType="end"/>
      </w:r>
      <w:r w:rsidR="00A12CCF">
        <w:t xml:space="preserve"> contains an overview of the final design of the day-ahead auction.</w:t>
      </w:r>
      <w:r w:rsidR="00A12CCF">
        <w:rPr>
          <w:i/>
        </w:rPr>
        <w:t xml:space="preserve"> </w:t>
      </w:r>
      <w:r w:rsidR="00CA4147">
        <w:t>This table should be read in conjunction with GMRG’s final recommendations on the design of the day-ahead auction, which were provided to the Energy Council in December 2017</w:t>
      </w:r>
      <w:r w:rsidR="00CA4147" w:rsidRPr="006B34E4">
        <w:rPr>
          <w:i/>
        </w:rPr>
        <w:t>.</w:t>
      </w:r>
      <w:r w:rsidR="00CA4147">
        <w:rPr>
          <w:rStyle w:val="FootnoteReference"/>
          <w:i/>
        </w:rPr>
        <w:footnoteReference w:id="234"/>
      </w:r>
      <w:r w:rsidR="00CA4147">
        <w:rPr>
          <w:i/>
        </w:rPr>
        <w:t xml:space="preserve"> </w:t>
      </w:r>
    </w:p>
    <w:p w14:paraId="54E3E492" w14:textId="77777777" w:rsidR="00CA4147" w:rsidRDefault="00CA4147" w:rsidP="00CA4147">
      <w:pPr>
        <w:pStyle w:val="BodyText"/>
        <w:spacing w:line="252" w:lineRule="auto"/>
      </w:pPr>
      <w:r w:rsidRPr="006B34E4">
        <w:t>As noted</w:t>
      </w:r>
      <w:r>
        <w:t xml:space="preserve"> in Chapter 1, a number of refinements have subsequently been made to the final design of the day-ahead auction, which reflect the outcome of additional work undertaken in early 2018. The refinements </w:t>
      </w:r>
      <w:r w:rsidR="007E128C">
        <w:t>are summarised in Table 1.3.</w:t>
      </w:r>
    </w:p>
    <w:p w14:paraId="45C49579" w14:textId="77777777" w:rsidR="00CA4147" w:rsidRDefault="00CA4147" w:rsidP="00CA4147">
      <w:pPr>
        <w:pStyle w:val="BodyText"/>
        <w:spacing w:line="252" w:lineRule="auto"/>
      </w:pPr>
    </w:p>
    <w:p w14:paraId="21A71408" w14:textId="77777777" w:rsidR="00A12CCF" w:rsidRDefault="00A12CCF" w:rsidP="00A12CCF">
      <w:pPr>
        <w:pStyle w:val="BodyText"/>
        <w:spacing w:before="0" w:after="0" w:line="252" w:lineRule="auto"/>
        <w:rPr>
          <w:i/>
        </w:rPr>
        <w:sectPr w:rsidR="00A12CCF" w:rsidSect="00127572">
          <w:footerReference w:type="default" r:id="rId49"/>
          <w:pgSz w:w="11907" w:h="16839"/>
          <w:pgMar w:top="1361" w:right="1418" w:bottom="992" w:left="1701" w:header="567" w:footer="397" w:gutter="0"/>
          <w:cols w:space="720"/>
        </w:sectPr>
      </w:pPr>
    </w:p>
    <w:p w14:paraId="21B83EEA" w14:textId="5B353935" w:rsidR="00A12CCF" w:rsidRDefault="00A12CCF" w:rsidP="00A12CCF">
      <w:pPr>
        <w:pStyle w:val="Caption"/>
        <w:spacing w:before="0" w:after="0"/>
      </w:pPr>
      <w:bookmarkStart w:id="85" w:name="_Ref522857360"/>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7</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bookmarkEnd w:id="85"/>
      <w:r>
        <w:t>: Final design of the day-ahead auction</w:t>
      </w:r>
    </w:p>
    <w:tbl>
      <w:tblPr>
        <w:tblStyle w:val="TableGrid"/>
        <w:tblW w:w="14459" w:type="dxa"/>
        <w:tblInd w:w="-284" w:type="dxa"/>
        <w:tblLayout w:type="fixed"/>
        <w:tblLook w:val="04A0" w:firstRow="1" w:lastRow="0" w:firstColumn="1" w:lastColumn="0" w:noHBand="0" w:noVBand="1"/>
        <w:tblCaption w:val="Table 5.1: Design of the day-ahead auction"/>
        <w:tblDescription w:val="Table outlining the design of the day-ahead auction"/>
      </w:tblPr>
      <w:tblGrid>
        <w:gridCol w:w="284"/>
        <w:gridCol w:w="1560"/>
        <w:gridCol w:w="12615"/>
      </w:tblGrid>
      <w:tr w:rsidR="00A12CCF" w:rsidRPr="007116E6" w14:paraId="6E567712" w14:textId="77777777" w:rsidTr="006E65D8">
        <w:trPr>
          <w:cnfStyle w:val="100000000000" w:firstRow="1" w:lastRow="0" w:firstColumn="0" w:lastColumn="0" w:oddVBand="0" w:evenVBand="0" w:oddHBand="0" w:evenHBand="0" w:firstRowFirstColumn="0" w:firstRowLastColumn="0" w:lastRowFirstColumn="0" w:lastRowLastColumn="0"/>
          <w:tblHeader/>
        </w:trPr>
        <w:tc>
          <w:tcPr>
            <w:tcW w:w="1844" w:type="dxa"/>
            <w:gridSpan w:val="2"/>
            <w:shd w:val="clear" w:color="auto" w:fill="0099CC"/>
            <w:hideMark/>
          </w:tcPr>
          <w:p w14:paraId="34525FD7" w14:textId="77777777" w:rsidR="00A12CCF" w:rsidRPr="007116E6" w:rsidRDefault="00A12CCF" w:rsidP="00FD238B">
            <w:pPr>
              <w:pStyle w:val="BodyText"/>
              <w:spacing w:before="40" w:after="20" w:line="247" w:lineRule="auto"/>
              <w:rPr>
                <w:rFonts w:asciiTheme="majorHAnsi" w:hAnsiTheme="majorHAnsi" w:cstheme="majorHAnsi"/>
                <w:b w:val="0"/>
                <w:color w:val="FFFFFF" w:themeColor="background1"/>
                <w:szCs w:val="18"/>
              </w:rPr>
            </w:pPr>
            <w:r w:rsidRPr="007116E6">
              <w:rPr>
                <w:rFonts w:asciiTheme="majorHAnsi" w:hAnsiTheme="majorHAnsi" w:cstheme="majorHAnsi"/>
                <w:color w:val="FFFFFF" w:themeColor="background1"/>
                <w:szCs w:val="18"/>
              </w:rPr>
              <w:t>Design Element</w:t>
            </w:r>
          </w:p>
        </w:tc>
        <w:tc>
          <w:tcPr>
            <w:tcW w:w="12615" w:type="dxa"/>
            <w:shd w:val="clear" w:color="auto" w:fill="0099CC"/>
            <w:hideMark/>
          </w:tcPr>
          <w:p w14:paraId="573383DC" w14:textId="77777777" w:rsidR="00A12CCF" w:rsidRPr="007116E6" w:rsidRDefault="00A12CCF" w:rsidP="00FD238B">
            <w:pPr>
              <w:pStyle w:val="BodyText"/>
              <w:spacing w:before="40" w:after="20" w:line="247" w:lineRule="auto"/>
              <w:rPr>
                <w:rFonts w:asciiTheme="majorHAnsi" w:hAnsiTheme="majorHAnsi" w:cstheme="majorHAnsi"/>
                <w:b w:val="0"/>
                <w:color w:val="FFFFFF" w:themeColor="background1"/>
                <w:szCs w:val="18"/>
              </w:rPr>
            </w:pPr>
            <w:r w:rsidRPr="007116E6">
              <w:rPr>
                <w:rFonts w:asciiTheme="majorHAnsi" w:hAnsiTheme="majorHAnsi" w:cstheme="majorHAnsi"/>
                <w:color w:val="FFFFFF" w:themeColor="background1"/>
                <w:szCs w:val="18"/>
              </w:rPr>
              <w:t>Detail</w:t>
            </w:r>
          </w:p>
        </w:tc>
      </w:tr>
      <w:tr w:rsidR="00A12CCF" w:rsidRPr="007116E6" w14:paraId="1B2D6445" w14:textId="77777777" w:rsidTr="006E65D8">
        <w:trPr>
          <w:trHeight w:val="285"/>
        </w:trPr>
        <w:tc>
          <w:tcPr>
            <w:tcW w:w="1844" w:type="dxa"/>
            <w:gridSpan w:val="2"/>
            <w:shd w:val="clear" w:color="auto" w:fill="auto"/>
          </w:tcPr>
          <w:p w14:paraId="0622D9D0" w14:textId="77777777" w:rsidR="00A12CCF" w:rsidRPr="007116E6" w:rsidRDefault="00A12CCF" w:rsidP="007C7119">
            <w:pPr>
              <w:pStyle w:val="BodyText"/>
              <w:spacing w:before="60" w:after="60" w:line="259" w:lineRule="auto"/>
              <w:rPr>
                <w:rFonts w:asciiTheme="majorHAnsi" w:hAnsiTheme="majorHAnsi" w:cstheme="majorHAnsi"/>
                <w:b/>
                <w:szCs w:val="18"/>
              </w:rPr>
            </w:pPr>
            <w:r w:rsidRPr="007116E6">
              <w:rPr>
                <w:rFonts w:asciiTheme="majorHAnsi" w:hAnsiTheme="majorHAnsi" w:cstheme="majorHAnsi"/>
                <w:b/>
                <w:szCs w:val="18"/>
              </w:rPr>
              <w:t xml:space="preserve">Start date for the auction </w:t>
            </w:r>
          </w:p>
        </w:tc>
        <w:tc>
          <w:tcPr>
            <w:tcW w:w="12615" w:type="dxa"/>
            <w:shd w:val="clear" w:color="auto" w:fill="auto"/>
          </w:tcPr>
          <w:p w14:paraId="020AC62D" w14:textId="6F838986" w:rsidR="00A63967" w:rsidRDefault="00A12CCF" w:rsidP="007C7119">
            <w:pPr>
              <w:pStyle w:val="TableBullet1"/>
              <w:numPr>
                <w:ilvl w:val="0"/>
                <w:numId w:val="0"/>
              </w:numPr>
              <w:spacing w:line="259" w:lineRule="auto"/>
              <w:ind w:left="85"/>
              <w:rPr>
                <w:rFonts w:asciiTheme="majorHAnsi" w:hAnsiTheme="majorHAnsi" w:cstheme="majorHAnsi"/>
                <w:szCs w:val="18"/>
              </w:rPr>
            </w:pPr>
            <w:r w:rsidRPr="007116E6">
              <w:rPr>
                <w:rFonts w:asciiTheme="majorHAnsi" w:hAnsiTheme="majorHAnsi" w:cstheme="majorHAnsi"/>
                <w:szCs w:val="18"/>
              </w:rPr>
              <w:t xml:space="preserve">The day-ahead auction will commence on </w:t>
            </w:r>
            <w:r w:rsidRPr="007116E6">
              <w:rPr>
                <w:rFonts w:asciiTheme="majorHAnsi" w:hAnsiTheme="majorHAnsi" w:cstheme="majorHAnsi"/>
                <w:b/>
                <w:szCs w:val="18"/>
              </w:rPr>
              <w:t>1 March 2019</w:t>
            </w:r>
            <w:r w:rsidR="00983327">
              <w:rPr>
                <w:rFonts w:asciiTheme="majorHAnsi" w:hAnsiTheme="majorHAnsi" w:cstheme="majorHAnsi"/>
                <w:b/>
                <w:szCs w:val="18"/>
              </w:rPr>
              <w:t>.</w:t>
            </w:r>
            <w:r w:rsidRPr="007116E6">
              <w:rPr>
                <w:rStyle w:val="FootnoteReference"/>
                <w:rFonts w:asciiTheme="majorHAnsi" w:hAnsiTheme="majorHAnsi" w:cstheme="majorHAnsi"/>
                <w:b/>
                <w:szCs w:val="18"/>
              </w:rPr>
              <w:footnoteReference w:id="235"/>
            </w:r>
          </w:p>
          <w:p w14:paraId="72615601" w14:textId="77777777" w:rsidR="00A12CCF" w:rsidRPr="007116E6" w:rsidRDefault="00A12CCF" w:rsidP="007C7119">
            <w:pPr>
              <w:pStyle w:val="TableBullet1"/>
              <w:numPr>
                <w:ilvl w:val="0"/>
                <w:numId w:val="0"/>
              </w:numPr>
              <w:spacing w:line="259" w:lineRule="auto"/>
              <w:ind w:left="85"/>
              <w:rPr>
                <w:rFonts w:asciiTheme="majorHAnsi" w:hAnsiTheme="majorHAnsi" w:cstheme="majorHAnsi"/>
                <w:szCs w:val="18"/>
              </w:rPr>
            </w:pPr>
            <w:r w:rsidRPr="007116E6">
              <w:rPr>
                <w:rFonts w:asciiTheme="majorHAnsi" w:hAnsiTheme="majorHAnsi" w:cstheme="majorHAnsi"/>
                <w:szCs w:val="18"/>
              </w:rPr>
              <w:t>If a facility later becomes subject to the auction (e.g. because it is commissioned after the auction commences or its exemption is revoked), the auction will apply to the facility 120 business days after the date on which it becomes subject to the auction.</w:t>
            </w:r>
            <w:r w:rsidRPr="007116E6">
              <w:rPr>
                <w:rStyle w:val="FootnoteReference"/>
                <w:rFonts w:asciiTheme="majorHAnsi" w:hAnsiTheme="majorHAnsi" w:cstheme="majorHAnsi"/>
                <w:szCs w:val="18"/>
              </w:rPr>
              <w:footnoteReference w:id="236"/>
            </w:r>
          </w:p>
        </w:tc>
      </w:tr>
      <w:tr w:rsidR="00A12CCF" w:rsidRPr="007116E6" w14:paraId="669BE610" w14:textId="77777777" w:rsidTr="006E65D8">
        <w:trPr>
          <w:cnfStyle w:val="000000010000" w:firstRow="0" w:lastRow="0" w:firstColumn="0" w:lastColumn="0" w:oddVBand="0" w:evenVBand="0" w:oddHBand="0" w:evenHBand="1" w:firstRowFirstColumn="0" w:firstRowLastColumn="0" w:lastRowFirstColumn="0" w:lastRowLastColumn="0"/>
          <w:trHeight w:val="104"/>
        </w:trPr>
        <w:tc>
          <w:tcPr>
            <w:tcW w:w="1844" w:type="dxa"/>
            <w:gridSpan w:val="2"/>
            <w:hideMark/>
          </w:tcPr>
          <w:p w14:paraId="376C77DE" w14:textId="77777777" w:rsidR="00A12CCF" w:rsidRPr="007116E6" w:rsidRDefault="00A12CCF" w:rsidP="007C7119">
            <w:pPr>
              <w:pStyle w:val="BodyText"/>
              <w:spacing w:before="60" w:after="60" w:line="259" w:lineRule="auto"/>
              <w:rPr>
                <w:rFonts w:asciiTheme="majorHAnsi" w:hAnsiTheme="majorHAnsi" w:cstheme="majorHAnsi"/>
                <w:b/>
                <w:szCs w:val="18"/>
              </w:rPr>
            </w:pPr>
            <w:r w:rsidRPr="007116E6">
              <w:rPr>
                <w:rFonts w:asciiTheme="majorHAnsi" w:hAnsiTheme="majorHAnsi" w:cstheme="majorHAnsi"/>
                <w:b/>
                <w:szCs w:val="18"/>
              </w:rPr>
              <w:t>Operation of auction</w:t>
            </w:r>
          </w:p>
        </w:tc>
        <w:tc>
          <w:tcPr>
            <w:tcW w:w="12615" w:type="dxa"/>
            <w:hideMark/>
          </w:tcPr>
          <w:p w14:paraId="573F6074" w14:textId="77777777" w:rsidR="00194061" w:rsidRDefault="00A12CCF" w:rsidP="007C7119">
            <w:pPr>
              <w:pStyle w:val="TableBodyText"/>
              <w:spacing w:line="259" w:lineRule="auto"/>
              <w:rPr>
                <w:rFonts w:asciiTheme="majorHAnsi" w:hAnsiTheme="majorHAnsi" w:cstheme="majorHAnsi"/>
                <w:szCs w:val="18"/>
              </w:rPr>
            </w:pPr>
            <w:r w:rsidRPr="007116E6">
              <w:rPr>
                <w:rFonts w:asciiTheme="majorHAnsi" w:hAnsiTheme="majorHAnsi" w:cstheme="majorHAnsi"/>
                <w:szCs w:val="18"/>
              </w:rPr>
              <w:t>AEMO is responsible for</w:t>
            </w:r>
            <w:r w:rsidR="00194061">
              <w:rPr>
                <w:rFonts w:asciiTheme="majorHAnsi" w:hAnsiTheme="majorHAnsi" w:cstheme="majorHAnsi"/>
                <w:szCs w:val="18"/>
              </w:rPr>
              <w:t>:</w:t>
            </w:r>
            <w:r w:rsidRPr="007116E6">
              <w:rPr>
                <w:rFonts w:asciiTheme="majorHAnsi" w:hAnsiTheme="majorHAnsi" w:cstheme="majorHAnsi"/>
                <w:szCs w:val="18"/>
              </w:rPr>
              <w:t xml:space="preserve"> </w:t>
            </w:r>
          </w:p>
          <w:p w14:paraId="3564360E" w14:textId="77777777" w:rsidR="009255CB" w:rsidRDefault="00A12CCF" w:rsidP="00194061">
            <w:pPr>
              <w:pStyle w:val="TableBullet1"/>
            </w:pPr>
            <w:r w:rsidRPr="007116E6">
              <w:t>establishing, operating and administering the auction</w:t>
            </w:r>
            <w:r w:rsidRPr="007116E6">
              <w:rPr>
                <w:rStyle w:val="FootnoteReference"/>
                <w:rFonts w:asciiTheme="majorHAnsi" w:hAnsiTheme="majorHAnsi" w:cstheme="majorHAnsi"/>
                <w:szCs w:val="18"/>
              </w:rPr>
              <w:footnoteReference w:id="237"/>
            </w:r>
            <w:r w:rsidRPr="007116E6">
              <w:t xml:space="preserve"> </w:t>
            </w:r>
            <w:r w:rsidR="00194061">
              <w:t xml:space="preserve">and has the power to </w:t>
            </w:r>
            <w:r w:rsidR="00E46D94" w:rsidRPr="007116E6">
              <w:t>delay or cancel the auction or suspend</w:t>
            </w:r>
            <w:r w:rsidR="00E46D94" w:rsidRPr="007116E6">
              <w:rPr>
                <w:rStyle w:val="FootnoteReference"/>
                <w:rFonts w:asciiTheme="majorHAnsi" w:hAnsiTheme="majorHAnsi" w:cstheme="majorHAnsi"/>
                <w:szCs w:val="18"/>
              </w:rPr>
              <w:footnoteReference w:id="238"/>
            </w:r>
            <w:r w:rsidR="00E46D94" w:rsidRPr="007116E6">
              <w:t xml:space="preserve"> the participation of an auction facility (or part thereof) for a period of time</w:t>
            </w:r>
            <w:r w:rsidR="00292B59">
              <w:t>;</w:t>
            </w:r>
            <w:r w:rsidR="00E46D94" w:rsidRPr="007116E6">
              <w:rPr>
                <w:rStyle w:val="FootnoteReference"/>
                <w:rFonts w:asciiTheme="majorHAnsi" w:hAnsiTheme="majorHAnsi" w:cstheme="majorHAnsi"/>
                <w:szCs w:val="18"/>
              </w:rPr>
              <w:footnoteReference w:id="239"/>
            </w:r>
            <w:r w:rsidR="00E46D94" w:rsidRPr="007116E6">
              <w:t xml:space="preserve"> </w:t>
            </w:r>
            <w:r w:rsidR="00292B59">
              <w:t>and</w:t>
            </w:r>
          </w:p>
          <w:p w14:paraId="607A90D9" w14:textId="77777777" w:rsidR="00A12CCF" w:rsidRDefault="009255CB" w:rsidP="00194061">
            <w:pPr>
              <w:pStyle w:val="TableBullet1"/>
            </w:pPr>
            <w:r w:rsidRPr="007116E6">
              <w:t>managing the billing and settlement of auction amounts</w:t>
            </w:r>
            <w:r w:rsidR="007E128C">
              <w:t>.</w:t>
            </w:r>
            <w:r w:rsidRPr="007116E6">
              <w:rPr>
                <w:rStyle w:val="FootnoteReference"/>
                <w:rFonts w:asciiTheme="majorHAnsi" w:hAnsiTheme="majorHAnsi" w:cstheme="majorHAnsi"/>
                <w:szCs w:val="18"/>
              </w:rPr>
              <w:footnoteReference w:id="240"/>
            </w:r>
            <w:r w:rsidRPr="007116E6">
              <w:t xml:space="preserve"> </w:t>
            </w:r>
            <w:r w:rsidR="007E128C">
              <w:t>T</w:t>
            </w:r>
            <w:r w:rsidR="00194061">
              <w:t xml:space="preserve">he </w:t>
            </w:r>
            <w:r w:rsidR="00B66F3C" w:rsidRPr="007116E6">
              <w:t xml:space="preserve">auction’s settlement, prudential and reporting frameworks </w:t>
            </w:r>
            <w:r w:rsidR="007E128C">
              <w:t>are</w:t>
            </w:r>
            <w:r w:rsidR="00B66F3C" w:rsidRPr="007116E6">
              <w:t xml:space="preserve"> aligned with </w:t>
            </w:r>
            <w:r w:rsidR="007E128C">
              <w:t xml:space="preserve">the </w:t>
            </w:r>
            <w:r w:rsidR="00B66F3C" w:rsidRPr="007116E6">
              <w:t>GSH and allow prudential requirements to be aggregated across both markets</w:t>
            </w:r>
            <w:r w:rsidR="007E128C">
              <w:t xml:space="preserve"> where an exchange member is also an auction participant</w:t>
            </w:r>
            <w:r w:rsidR="00B66F3C" w:rsidRPr="007116E6">
              <w:t>.</w:t>
            </w:r>
            <w:r w:rsidR="00221E73">
              <w:rPr>
                <w:rStyle w:val="FootnoteReference"/>
                <w:rFonts w:asciiTheme="majorHAnsi" w:hAnsiTheme="majorHAnsi" w:cstheme="majorHAnsi"/>
                <w:szCs w:val="18"/>
              </w:rPr>
              <w:footnoteReference w:id="241"/>
            </w:r>
          </w:p>
          <w:p w14:paraId="5913C5E6" w14:textId="77777777" w:rsidR="00194061" w:rsidRPr="007116E6" w:rsidRDefault="00292B59" w:rsidP="00292B59">
            <w:pPr>
              <w:pStyle w:val="TableBullet1"/>
              <w:numPr>
                <w:ilvl w:val="0"/>
                <w:numId w:val="0"/>
              </w:numPr>
              <w:spacing w:line="259" w:lineRule="auto"/>
              <w:ind w:left="85"/>
              <w:rPr>
                <w:rFonts w:asciiTheme="majorHAnsi" w:hAnsiTheme="majorHAnsi" w:cstheme="majorHAnsi"/>
                <w:szCs w:val="18"/>
              </w:rPr>
            </w:pPr>
            <w:r>
              <w:rPr>
                <w:rFonts w:asciiTheme="majorHAnsi" w:hAnsiTheme="majorHAnsi" w:cstheme="majorHAnsi"/>
                <w:szCs w:val="18"/>
              </w:rPr>
              <w:t>AEMO may charge auction participants (or categories of participants) fees (auction fees) relating to the establishment, operation and administration of the capacity auction, but must consult with auction participants on the structure, introduction and determination of fees.</w:t>
            </w:r>
            <w:r>
              <w:rPr>
                <w:rStyle w:val="FootnoteReference"/>
                <w:rFonts w:asciiTheme="majorHAnsi" w:hAnsiTheme="majorHAnsi" w:cstheme="majorHAnsi"/>
                <w:szCs w:val="18"/>
              </w:rPr>
              <w:footnoteReference w:id="242"/>
            </w:r>
          </w:p>
        </w:tc>
      </w:tr>
      <w:tr w:rsidR="00A12CCF" w:rsidRPr="007116E6" w14:paraId="372A66CC" w14:textId="77777777" w:rsidTr="006E65D8">
        <w:trPr>
          <w:trHeight w:val="56"/>
        </w:trPr>
        <w:tc>
          <w:tcPr>
            <w:tcW w:w="1844" w:type="dxa"/>
            <w:gridSpan w:val="2"/>
            <w:shd w:val="clear" w:color="auto" w:fill="FFFFFF" w:themeFill="background1"/>
          </w:tcPr>
          <w:p w14:paraId="05D5E808" w14:textId="77777777" w:rsidR="00A12CCF" w:rsidRPr="007116E6" w:rsidRDefault="00A12CCF" w:rsidP="007C7119">
            <w:pPr>
              <w:pStyle w:val="BodyText"/>
              <w:spacing w:before="60" w:after="60" w:line="259" w:lineRule="auto"/>
              <w:rPr>
                <w:rFonts w:asciiTheme="majorHAnsi" w:hAnsiTheme="majorHAnsi" w:cstheme="majorHAnsi"/>
                <w:b/>
                <w:szCs w:val="18"/>
              </w:rPr>
            </w:pPr>
            <w:r w:rsidRPr="007116E6">
              <w:rPr>
                <w:rFonts w:asciiTheme="majorHAnsi" w:hAnsiTheme="majorHAnsi" w:cstheme="majorHAnsi"/>
                <w:b/>
                <w:szCs w:val="18"/>
              </w:rPr>
              <w:t xml:space="preserve">Auction participation </w:t>
            </w:r>
          </w:p>
        </w:tc>
        <w:tc>
          <w:tcPr>
            <w:tcW w:w="12615" w:type="dxa"/>
            <w:shd w:val="clear" w:color="auto" w:fill="FFFFFF" w:themeFill="background1"/>
          </w:tcPr>
          <w:p w14:paraId="7A3323D0" w14:textId="77777777" w:rsidR="00A12CCF" w:rsidRDefault="00A12CCF" w:rsidP="007C7119">
            <w:pPr>
              <w:pStyle w:val="TableBodyText"/>
              <w:spacing w:line="259" w:lineRule="auto"/>
              <w:rPr>
                <w:rFonts w:asciiTheme="majorHAnsi" w:hAnsiTheme="majorHAnsi" w:cstheme="majorHAnsi"/>
                <w:szCs w:val="18"/>
              </w:rPr>
            </w:pPr>
            <w:r w:rsidRPr="007116E6">
              <w:rPr>
                <w:rFonts w:asciiTheme="majorHAnsi" w:hAnsiTheme="majorHAnsi" w:cstheme="majorHAnsi"/>
                <w:szCs w:val="18"/>
              </w:rPr>
              <w:t xml:space="preserve">To participate in the auction, shippers must enter into an </w:t>
            </w:r>
            <w:r w:rsidR="00221E73" w:rsidRPr="00221E73">
              <w:rPr>
                <w:rFonts w:asciiTheme="majorHAnsi" w:hAnsiTheme="majorHAnsi" w:cstheme="majorHAnsi"/>
                <w:b/>
                <w:szCs w:val="18"/>
              </w:rPr>
              <w:t>a</w:t>
            </w:r>
            <w:r w:rsidRPr="00221E73">
              <w:rPr>
                <w:rFonts w:asciiTheme="majorHAnsi" w:hAnsiTheme="majorHAnsi" w:cstheme="majorHAnsi"/>
                <w:b/>
                <w:szCs w:val="18"/>
              </w:rPr>
              <w:t xml:space="preserve">uction </w:t>
            </w:r>
            <w:r w:rsidR="00221E73" w:rsidRPr="00221E73">
              <w:rPr>
                <w:rFonts w:asciiTheme="majorHAnsi" w:hAnsiTheme="majorHAnsi" w:cstheme="majorHAnsi"/>
                <w:b/>
                <w:szCs w:val="18"/>
              </w:rPr>
              <w:t>a</w:t>
            </w:r>
            <w:r w:rsidRPr="00221E73">
              <w:rPr>
                <w:rFonts w:asciiTheme="majorHAnsi" w:hAnsiTheme="majorHAnsi" w:cstheme="majorHAnsi"/>
                <w:b/>
                <w:szCs w:val="18"/>
              </w:rPr>
              <w:t>greement</w:t>
            </w:r>
            <w:r w:rsidRPr="007116E6">
              <w:rPr>
                <w:rFonts w:asciiTheme="majorHAnsi" w:hAnsiTheme="majorHAnsi" w:cstheme="majorHAnsi"/>
                <w:szCs w:val="18"/>
              </w:rPr>
              <w:t xml:space="preserve"> with AEMO.</w:t>
            </w:r>
            <w:r w:rsidRPr="007116E6">
              <w:rPr>
                <w:rStyle w:val="FootnoteReference"/>
                <w:rFonts w:asciiTheme="majorHAnsi" w:hAnsiTheme="majorHAnsi" w:cstheme="majorHAnsi"/>
                <w:szCs w:val="18"/>
              </w:rPr>
              <w:footnoteReference w:id="243"/>
            </w:r>
            <w:r w:rsidRPr="007116E6">
              <w:rPr>
                <w:rFonts w:asciiTheme="majorHAnsi" w:hAnsiTheme="majorHAnsi" w:cstheme="majorHAnsi"/>
                <w:szCs w:val="18"/>
              </w:rPr>
              <w:t xml:space="preserve"> To use the capacity procured through the auction, shippers must </w:t>
            </w:r>
            <w:r w:rsidR="00A63967">
              <w:rPr>
                <w:rFonts w:asciiTheme="majorHAnsi" w:hAnsiTheme="majorHAnsi" w:cstheme="majorHAnsi"/>
                <w:szCs w:val="18"/>
              </w:rPr>
              <w:t xml:space="preserve">also </w:t>
            </w:r>
            <w:r w:rsidRPr="007116E6">
              <w:rPr>
                <w:rFonts w:asciiTheme="majorHAnsi" w:hAnsiTheme="majorHAnsi" w:cstheme="majorHAnsi"/>
                <w:szCs w:val="18"/>
              </w:rPr>
              <w:t xml:space="preserve">have an </w:t>
            </w:r>
            <w:r w:rsidRPr="00221E73">
              <w:rPr>
                <w:rFonts w:asciiTheme="majorHAnsi" w:hAnsiTheme="majorHAnsi" w:cstheme="majorHAnsi"/>
                <w:b/>
                <w:szCs w:val="18"/>
              </w:rPr>
              <w:t>OTSA</w:t>
            </w:r>
            <w:r w:rsidRPr="007116E6">
              <w:rPr>
                <w:rFonts w:asciiTheme="majorHAnsi" w:hAnsiTheme="majorHAnsi" w:cstheme="majorHAnsi"/>
                <w:szCs w:val="18"/>
              </w:rPr>
              <w:t xml:space="preserve"> in place with the relevant </w:t>
            </w:r>
            <w:r w:rsidR="00DA16AB">
              <w:rPr>
                <w:rFonts w:asciiTheme="majorHAnsi" w:hAnsiTheme="majorHAnsi" w:cstheme="majorHAnsi"/>
                <w:szCs w:val="18"/>
              </w:rPr>
              <w:t xml:space="preserve">transportation </w:t>
            </w:r>
            <w:r w:rsidRPr="007116E6">
              <w:rPr>
                <w:rFonts w:asciiTheme="majorHAnsi" w:hAnsiTheme="majorHAnsi" w:cstheme="majorHAnsi"/>
                <w:szCs w:val="18"/>
              </w:rPr>
              <w:t>service provider</w:t>
            </w:r>
            <w:r w:rsidR="00201550">
              <w:rPr>
                <w:rFonts w:asciiTheme="majorHAnsi" w:hAnsiTheme="majorHAnsi" w:cstheme="majorHAnsi"/>
                <w:szCs w:val="18"/>
              </w:rPr>
              <w:t xml:space="preserve"> (see Chapter 5 for detail)</w:t>
            </w:r>
            <w:r w:rsidRPr="007116E6">
              <w:rPr>
                <w:rFonts w:asciiTheme="majorHAnsi" w:hAnsiTheme="majorHAnsi" w:cstheme="majorHAnsi"/>
                <w:szCs w:val="18"/>
              </w:rPr>
              <w:t>.</w:t>
            </w:r>
          </w:p>
          <w:p w14:paraId="16F1E983" w14:textId="77777777" w:rsidR="00A63967" w:rsidRDefault="00292B59" w:rsidP="00292B59">
            <w:pPr>
              <w:pStyle w:val="TableBodyText"/>
              <w:spacing w:line="259" w:lineRule="auto"/>
              <w:rPr>
                <w:rFonts w:asciiTheme="majorHAnsi" w:hAnsiTheme="majorHAnsi" w:cstheme="majorHAnsi"/>
                <w:szCs w:val="18"/>
              </w:rPr>
            </w:pPr>
            <w:r>
              <w:rPr>
                <w:rFonts w:asciiTheme="majorHAnsi" w:hAnsiTheme="majorHAnsi" w:cstheme="majorHAnsi"/>
                <w:szCs w:val="18"/>
              </w:rPr>
              <w:t xml:space="preserve">AEMO </w:t>
            </w:r>
            <w:r w:rsidR="00A63967">
              <w:rPr>
                <w:rFonts w:asciiTheme="majorHAnsi" w:hAnsiTheme="majorHAnsi" w:cstheme="majorHAnsi"/>
                <w:szCs w:val="18"/>
              </w:rPr>
              <w:t>has the power to</w:t>
            </w:r>
            <w:r w:rsidR="007E128C">
              <w:rPr>
                <w:rFonts w:asciiTheme="majorHAnsi" w:hAnsiTheme="majorHAnsi" w:cstheme="majorHAnsi"/>
                <w:szCs w:val="18"/>
              </w:rPr>
              <w:t xml:space="preserve"> </w:t>
            </w:r>
            <w:r w:rsidR="007E128C">
              <w:t>suspend or limit an auction participant’s access to the auction and terminate an auction agreement in specified circumstances.</w:t>
            </w:r>
            <w:r>
              <w:rPr>
                <w:rFonts w:asciiTheme="majorHAnsi" w:hAnsiTheme="majorHAnsi" w:cstheme="majorHAnsi"/>
                <w:szCs w:val="18"/>
              </w:rPr>
              <w:t xml:space="preserve"> </w:t>
            </w:r>
          </w:p>
          <w:p w14:paraId="5997FF4F" w14:textId="77777777" w:rsidR="00292B59" w:rsidRPr="007116E6" w:rsidRDefault="00292B59" w:rsidP="00292B59">
            <w:pPr>
              <w:pStyle w:val="TableBodyText"/>
              <w:spacing w:line="259" w:lineRule="auto"/>
              <w:rPr>
                <w:rFonts w:asciiTheme="majorHAnsi" w:hAnsiTheme="majorHAnsi" w:cstheme="majorHAnsi"/>
                <w:szCs w:val="18"/>
              </w:rPr>
            </w:pPr>
            <w:r>
              <w:rPr>
                <w:rFonts w:asciiTheme="majorHAnsi" w:hAnsiTheme="majorHAnsi" w:cstheme="majorHAnsi"/>
                <w:szCs w:val="18"/>
              </w:rPr>
              <w:t>I</w:t>
            </w:r>
            <w:r>
              <w:t xml:space="preserve">f AEMO is entitled to terminate the auction agreement and the auction participant is also an exchange member, AEMO may also terminate the </w:t>
            </w:r>
            <w:r w:rsidR="000E0023">
              <w:t>e</w:t>
            </w:r>
            <w:r>
              <w:t xml:space="preserve">xchange </w:t>
            </w:r>
            <w:r w:rsidR="000E0023">
              <w:t>a</w:t>
            </w:r>
            <w:r>
              <w:t>greement.</w:t>
            </w:r>
            <w:r>
              <w:rPr>
                <w:rStyle w:val="FootnoteReference"/>
              </w:rPr>
              <w:footnoteReference w:id="244"/>
            </w:r>
          </w:p>
        </w:tc>
      </w:tr>
      <w:tr w:rsidR="00292B59" w:rsidRPr="007116E6" w14:paraId="3D167556" w14:textId="77777777" w:rsidTr="006E65D8">
        <w:trPr>
          <w:cnfStyle w:val="000000010000" w:firstRow="0" w:lastRow="0" w:firstColumn="0" w:lastColumn="0" w:oddVBand="0" w:evenVBand="0" w:oddHBand="0" w:evenHBand="1" w:firstRowFirstColumn="0" w:firstRowLastColumn="0" w:lastRowFirstColumn="0" w:lastRowLastColumn="0"/>
          <w:trHeight w:val="56"/>
        </w:trPr>
        <w:tc>
          <w:tcPr>
            <w:tcW w:w="1844" w:type="dxa"/>
            <w:gridSpan w:val="2"/>
          </w:tcPr>
          <w:p w14:paraId="70B66591" w14:textId="77777777" w:rsidR="00292B59" w:rsidRPr="007116E6" w:rsidRDefault="00292B59" w:rsidP="00C50443">
            <w:pPr>
              <w:pStyle w:val="BodyText"/>
              <w:keepNext/>
              <w:spacing w:before="60" w:after="60" w:line="259" w:lineRule="auto"/>
              <w:rPr>
                <w:rFonts w:asciiTheme="majorHAnsi" w:hAnsiTheme="majorHAnsi" w:cstheme="majorHAnsi"/>
                <w:b/>
                <w:szCs w:val="18"/>
              </w:rPr>
            </w:pPr>
            <w:r>
              <w:rPr>
                <w:rFonts w:asciiTheme="majorHAnsi" w:hAnsiTheme="majorHAnsi" w:cstheme="majorHAnsi"/>
                <w:b/>
                <w:szCs w:val="18"/>
              </w:rPr>
              <w:lastRenderedPageBreak/>
              <w:t>CT&amp;A Procedures and the auction agreement</w:t>
            </w:r>
          </w:p>
        </w:tc>
        <w:tc>
          <w:tcPr>
            <w:tcW w:w="12615" w:type="dxa"/>
          </w:tcPr>
          <w:p w14:paraId="20635421" w14:textId="77777777" w:rsidR="00292B59" w:rsidRDefault="00292B59" w:rsidP="00C50443">
            <w:pPr>
              <w:pStyle w:val="TableBullet1"/>
              <w:keepNext/>
              <w:numPr>
                <w:ilvl w:val="0"/>
                <w:numId w:val="0"/>
              </w:numPr>
              <w:ind w:left="85"/>
            </w:pPr>
            <w:r>
              <w:t xml:space="preserve">The </w:t>
            </w:r>
            <w:r w:rsidRPr="00292B59">
              <w:rPr>
                <w:b/>
              </w:rPr>
              <w:t>CT&amp;A Procedures</w:t>
            </w:r>
            <w:r w:rsidRPr="00292B59">
              <w:t>, which AEMO is responsible for developing,</w:t>
            </w:r>
            <w:r>
              <w:t xml:space="preserve"> must provide for the operation and administration of the </w:t>
            </w:r>
            <w:r w:rsidR="00A63967">
              <w:t xml:space="preserve">day-ahead </w:t>
            </w:r>
            <w:r>
              <w:t>auction in accordance with Part 25 of the NGR. Amongst other things, these procedures must set out:</w:t>
            </w:r>
          </w:p>
          <w:p w14:paraId="1D9F318F" w14:textId="77777777" w:rsidR="00292B59" w:rsidRDefault="00292B59" w:rsidP="00C50443">
            <w:pPr>
              <w:pStyle w:val="TableBullet1"/>
              <w:keepNext/>
            </w:pPr>
            <w:r>
              <w:t>the terms of participation in the auction;</w:t>
            </w:r>
          </w:p>
          <w:p w14:paraId="7F3CFDEE" w14:textId="77777777" w:rsidR="00292B59" w:rsidRPr="008F7A39" w:rsidRDefault="00292B59" w:rsidP="00C50443">
            <w:pPr>
              <w:pStyle w:val="TableBullet1"/>
              <w:keepNext/>
            </w:pPr>
            <w:r w:rsidRPr="008F7A39">
              <w:t>matters relating to the conduct of the auction, including</w:t>
            </w:r>
            <w:r>
              <w:t>, amongst other things,</w:t>
            </w:r>
            <w:r w:rsidRPr="008F7A39">
              <w:t xml:space="preserve"> information on the </w:t>
            </w:r>
            <w:r>
              <w:t xml:space="preserve">method </w:t>
            </w:r>
            <w:r w:rsidRPr="008F7A39">
              <w:t xml:space="preserve">used to calculate the auction quantity limits, </w:t>
            </w:r>
            <w:r>
              <w:t xml:space="preserve">the specification of auction products, </w:t>
            </w:r>
            <w:r w:rsidRPr="008F7A39">
              <w:t>the bidding process, settlement calculations</w:t>
            </w:r>
            <w:r>
              <w:t>,</w:t>
            </w:r>
            <w:r w:rsidRPr="008F7A39">
              <w:t xml:space="preserve"> how system failures will be dealt with</w:t>
            </w:r>
            <w:r>
              <w:t xml:space="preserve"> and the information to be published by AEMO before and after the auction is held each day</w:t>
            </w:r>
            <w:r w:rsidRPr="008F7A39">
              <w:t>;</w:t>
            </w:r>
            <w:r>
              <w:t xml:space="preserve"> and</w:t>
            </w:r>
          </w:p>
          <w:p w14:paraId="61E6A27F" w14:textId="77777777" w:rsidR="00292B59" w:rsidRPr="008F7A39" w:rsidRDefault="00292B59" w:rsidP="00C50443">
            <w:pPr>
              <w:pStyle w:val="TableBullet1"/>
              <w:keepNext/>
            </w:pPr>
            <w:r w:rsidRPr="008F7A39">
              <w:t>the information to be exchanged with auction facility operators and how the auction results will be given effect</w:t>
            </w:r>
            <w:r>
              <w:t>.</w:t>
            </w:r>
          </w:p>
          <w:p w14:paraId="67F4D8E5" w14:textId="77777777" w:rsidR="00292B59" w:rsidRDefault="00292B59" w:rsidP="00C50443">
            <w:pPr>
              <w:pStyle w:val="TableBodyText"/>
              <w:keepNext/>
              <w:spacing w:line="259" w:lineRule="auto"/>
              <w:rPr>
                <w:rFonts w:asciiTheme="majorHAnsi" w:hAnsiTheme="majorHAnsi" w:cstheme="majorHAnsi"/>
                <w:szCs w:val="18"/>
              </w:rPr>
            </w:pPr>
            <w:r>
              <w:rPr>
                <w:rFonts w:asciiTheme="majorHAnsi" w:hAnsiTheme="majorHAnsi" w:cstheme="majorHAnsi"/>
                <w:szCs w:val="18"/>
              </w:rPr>
              <w:t xml:space="preserve">AEMO is also responsible for developing the </w:t>
            </w:r>
            <w:r w:rsidRPr="00C50443">
              <w:rPr>
                <w:rFonts w:asciiTheme="majorHAnsi" w:hAnsiTheme="majorHAnsi" w:cstheme="majorHAnsi"/>
                <w:b/>
                <w:szCs w:val="18"/>
              </w:rPr>
              <w:t xml:space="preserve">standard form </w:t>
            </w:r>
            <w:r w:rsidR="00C50443" w:rsidRPr="00C50443">
              <w:rPr>
                <w:rFonts w:asciiTheme="majorHAnsi" w:hAnsiTheme="majorHAnsi" w:cstheme="majorHAnsi"/>
                <w:b/>
                <w:szCs w:val="18"/>
              </w:rPr>
              <w:t xml:space="preserve">auction </w:t>
            </w:r>
            <w:r w:rsidRPr="00C50443">
              <w:rPr>
                <w:rFonts w:asciiTheme="majorHAnsi" w:hAnsiTheme="majorHAnsi" w:cstheme="majorHAnsi"/>
                <w:b/>
                <w:szCs w:val="18"/>
              </w:rPr>
              <w:t>agreement</w:t>
            </w:r>
            <w:r>
              <w:rPr>
                <w:rFonts w:asciiTheme="majorHAnsi" w:hAnsiTheme="majorHAnsi" w:cstheme="majorHAnsi"/>
                <w:szCs w:val="18"/>
              </w:rPr>
              <w:t>, which will form part of the CT&amp;A Procedures. The standard form agreement must, amongst other things, set out:</w:t>
            </w:r>
            <w:r>
              <w:rPr>
                <w:rStyle w:val="FootnoteReference"/>
                <w:rFonts w:asciiTheme="majorHAnsi" w:hAnsiTheme="majorHAnsi" w:cstheme="majorHAnsi"/>
                <w:szCs w:val="18"/>
              </w:rPr>
              <w:footnoteReference w:id="245"/>
            </w:r>
            <w:r>
              <w:rPr>
                <w:rFonts w:asciiTheme="majorHAnsi" w:hAnsiTheme="majorHAnsi" w:cstheme="majorHAnsi"/>
                <w:szCs w:val="18"/>
              </w:rPr>
              <w:t xml:space="preserve"> </w:t>
            </w:r>
          </w:p>
          <w:p w14:paraId="3731C593" w14:textId="77777777" w:rsidR="00292B59" w:rsidRDefault="00292B59" w:rsidP="00C50443">
            <w:pPr>
              <w:pStyle w:val="TableBullet1"/>
              <w:keepNext/>
              <w:spacing w:line="259" w:lineRule="auto"/>
            </w:pPr>
            <w:r>
              <w:t xml:space="preserve">provisions under which the auction participant agrees to comply with and be bound by the CT&amp;A Procedures; </w:t>
            </w:r>
          </w:p>
          <w:p w14:paraId="0B755FF6" w14:textId="77777777" w:rsidR="00292B59" w:rsidRDefault="00292B59" w:rsidP="00C50443">
            <w:pPr>
              <w:pStyle w:val="TableBullet1"/>
              <w:keepNext/>
              <w:spacing w:line="259" w:lineRule="auto"/>
            </w:pPr>
            <w:r>
              <w:t xml:space="preserve">a requirement to provide payment security to participate in the auction; </w:t>
            </w:r>
          </w:p>
          <w:p w14:paraId="30EF25C1" w14:textId="77777777" w:rsidR="00292B59" w:rsidRDefault="00292B59" w:rsidP="00C50443">
            <w:pPr>
              <w:pStyle w:val="TableBullet1"/>
              <w:keepNext/>
              <w:spacing w:line="259" w:lineRule="auto"/>
            </w:pPr>
            <w:r>
              <w:t>procedures and timing requirements for payment and settlement of auction amounts; and</w:t>
            </w:r>
          </w:p>
          <w:p w14:paraId="6188183B" w14:textId="77777777" w:rsidR="00292B59" w:rsidRPr="00292B59" w:rsidRDefault="00292B59" w:rsidP="00C50443">
            <w:pPr>
              <w:pStyle w:val="TableBullet1"/>
              <w:keepNext/>
              <w:spacing w:line="259" w:lineRule="auto"/>
            </w:pPr>
            <w:r>
              <w:t xml:space="preserve">the list of events or circumstances that will be considered default or suspension events; and the process for suspending, limiting access to the auction and terminating an auction agreement. </w:t>
            </w:r>
          </w:p>
        </w:tc>
      </w:tr>
      <w:tr w:rsidR="00C50443" w:rsidRPr="007116E6" w14:paraId="27B88EE6" w14:textId="77777777" w:rsidTr="006E65D8">
        <w:trPr>
          <w:trHeight w:val="396"/>
        </w:trPr>
        <w:tc>
          <w:tcPr>
            <w:tcW w:w="1844" w:type="dxa"/>
            <w:gridSpan w:val="2"/>
            <w:shd w:val="clear" w:color="auto" w:fill="FFFFFF" w:themeFill="background1"/>
          </w:tcPr>
          <w:p w14:paraId="21A03F48" w14:textId="77777777" w:rsidR="00C50443" w:rsidRPr="007116E6" w:rsidRDefault="00C50443" w:rsidP="007C7119">
            <w:pPr>
              <w:pStyle w:val="BodyText"/>
              <w:spacing w:before="60" w:after="60" w:line="259" w:lineRule="auto"/>
              <w:rPr>
                <w:rFonts w:asciiTheme="majorHAnsi" w:hAnsiTheme="majorHAnsi" w:cstheme="majorHAnsi"/>
                <w:b/>
                <w:szCs w:val="18"/>
              </w:rPr>
            </w:pPr>
            <w:r w:rsidRPr="007116E6">
              <w:rPr>
                <w:rFonts w:asciiTheme="majorHAnsi" w:hAnsiTheme="majorHAnsi" w:cstheme="majorHAnsi"/>
                <w:b/>
                <w:szCs w:val="18"/>
              </w:rPr>
              <w:t>Auction services</w:t>
            </w:r>
          </w:p>
        </w:tc>
        <w:tc>
          <w:tcPr>
            <w:tcW w:w="12615" w:type="dxa"/>
            <w:hideMark/>
          </w:tcPr>
          <w:p w14:paraId="1BA87B3C" w14:textId="77777777" w:rsidR="00C50443" w:rsidRPr="007116E6" w:rsidRDefault="00C50443" w:rsidP="007C7119">
            <w:pPr>
              <w:pStyle w:val="TableBodyText"/>
              <w:spacing w:line="259" w:lineRule="auto"/>
              <w:rPr>
                <w:rFonts w:asciiTheme="majorHAnsi" w:hAnsiTheme="majorHAnsi" w:cstheme="majorHAnsi"/>
                <w:szCs w:val="18"/>
              </w:rPr>
            </w:pPr>
            <w:r w:rsidRPr="007116E6">
              <w:rPr>
                <w:rFonts w:asciiTheme="majorHAnsi" w:hAnsiTheme="majorHAnsi" w:cstheme="majorHAnsi"/>
                <w:szCs w:val="18"/>
              </w:rPr>
              <w:t xml:space="preserve">Participants </w:t>
            </w:r>
            <w:r w:rsidR="00A63967">
              <w:rPr>
                <w:rFonts w:asciiTheme="majorHAnsi" w:hAnsiTheme="majorHAnsi" w:cstheme="majorHAnsi"/>
                <w:szCs w:val="18"/>
              </w:rPr>
              <w:t xml:space="preserve">will be able to </w:t>
            </w:r>
            <w:r w:rsidRPr="007116E6">
              <w:rPr>
                <w:rFonts w:asciiTheme="majorHAnsi" w:hAnsiTheme="majorHAnsi" w:cstheme="majorHAnsi"/>
                <w:szCs w:val="18"/>
              </w:rPr>
              <w:t>use the auction to procure:</w:t>
            </w:r>
            <w:r w:rsidRPr="007116E6">
              <w:rPr>
                <w:rStyle w:val="FootnoteReference"/>
                <w:rFonts w:asciiTheme="majorHAnsi" w:hAnsiTheme="majorHAnsi" w:cstheme="majorHAnsi"/>
                <w:szCs w:val="18"/>
              </w:rPr>
              <w:footnoteReference w:id="246"/>
            </w:r>
            <w:r w:rsidRPr="007116E6">
              <w:rPr>
                <w:rFonts w:asciiTheme="majorHAnsi" w:hAnsiTheme="majorHAnsi" w:cstheme="majorHAnsi"/>
                <w:szCs w:val="18"/>
              </w:rPr>
              <w:t xml:space="preserve"> </w:t>
            </w:r>
          </w:p>
          <w:p w14:paraId="298C6A9D" w14:textId="77777777" w:rsidR="00C50443" w:rsidRPr="007116E6" w:rsidRDefault="00C50443" w:rsidP="007C7119">
            <w:pPr>
              <w:pStyle w:val="TableBullet1"/>
              <w:spacing w:line="259" w:lineRule="auto"/>
              <w:rPr>
                <w:rFonts w:asciiTheme="majorHAnsi" w:hAnsiTheme="majorHAnsi" w:cstheme="majorHAnsi"/>
                <w:szCs w:val="18"/>
              </w:rPr>
            </w:pPr>
            <w:r w:rsidRPr="007116E6">
              <w:rPr>
                <w:rFonts w:asciiTheme="majorHAnsi" w:hAnsiTheme="majorHAnsi" w:cstheme="majorHAnsi"/>
                <w:b/>
                <w:szCs w:val="18"/>
              </w:rPr>
              <w:t>forward haul</w:t>
            </w:r>
            <w:r w:rsidRPr="007116E6">
              <w:rPr>
                <w:rFonts w:asciiTheme="majorHAnsi" w:hAnsiTheme="majorHAnsi" w:cstheme="majorHAnsi"/>
                <w:szCs w:val="18"/>
              </w:rPr>
              <w:t xml:space="preserve"> transportation services (with separate products offered in both directions on bi-directional</w:t>
            </w:r>
            <w:r w:rsidRPr="007116E6">
              <w:rPr>
                <w:rStyle w:val="FootnoteReference"/>
                <w:rFonts w:asciiTheme="majorHAnsi" w:hAnsiTheme="majorHAnsi" w:cstheme="majorHAnsi"/>
                <w:szCs w:val="18"/>
              </w:rPr>
              <w:footnoteReference w:id="247"/>
            </w:r>
            <w:r w:rsidRPr="007116E6">
              <w:rPr>
                <w:rFonts w:asciiTheme="majorHAnsi" w:hAnsiTheme="majorHAnsi" w:cstheme="majorHAnsi"/>
                <w:szCs w:val="18"/>
              </w:rPr>
              <w:t xml:space="preserve"> pipelines); </w:t>
            </w:r>
          </w:p>
          <w:p w14:paraId="0AE2DD42" w14:textId="77777777" w:rsidR="00C50443" w:rsidRPr="007116E6" w:rsidRDefault="00C50443" w:rsidP="007C7119">
            <w:pPr>
              <w:pStyle w:val="TableBullet1"/>
              <w:spacing w:line="259" w:lineRule="auto"/>
              <w:rPr>
                <w:rFonts w:asciiTheme="majorHAnsi" w:eastAsiaTheme="majorEastAsia" w:hAnsiTheme="majorHAnsi" w:cstheme="majorHAnsi"/>
                <w:szCs w:val="18"/>
              </w:rPr>
            </w:pPr>
            <w:r w:rsidRPr="007116E6">
              <w:rPr>
                <w:rFonts w:asciiTheme="majorHAnsi" w:eastAsiaTheme="majorEastAsia" w:hAnsiTheme="majorHAnsi" w:cstheme="majorHAnsi"/>
                <w:b/>
                <w:szCs w:val="18"/>
              </w:rPr>
              <w:t>backhaul services</w:t>
            </w:r>
            <w:r w:rsidRPr="007116E6">
              <w:rPr>
                <w:rFonts w:asciiTheme="majorHAnsi" w:eastAsiaTheme="majorEastAsia" w:hAnsiTheme="majorHAnsi" w:cstheme="majorHAnsi"/>
                <w:szCs w:val="18"/>
              </w:rPr>
              <w:t xml:space="preserve"> on those single direction pipelines (or parts of pipelines) on which AEMO specifies backhaul service points; and </w:t>
            </w:r>
          </w:p>
          <w:p w14:paraId="3C4EE6BF" w14:textId="77777777" w:rsidR="00C50443" w:rsidRDefault="00C50443" w:rsidP="007C7119">
            <w:pPr>
              <w:pStyle w:val="TableBullet1"/>
              <w:spacing w:line="259" w:lineRule="auto"/>
              <w:rPr>
                <w:rFonts w:asciiTheme="majorHAnsi" w:hAnsiTheme="majorHAnsi" w:cstheme="majorHAnsi"/>
                <w:szCs w:val="18"/>
              </w:rPr>
            </w:pPr>
            <w:r w:rsidRPr="007116E6">
              <w:rPr>
                <w:rFonts w:asciiTheme="majorHAnsi" w:hAnsiTheme="majorHAnsi" w:cstheme="majorHAnsi"/>
                <w:b/>
                <w:szCs w:val="18"/>
              </w:rPr>
              <w:t>stand-alone compression services</w:t>
            </w:r>
            <w:r w:rsidRPr="007116E6">
              <w:rPr>
                <w:rFonts w:asciiTheme="majorHAnsi" w:hAnsiTheme="majorHAnsi" w:cstheme="majorHAnsi"/>
                <w:szCs w:val="18"/>
              </w:rPr>
              <w:t>.</w:t>
            </w:r>
          </w:p>
          <w:p w14:paraId="39F708F3" w14:textId="77777777" w:rsidR="00C50443" w:rsidRDefault="00C50443" w:rsidP="007C7119">
            <w:pPr>
              <w:pStyle w:val="TableBullet1"/>
              <w:numPr>
                <w:ilvl w:val="0"/>
                <w:numId w:val="0"/>
              </w:numPr>
              <w:spacing w:line="259" w:lineRule="auto"/>
              <w:ind w:left="85"/>
              <w:rPr>
                <w:rFonts w:asciiTheme="majorHAnsi" w:hAnsiTheme="majorHAnsi" w:cstheme="majorHAnsi"/>
                <w:szCs w:val="18"/>
              </w:rPr>
            </w:pPr>
            <w:r w:rsidRPr="007116E6">
              <w:rPr>
                <w:rFonts w:asciiTheme="majorHAnsi" w:hAnsiTheme="majorHAnsi" w:cstheme="majorHAnsi"/>
                <w:szCs w:val="18"/>
              </w:rPr>
              <w:t xml:space="preserve">The terms and conditions on which a shipper can use </w:t>
            </w:r>
            <w:r>
              <w:rPr>
                <w:rFonts w:asciiTheme="majorHAnsi" w:hAnsiTheme="majorHAnsi" w:cstheme="majorHAnsi"/>
                <w:szCs w:val="18"/>
              </w:rPr>
              <w:t xml:space="preserve">these services will </w:t>
            </w:r>
            <w:r w:rsidRPr="007116E6">
              <w:rPr>
                <w:rFonts w:asciiTheme="majorHAnsi" w:hAnsiTheme="majorHAnsi" w:cstheme="majorHAnsi"/>
                <w:szCs w:val="18"/>
              </w:rPr>
              <w:t>be set out in the auction facility operator’s standard OTSA (or other agreement containing the terms for use of the service).</w:t>
            </w:r>
            <w:r w:rsidRPr="007116E6">
              <w:rPr>
                <w:rStyle w:val="FootnoteReference"/>
                <w:rFonts w:asciiTheme="majorHAnsi" w:hAnsiTheme="majorHAnsi" w:cstheme="majorHAnsi"/>
                <w:szCs w:val="18"/>
              </w:rPr>
              <w:footnoteReference w:id="248"/>
            </w:r>
            <w:r w:rsidRPr="007116E6">
              <w:rPr>
                <w:rFonts w:asciiTheme="majorHAnsi" w:hAnsiTheme="majorHAnsi" w:cstheme="majorHAnsi"/>
                <w:szCs w:val="18"/>
              </w:rPr>
              <w:t xml:space="preserve"> Amongst other things, the OTSA will specify the hourly flexibility the shipper will have and provide for a reasonable endeavours renomination right and a zero-imbalance allowance.</w:t>
            </w:r>
            <w:r w:rsidRPr="007116E6">
              <w:rPr>
                <w:rStyle w:val="FootnoteReference"/>
                <w:rFonts w:asciiTheme="majorHAnsi" w:hAnsiTheme="majorHAnsi" w:cstheme="majorHAnsi"/>
                <w:szCs w:val="18"/>
              </w:rPr>
              <w:footnoteReference w:id="249"/>
            </w:r>
            <w:r w:rsidRPr="007116E6">
              <w:rPr>
                <w:rFonts w:asciiTheme="majorHAnsi" w:hAnsiTheme="majorHAnsi" w:cstheme="majorHAnsi"/>
                <w:szCs w:val="18"/>
              </w:rPr>
              <w:t xml:space="preserve"> If a shipper requires additional flexibility, it can procure it from the service provider or another shipper (where operationally and technically feasible),</w:t>
            </w:r>
            <w:r w:rsidRPr="007116E6">
              <w:rPr>
                <w:rStyle w:val="FootnoteReference"/>
                <w:rFonts w:asciiTheme="majorHAnsi" w:hAnsiTheme="majorHAnsi" w:cstheme="majorHAnsi"/>
                <w:szCs w:val="18"/>
              </w:rPr>
              <w:footnoteReference w:id="250"/>
            </w:r>
            <w:r w:rsidRPr="007116E6">
              <w:rPr>
                <w:rFonts w:asciiTheme="majorHAnsi" w:hAnsiTheme="majorHAnsi" w:cstheme="majorHAnsi"/>
                <w:szCs w:val="18"/>
              </w:rPr>
              <w:t xml:space="preserve"> but this will be a matter for negotiation.</w:t>
            </w:r>
          </w:p>
          <w:p w14:paraId="551F2AC4" w14:textId="77777777" w:rsidR="00A63967" w:rsidRPr="007116E6" w:rsidRDefault="00A63967" w:rsidP="00A63967">
            <w:pPr>
              <w:pStyle w:val="TableBodyText"/>
            </w:pPr>
            <w:r>
              <w:t xml:space="preserve">Note that in contrast to the capacity trading platform, the </w:t>
            </w:r>
            <w:r w:rsidR="007E128C">
              <w:t xml:space="preserve">services that must be offered as </w:t>
            </w:r>
            <w:r>
              <w:t xml:space="preserve">auction services are </w:t>
            </w:r>
            <w:r w:rsidR="007E128C">
              <w:t xml:space="preserve">limited to those </w:t>
            </w:r>
            <w:r>
              <w:t xml:space="preserve">specified in the NGR. A rule change will therefore be required if any new services are to be subject to the auction. </w:t>
            </w:r>
          </w:p>
        </w:tc>
      </w:tr>
      <w:tr w:rsidR="00C50443" w:rsidRPr="007116E6" w14:paraId="130659AC" w14:textId="77777777" w:rsidTr="006E65D8">
        <w:trPr>
          <w:cnfStyle w:val="000000010000" w:firstRow="0" w:lastRow="0" w:firstColumn="0" w:lastColumn="0" w:oddVBand="0" w:evenVBand="0" w:oddHBand="0" w:evenHBand="1" w:firstRowFirstColumn="0" w:firstRowLastColumn="0" w:lastRowFirstColumn="0" w:lastRowLastColumn="0"/>
          <w:cantSplit/>
          <w:trHeight w:val="1134"/>
        </w:trPr>
        <w:tc>
          <w:tcPr>
            <w:tcW w:w="284" w:type="dxa"/>
            <w:vMerge w:val="restart"/>
            <w:shd w:val="clear" w:color="auto" w:fill="FFFFFF" w:themeFill="background1"/>
            <w:textDirection w:val="btLr"/>
            <w:vAlign w:val="center"/>
            <w:hideMark/>
          </w:tcPr>
          <w:p w14:paraId="6E4EE465" w14:textId="77777777" w:rsidR="00C50443" w:rsidRPr="007116E6" w:rsidRDefault="00C50443" w:rsidP="00C50443">
            <w:pPr>
              <w:spacing w:line="247" w:lineRule="auto"/>
              <w:jc w:val="center"/>
              <w:rPr>
                <w:rFonts w:asciiTheme="majorHAnsi" w:hAnsiTheme="majorHAnsi" w:cstheme="majorHAnsi"/>
                <w:b/>
                <w:szCs w:val="18"/>
              </w:rPr>
            </w:pPr>
            <w:r w:rsidRPr="007116E6">
              <w:rPr>
                <w:rFonts w:asciiTheme="majorHAnsi" w:hAnsiTheme="majorHAnsi" w:cstheme="majorHAnsi"/>
                <w:b/>
                <w:szCs w:val="18"/>
              </w:rPr>
              <w:lastRenderedPageBreak/>
              <w:t>Auction service priorities</w:t>
            </w:r>
          </w:p>
        </w:tc>
        <w:tc>
          <w:tcPr>
            <w:tcW w:w="1560" w:type="dxa"/>
            <w:shd w:val="clear" w:color="auto" w:fill="FFFFFF" w:themeFill="background1"/>
          </w:tcPr>
          <w:p w14:paraId="639CE489" w14:textId="77777777" w:rsidR="00C50443" w:rsidRPr="007116E6" w:rsidRDefault="00C50443" w:rsidP="00C50443">
            <w:pPr>
              <w:pStyle w:val="BodyText"/>
              <w:spacing w:before="40" w:after="40" w:line="259" w:lineRule="auto"/>
              <w:rPr>
                <w:rFonts w:asciiTheme="majorHAnsi" w:hAnsiTheme="majorHAnsi" w:cstheme="majorHAnsi"/>
                <w:b/>
                <w:szCs w:val="18"/>
              </w:rPr>
            </w:pPr>
            <w:r w:rsidRPr="007116E6">
              <w:rPr>
                <w:rFonts w:asciiTheme="majorHAnsi" w:hAnsiTheme="majorHAnsi" w:cstheme="majorHAnsi"/>
                <w:b/>
                <w:iCs/>
                <w:szCs w:val="18"/>
                <w:lang w:eastAsia="en-US"/>
              </w:rPr>
              <w:t>Classification of services</w:t>
            </w:r>
          </w:p>
        </w:tc>
        <w:tc>
          <w:tcPr>
            <w:tcW w:w="12615" w:type="dxa"/>
            <w:shd w:val="clear" w:color="auto" w:fill="FFFFFF" w:themeFill="background1"/>
            <w:hideMark/>
          </w:tcPr>
          <w:p w14:paraId="14F840B3" w14:textId="77777777" w:rsidR="00C50443" w:rsidRDefault="00C50443" w:rsidP="00C50443">
            <w:pPr>
              <w:spacing w:before="40" w:after="40" w:line="259" w:lineRule="auto"/>
              <w:rPr>
                <w:rFonts w:asciiTheme="majorHAnsi" w:hAnsiTheme="majorHAnsi" w:cstheme="majorHAnsi"/>
                <w:iCs/>
                <w:szCs w:val="18"/>
                <w:lang w:eastAsia="en-US"/>
              </w:rPr>
            </w:pPr>
            <w:r w:rsidRPr="007116E6">
              <w:rPr>
                <w:rFonts w:asciiTheme="majorHAnsi" w:hAnsiTheme="majorHAnsi" w:cstheme="majorHAnsi"/>
                <w:iCs/>
                <w:szCs w:val="18"/>
                <w:lang w:eastAsia="en-US"/>
              </w:rPr>
              <w:t>Auction facility operators must</w:t>
            </w:r>
            <w:r>
              <w:rPr>
                <w:rFonts w:asciiTheme="majorHAnsi" w:hAnsiTheme="majorHAnsi" w:cstheme="majorHAnsi"/>
                <w:iCs/>
                <w:szCs w:val="18"/>
                <w:lang w:eastAsia="en-US"/>
              </w:rPr>
              <w:t>:</w:t>
            </w:r>
            <w:r w:rsidRPr="007116E6">
              <w:rPr>
                <w:rFonts w:asciiTheme="majorHAnsi" w:hAnsiTheme="majorHAnsi" w:cstheme="majorHAnsi"/>
                <w:iCs/>
                <w:szCs w:val="18"/>
                <w:lang w:eastAsia="en-US"/>
              </w:rPr>
              <w:t xml:space="preserve"> </w:t>
            </w:r>
          </w:p>
          <w:p w14:paraId="12D6E035" w14:textId="77777777" w:rsidR="00C50443" w:rsidRDefault="00C50443" w:rsidP="00C50443">
            <w:pPr>
              <w:pStyle w:val="TableBullet1"/>
              <w:spacing w:before="40" w:after="40" w:line="259" w:lineRule="auto"/>
              <w:rPr>
                <w:lang w:eastAsia="en-US"/>
              </w:rPr>
            </w:pPr>
            <w:r w:rsidRPr="007116E6">
              <w:rPr>
                <w:lang w:eastAsia="en-US"/>
              </w:rPr>
              <w:t xml:space="preserve">classify each of their services (excluding auction services) as being either a firm service or a lower tier service </w:t>
            </w:r>
            <w:r>
              <w:rPr>
                <w:lang w:eastAsia="en-US"/>
              </w:rPr>
              <w:t xml:space="preserve">using </w:t>
            </w:r>
            <w:r w:rsidRPr="007116E6">
              <w:rPr>
                <w:lang w:eastAsia="en-US"/>
              </w:rPr>
              <w:t>the definitions in the NGR</w:t>
            </w:r>
            <w:r>
              <w:rPr>
                <w:lang w:eastAsia="en-US"/>
              </w:rPr>
              <w:t>;</w:t>
            </w:r>
            <w:r w:rsidRPr="007116E6">
              <w:rPr>
                <w:lang w:eastAsia="en-US"/>
              </w:rPr>
              <w:t xml:space="preserve"> and </w:t>
            </w:r>
          </w:p>
          <w:p w14:paraId="5864082D" w14:textId="77777777" w:rsidR="00C50443" w:rsidRDefault="00C50443" w:rsidP="00C50443">
            <w:pPr>
              <w:pStyle w:val="TableBullet1"/>
              <w:spacing w:before="40" w:after="40" w:line="259" w:lineRule="auto"/>
              <w:rPr>
                <w:lang w:eastAsia="en-US"/>
              </w:rPr>
            </w:pPr>
            <w:r w:rsidRPr="007116E6">
              <w:rPr>
                <w:lang w:eastAsia="en-US"/>
              </w:rPr>
              <w:t>use the same classification for the purposes of determining auction quantity limits and complying with the auction service priority principles.</w:t>
            </w:r>
            <w:r w:rsidRPr="007116E6">
              <w:rPr>
                <w:rStyle w:val="FootnoteReference"/>
                <w:rFonts w:asciiTheme="majorHAnsi" w:hAnsiTheme="majorHAnsi" w:cstheme="majorHAnsi"/>
                <w:iCs/>
                <w:szCs w:val="18"/>
                <w:lang w:eastAsia="en-US"/>
              </w:rPr>
              <w:footnoteReference w:id="251"/>
            </w:r>
            <w:r w:rsidRPr="007116E6">
              <w:rPr>
                <w:lang w:eastAsia="en-US"/>
              </w:rPr>
              <w:t xml:space="preserve"> </w:t>
            </w:r>
          </w:p>
          <w:p w14:paraId="109A85A9" w14:textId="77777777" w:rsidR="00C50443" w:rsidRPr="007116E6" w:rsidRDefault="00C50443" w:rsidP="00C50443">
            <w:pPr>
              <w:spacing w:before="40" w:after="40" w:line="259" w:lineRule="auto"/>
              <w:rPr>
                <w:rFonts w:asciiTheme="majorHAnsi" w:hAnsiTheme="majorHAnsi" w:cstheme="majorHAnsi"/>
                <w:szCs w:val="18"/>
              </w:rPr>
            </w:pPr>
            <w:r w:rsidRPr="007116E6">
              <w:rPr>
                <w:rFonts w:asciiTheme="majorHAnsi" w:hAnsiTheme="majorHAnsi" w:cstheme="majorHAnsi"/>
                <w:iCs/>
                <w:szCs w:val="18"/>
                <w:lang w:eastAsia="en-US"/>
              </w:rPr>
              <w:t xml:space="preserve">Where there is some doubt about whether a service should be classified as a firm or lower tier service, </w:t>
            </w:r>
            <w:r w:rsidR="00A63967">
              <w:rPr>
                <w:rFonts w:asciiTheme="majorHAnsi" w:hAnsiTheme="majorHAnsi" w:cstheme="majorHAnsi"/>
                <w:iCs/>
                <w:szCs w:val="18"/>
                <w:lang w:eastAsia="en-US"/>
              </w:rPr>
              <w:t xml:space="preserve">facility operators </w:t>
            </w:r>
            <w:r w:rsidRPr="007116E6">
              <w:rPr>
                <w:rFonts w:asciiTheme="majorHAnsi" w:hAnsiTheme="majorHAnsi" w:cstheme="majorHAnsi"/>
                <w:iCs/>
                <w:szCs w:val="18"/>
                <w:lang w:eastAsia="en-US"/>
              </w:rPr>
              <w:t>must adopt a classification that is reasonable, having regard to the definitions of firm and lower tier services in the NGR</w:t>
            </w:r>
            <w:r w:rsidRPr="007116E6">
              <w:rPr>
                <w:rStyle w:val="FootnoteReference"/>
                <w:rFonts w:asciiTheme="majorHAnsi" w:hAnsiTheme="majorHAnsi" w:cstheme="majorHAnsi"/>
                <w:iCs/>
                <w:szCs w:val="18"/>
                <w:lang w:eastAsia="en-US"/>
              </w:rPr>
              <w:footnoteReference w:id="252"/>
            </w:r>
            <w:r w:rsidRPr="007116E6">
              <w:rPr>
                <w:rFonts w:asciiTheme="majorHAnsi" w:hAnsiTheme="majorHAnsi" w:cstheme="majorHAnsi"/>
                <w:iCs/>
                <w:szCs w:val="18"/>
                <w:lang w:eastAsia="en-US"/>
              </w:rPr>
              <w:t xml:space="preserve"> and reasonable commercial practice in the industry. If requested by the </w:t>
            </w:r>
            <w:r w:rsidRPr="007116E6">
              <w:rPr>
                <w:rFonts w:asciiTheme="majorHAnsi" w:hAnsiTheme="majorHAnsi" w:cstheme="majorHAnsi"/>
                <w:szCs w:val="18"/>
              </w:rPr>
              <w:t>AER, a facility operator must give the AER the information reasonably required to assess the classification of the service.</w:t>
            </w:r>
            <w:r w:rsidRPr="007116E6">
              <w:rPr>
                <w:rStyle w:val="FootnoteReference"/>
                <w:rFonts w:asciiTheme="majorHAnsi" w:hAnsiTheme="majorHAnsi" w:cstheme="majorHAnsi"/>
                <w:szCs w:val="18"/>
              </w:rPr>
              <w:footnoteReference w:id="253"/>
            </w:r>
            <w:r w:rsidRPr="007116E6">
              <w:rPr>
                <w:rFonts w:asciiTheme="majorHAnsi" w:hAnsiTheme="majorHAnsi" w:cstheme="majorHAnsi"/>
                <w:szCs w:val="18"/>
              </w:rPr>
              <w:t xml:space="preserve"> </w:t>
            </w:r>
          </w:p>
        </w:tc>
      </w:tr>
      <w:tr w:rsidR="00C50443" w:rsidRPr="007116E6" w14:paraId="5DCEFDB9" w14:textId="77777777" w:rsidTr="006E65D8">
        <w:trPr>
          <w:trHeight w:val="742"/>
        </w:trPr>
        <w:tc>
          <w:tcPr>
            <w:tcW w:w="284" w:type="dxa"/>
            <w:vMerge/>
            <w:shd w:val="clear" w:color="auto" w:fill="FFFFFF" w:themeFill="background1"/>
            <w:vAlign w:val="center"/>
          </w:tcPr>
          <w:p w14:paraId="75AAD494" w14:textId="77777777" w:rsidR="00C50443" w:rsidRPr="007116E6" w:rsidRDefault="00C50443" w:rsidP="00C50443">
            <w:pPr>
              <w:spacing w:line="247" w:lineRule="auto"/>
              <w:rPr>
                <w:rFonts w:asciiTheme="majorHAnsi" w:hAnsiTheme="majorHAnsi" w:cstheme="majorHAnsi"/>
                <w:b/>
                <w:szCs w:val="18"/>
              </w:rPr>
            </w:pPr>
          </w:p>
        </w:tc>
        <w:tc>
          <w:tcPr>
            <w:tcW w:w="1560" w:type="dxa"/>
            <w:shd w:val="clear" w:color="auto" w:fill="E1E2E7" w:themeFill="background2"/>
          </w:tcPr>
          <w:p w14:paraId="35AA1B57" w14:textId="77777777" w:rsidR="00C50443" w:rsidRPr="001C7A93" w:rsidRDefault="00C50443" w:rsidP="00C50443">
            <w:pPr>
              <w:pStyle w:val="BodyText"/>
              <w:spacing w:before="40" w:after="40" w:line="259" w:lineRule="auto"/>
              <w:rPr>
                <w:rFonts w:asciiTheme="majorHAnsi" w:hAnsiTheme="majorHAnsi" w:cstheme="majorHAnsi"/>
                <w:b/>
                <w:szCs w:val="18"/>
              </w:rPr>
            </w:pPr>
            <w:r w:rsidRPr="001C7A93">
              <w:rPr>
                <w:rFonts w:asciiTheme="majorHAnsi" w:hAnsiTheme="majorHAnsi" w:cstheme="majorHAnsi"/>
                <w:b/>
                <w:szCs w:val="18"/>
              </w:rPr>
              <w:t>Priority principles</w:t>
            </w:r>
          </w:p>
        </w:tc>
        <w:tc>
          <w:tcPr>
            <w:tcW w:w="12615" w:type="dxa"/>
            <w:shd w:val="clear" w:color="auto" w:fill="E1E2E7" w:themeFill="background2"/>
          </w:tcPr>
          <w:p w14:paraId="59E7AFE5" w14:textId="77777777" w:rsidR="00C50443" w:rsidRPr="001C7A93" w:rsidRDefault="00C50443" w:rsidP="00C50443">
            <w:pPr>
              <w:pStyle w:val="TableBullet1"/>
              <w:numPr>
                <w:ilvl w:val="0"/>
                <w:numId w:val="0"/>
              </w:numPr>
              <w:spacing w:before="40" w:after="40" w:line="259" w:lineRule="auto"/>
              <w:ind w:left="312" w:hanging="227"/>
              <w:rPr>
                <w:rFonts w:asciiTheme="majorHAnsi" w:hAnsiTheme="majorHAnsi" w:cstheme="majorHAnsi"/>
                <w:szCs w:val="18"/>
              </w:rPr>
            </w:pPr>
            <w:r w:rsidRPr="001C7A93">
              <w:rPr>
                <w:rFonts w:asciiTheme="majorHAnsi" w:hAnsiTheme="majorHAnsi" w:cstheme="majorHAnsi"/>
                <w:szCs w:val="18"/>
              </w:rPr>
              <w:t>Auction services are subject to the following priority principles:</w:t>
            </w:r>
            <w:r w:rsidRPr="001C7A93">
              <w:rPr>
                <w:rStyle w:val="FootnoteReference"/>
                <w:rFonts w:asciiTheme="majorHAnsi" w:hAnsiTheme="majorHAnsi" w:cstheme="majorHAnsi"/>
                <w:szCs w:val="18"/>
              </w:rPr>
              <w:footnoteReference w:id="254"/>
            </w:r>
          </w:p>
          <w:p w14:paraId="2853D57C" w14:textId="77777777" w:rsidR="00C50443" w:rsidRPr="001C7A93" w:rsidRDefault="00C50443" w:rsidP="00C50443">
            <w:pPr>
              <w:pStyle w:val="TableBullet1"/>
              <w:numPr>
                <w:ilvl w:val="0"/>
                <w:numId w:val="27"/>
              </w:numPr>
              <w:spacing w:before="40" w:after="40" w:line="259" w:lineRule="auto"/>
              <w:rPr>
                <w:rFonts w:asciiTheme="majorHAnsi" w:hAnsiTheme="majorHAnsi" w:cstheme="majorHAnsi"/>
                <w:szCs w:val="18"/>
              </w:rPr>
            </w:pPr>
            <w:r w:rsidRPr="001C7A93">
              <w:rPr>
                <w:rFonts w:asciiTheme="majorHAnsi" w:hAnsiTheme="majorHAnsi" w:cstheme="majorHAnsi"/>
                <w:szCs w:val="18"/>
              </w:rPr>
              <w:t xml:space="preserve">For </w:t>
            </w:r>
            <w:r w:rsidRPr="001C7A93">
              <w:rPr>
                <w:rFonts w:asciiTheme="majorHAnsi" w:hAnsiTheme="majorHAnsi" w:cstheme="majorHAnsi"/>
                <w:b/>
                <w:szCs w:val="18"/>
              </w:rPr>
              <w:t>contracted capacity</w:t>
            </w:r>
            <w:r w:rsidRPr="001C7A93">
              <w:rPr>
                <w:rFonts w:asciiTheme="majorHAnsi" w:hAnsiTheme="majorHAnsi" w:cstheme="majorHAnsi"/>
                <w:szCs w:val="18"/>
              </w:rPr>
              <w:t xml:space="preserve">, auction services rank below firm transportation services and </w:t>
            </w:r>
            <w:r w:rsidR="00A63967">
              <w:rPr>
                <w:rFonts w:asciiTheme="majorHAnsi" w:hAnsiTheme="majorHAnsi" w:cstheme="majorHAnsi"/>
                <w:szCs w:val="18"/>
              </w:rPr>
              <w:t xml:space="preserve">the </w:t>
            </w:r>
            <w:r w:rsidRPr="001C7A93">
              <w:rPr>
                <w:rFonts w:asciiTheme="majorHAnsi" w:hAnsiTheme="majorHAnsi" w:cstheme="majorHAnsi"/>
                <w:szCs w:val="18"/>
              </w:rPr>
              <w:t>renomination rights</w:t>
            </w:r>
            <w:r w:rsidRPr="001C7A93">
              <w:rPr>
                <w:rStyle w:val="FootnoteReference"/>
                <w:rFonts w:asciiTheme="majorHAnsi" w:hAnsiTheme="majorHAnsi" w:cstheme="majorHAnsi"/>
                <w:szCs w:val="18"/>
              </w:rPr>
              <w:footnoteReference w:id="255"/>
            </w:r>
            <w:r w:rsidRPr="001C7A93">
              <w:rPr>
                <w:rFonts w:asciiTheme="majorHAnsi" w:hAnsiTheme="majorHAnsi" w:cstheme="majorHAnsi"/>
                <w:szCs w:val="18"/>
              </w:rPr>
              <w:t xml:space="preserve"> held by firm capacity holders, but above all lower tier services from a scheduling, curtailment and renomination perspective. </w:t>
            </w:r>
          </w:p>
          <w:p w14:paraId="3331C21A" w14:textId="77777777" w:rsidR="00C50443" w:rsidRPr="001C7A93" w:rsidRDefault="00C50443" w:rsidP="00C50443">
            <w:pPr>
              <w:pStyle w:val="TableBullet1"/>
              <w:numPr>
                <w:ilvl w:val="0"/>
                <w:numId w:val="27"/>
              </w:numPr>
              <w:spacing w:before="40" w:after="40" w:line="259" w:lineRule="auto"/>
              <w:rPr>
                <w:rFonts w:asciiTheme="majorHAnsi" w:hAnsiTheme="majorHAnsi" w:cstheme="majorHAnsi"/>
                <w:szCs w:val="18"/>
              </w:rPr>
            </w:pPr>
            <w:r w:rsidRPr="001C7A93">
              <w:rPr>
                <w:rFonts w:asciiTheme="majorHAnsi" w:hAnsiTheme="majorHAnsi" w:cstheme="majorHAnsi"/>
                <w:szCs w:val="18"/>
              </w:rPr>
              <w:t xml:space="preserve">If there is a more </w:t>
            </w:r>
            <w:r w:rsidRPr="001C7A93">
              <w:rPr>
                <w:rFonts w:asciiTheme="majorHAnsi" w:hAnsiTheme="majorHAnsi" w:cstheme="majorHAnsi"/>
                <w:b/>
                <w:szCs w:val="18"/>
              </w:rPr>
              <w:t>general shortfall</w:t>
            </w:r>
            <w:r w:rsidRPr="001C7A93">
              <w:rPr>
                <w:rFonts w:asciiTheme="majorHAnsi" w:hAnsiTheme="majorHAnsi" w:cstheme="majorHAnsi"/>
                <w:szCs w:val="18"/>
              </w:rPr>
              <w:t xml:space="preserve"> in the facility’s capacity, which affects both the contracted and uncontracted capacity on a day (including in the case of backhaul, by reason of a reduction in net firm forward haul flows), the auction service will be curtailed after lower tier services.</w:t>
            </w:r>
          </w:p>
          <w:p w14:paraId="16F020EF" w14:textId="77777777" w:rsidR="00C50443" w:rsidRPr="001C7A93" w:rsidRDefault="00C50443" w:rsidP="00C50443">
            <w:pPr>
              <w:pStyle w:val="TableBodyText"/>
              <w:spacing w:before="40" w:after="40" w:line="259" w:lineRule="auto"/>
              <w:rPr>
                <w:rFonts w:asciiTheme="majorHAnsi" w:hAnsiTheme="majorHAnsi" w:cstheme="majorHAnsi"/>
                <w:color w:val="000000"/>
                <w:szCs w:val="18"/>
              </w:rPr>
            </w:pPr>
            <w:r w:rsidRPr="001C7A93">
              <w:rPr>
                <w:rFonts w:asciiTheme="majorHAnsi" w:hAnsiTheme="majorHAnsi" w:cstheme="majorHAnsi"/>
                <w:color w:val="000000"/>
                <w:szCs w:val="18"/>
              </w:rPr>
              <w:t xml:space="preserve">After the auction, </w:t>
            </w:r>
            <w:r w:rsidR="00DA16AB">
              <w:rPr>
                <w:rFonts w:asciiTheme="majorHAnsi" w:hAnsiTheme="majorHAnsi" w:cstheme="majorHAnsi"/>
                <w:color w:val="000000"/>
                <w:szCs w:val="18"/>
              </w:rPr>
              <w:t xml:space="preserve">transportation </w:t>
            </w:r>
            <w:r w:rsidRPr="001C7A93">
              <w:rPr>
                <w:rFonts w:asciiTheme="majorHAnsi" w:hAnsiTheme="majorHAnsi" w:cstheme="majorHAnsi"/>
                <w:color w:val="000000"/>
                <w:szCs w:val="18"/>
              </w:rPr>
              <w:t xml:space="preserve">service providers can sell any unused auction capacity on an interruptible basis, but these services will rank below the auction product from a curtailment and renominations right perspective. </w:t>
            </w:r>
          </w:p>
          <w:p w14:paraId="152C413A" w14:textId="77777777" w:rsidR="001C7A93" w:rsidRPr="001C7A93" w:rsidRDefault="001C7A93" w:rsidP="001C7A93">
            <w:pPr>
              <w:pStyle w:val="TableBullet1"/>
              <w:keepNext/>
              <w:numPr>
                <w:ilvl w:val="0"/>
                <w:numId w:val="0"/>
              </w:numPr>
              <w:spacing w:line="259" w:lineRule="auto"/>
              <w:ind w:left="85"/>
              <w:rPr>
                <w:rFonts w:asciiTheme="majorHAnsi" w:hAnsiTheme="majorHAnsi" w:cstheme="majorHAnsi"/>
                <w:szCs w:val="18"/>
                <w:lang w:val="en-US"/>
              </w:rPr>
            </w:pPr>
            <w:r w:rsidRPr="001C7A93">
              <w:rPr>
                <w:rFonts w:asciiTheme="majorHAnsi" w:hAnsiTheme="majorHAnsi" w:cstheme="majorHAnsi"/>
                <w:szCs w:val="18"/>
              </w:rPr>
              <w:t>Auction facility operators must ensure the terms and conditions of use of an auction service and the scheduling process give effect to these priority principles</w:t>
            </w:r>
            <w:r w:rsidRPr="001C7A93">
              <w:rPr>
                <w:rStyle w:val="FootnoteReference"/>
                <w:rFonts w:asciiTheme="majorHAnsi" w:hAnsiTheme="majorHAnsi" w:cstheme="majorHAnsi"/>
                <w:szCs w:val="18"/>
              </w:rPr>
              <w:footnoteReference w:id="256"/>
            </w:r>
            <w:r w:rsidRPr="001C7A93">
              <w:rPr>
                <w:rFonts w:asciiTheme="majorHAnsi" w:hAnsiTheme="majorHAnsi" w:cstheme="majorHAnsi"/>
                <w:szCs w:val="18"/>
              </w:rPr>
              <w:t xml:space="preserve"> and are also required comply with the principles to the extent it is operationally and technically feasible to do so.</w:t>
            </w:r>
            <w:r w:rsidRPr="001C7A93">
              <w:rPr>
                <w:rStyle w:val="FootnoteReference"/>
                <w:rFonts w:asciiTheme="majorHAnsi" w:hAnsiTheme="majorHAnsi" w:cstheme="majorHAnsi"/>
                <w:szCs w:val="18"/>
              </w:rPr>
              <w:footnoteReference w:id="257"/>
            </w:r>
            <w:r w:rsidRPr="001C7A93">
              <w:rPr>
                <w:rFonts w:asciiTheme="majorHAnsi" w:hAnsiTheme="majorHAnsi" w:cstheme="majorHAnsi"/>
                <w:szCs w:val="18"/>
              </w:rPr>
              <w:t xml:space="preserve"> Auction facility operators are also prohibited from scheduling lower tier services earlier than the auction service.</w:t>
            </w:r>
            <w:r w:rsidRPr="001C7A93">
              <w:rPr>
                <w:rStyle w:val="FootnoteReference"/>
                <w:rFonts w:asciiTheme="majorHAnsi" w:hAnsiTheme="majorHAnsi" w:cstheme="majorHAnsi"/>
                <w:szCs w:val="18"/>
              </w:rPr>
              <w:footnoteReference w:id="258"/>
            </w:r>
            <w:r w:rsidRPr="001C7A93">
              <w:rPr>
                <w:rFonts w:asciiTheme="majorHAnsi" w:hAnsiTheme="majorHAnsi" w:cstheme="majorHAnsi"/>
                <w:szCs w:val="18"/>
              </w:rPr>
              <w:t xml:space="preserve"> </w:t>
            </w:r>
            <w:r w:rsidRPr="001C7A93">
              <w:rPr>
                <w:rFonts w:asciiTheme="majorHAnsi" w:hAnsiTheme="majorHAnsi" w:cstheme="majorHAnsi"/>
                <w:szCs w:val="18"/>
                <w:lang w:val="en-US"/>
              </w:rPr>
              <w:t>Auction facility operators will have a transitional immunity from civil monetary liability that may otherwise arise as a result of complying with these requirements or from releasing contracted capacity into the auction.</w:t>
            </w:r>
            <w:r w:rsidRPr="001C7A93">
              <w:rPr>
                <w:rStyle w:val="FootnoteReference"/>
                <w:rFonts w:asciiTheme="majorHAnsi" w:hAnsiTheme="majorHAnsi" w:cstheme="majorHAnsi"/>
                <w:szCs w:val="18"/>
                <w:lang w:val="en-US"/>
              </w:rPr>
              <w:footnoteReference w:id="259"/>
            </w:r>
          </w:p>
        </w:tc>
      </w:tr>
      <w:tr w:rsidR="00C50443" w:rsidRPr="007116E6" w14:paraId="67EBDF62" w14:textId="77777777" w:rsidTr="006E65D8">
        <w:trPr>
          <w:cnfStyle w:val="000000010000" w:firstRow="0" w:lastRow="0" w:firstColumn="0" w:lastColumn="0" w:oddVBand="0" w:evenVBand="0" w:oddHBand="0" w:evenHBand="1" w:firstRowFirstColumn="0" w:firstRowLastColumn="0" w:lastRowFirstColumn="0" w:lastRowLastColumn="0"/>
          <w:trHeight w:val="741"/>
        </w:trPr>
        <w:tc>
          <w:tcPr>
            <w:tcW w:w="284" w:type="dxa"/>
            <w:vMerge/>
            <w:shd w:val="clear" w:color="auto" w:fill="FFFFFF" w:themeFill="background1"/>
            <w:vAlign w:val="center"/>
          </w:tcPr>
          <w:p w14:paraId="68E89020" w14:textId="77777777" w:rsidR="00C50443" w:rsidRPr="007116E6" w:rsidRDefault="00C50443" w:rsidP="00C50443">
            <w:pPr>
              <w:spacing w:line="247" w:lineRule="auto"/>
              <w:rPr>
                <w:rFonts w:asciiTheme="majorHAnsi" w:hAnsiTheme="majorHAnsi" w:cstheme="majorHAnsi"/>
                <w:b/>
                <w:szCs w:val="18"/>
              </w:rPr>
            </w:pPr>
          </w:p>
        </w:tc>
        <w:tc>
          <w:tcPr>
            <w:tcW w:w="1560" w:type="dxa"/>
            <w:shd w:val="clear" w:color="auto" w:fill="FFFFFF" w:themeFill="background1"/>
          </w:tcPr>
          <w:p w14:paraId="3CEE075F" w14:textId="77777777" w:rsidR="00C50443" w:rsidRPr="007116E6" w:rsidRDefault="00C50443" w:rsidP="00C50443">
            <w:pPr>
              <w:pStyle w:val="BodyText"/>
              <w:spacing w:before="60" w:after="60" w:line="247" w:lineRule="auto"/>
              <w:rPr>
                <w:rFonts w:asciiTheme="majorHAnsi" w:hAnsiTheme="majorHAnsi" w:cstheme="majorHAnsi"/>
                <w:b/>
                <w:szCs w:val="18"/>
              </w:rPr>
            </w:pPr>
            <w:r>
              <w:rPr>
                <w:rFonts w:asciiTheme="majorHAnsi" w:hAnsiTheme="majorHAnsi" w:cstheme="majorHAnsi"/>
                <w:b/>
                <w:szCs w:val="18"/>
              </w:rPr>
              <w:t>Effect of renominations on the auction service</w:t>
            </w:r>
          </w:p>
        </w:tc>
        <w:tc>
          <w:tcPr>
            <w:tcW w:w="12615" w:type="dxa"/>
            <w:shd w:val="clear" w:color="auto" w:fill="FFFFFF" w:themeFill="background1"/>
          </w:tcPr>
          <w:p w14:paraId="129DA8FF" w14:textId="77777777" w:rsidR="00C50443" w:rsidRPr="007116E6" w:rsidRDefault="00C50443" w:rsidP="00C50443">
            <w:pPr>
              <w:pStyle w:val="TableBullet1"/>
              <w:spacing w:before="0"/>
            </w:pPr>
            <w:r w:rsidRPr="007116E6">
              <w:t xml:space="preserve">If a </w:t>
            </w:r>
            <w:r w:rsidRPr="007C7119">
              <w:rPr>
                <w:b/>
              </w:rPr>
              <w:t>firm capacity holder</w:t>
            </w:r>
            <w:r w:rsidRPr="007116E6">
              <w:t xml:space="preserve"> renominates during the gas day, the renomination will be met: first from any auction capacity that was not allocated in the auction; second by curtailing lower tier services that are using the contracted capacity; and third by curtailing the auction service</w:t>
            </w:r>
            <w:r w:rsidR="00A63967" w:rsidRPr="00C50443">
              <w:rPr>
                <w:rStyle w:val="FootnoteReference"/>
                <w:rFonts w:asciiTheme="majorHAnsi" w:hAnsiTheme="majorHAnsi" w:cstheme="majorHAnsi"/>
                <w:szCs w:val="18"/>
              </w:rPr>
              <w:footnoteReference w:id="260"/>
            </w:r>
            <w:r w:rsidRPr="007116E6">
              <w:t>.</w:t>
            </w:r>
          </w:p>
          <w:p w14:paraId="4568FE2D" w14:textId="77777777" w:rsidR="00C50443" w:rsidRPr="007116E6" w:rsidRDefault="00C50443" w:rsidP="00C50443">
            <w:pPr>
              <w:pStyle w:val="TableBullet1"/>
              <w:spacing w:before="0"/>
              <w:rPr>
                <w:b/>
              </w:rPr>
            </w:pPr>
            <w:r w:rsidRPr="007116E6">
              <w:t xml:space="preserve">If an </w:t>
            </w:r>
            <w:r w:rsidRPr="007C7119">
              <w:rPr>
                <w:b/>
              </w:rPr>
              <w:t>auction capacity holder</w:t>
            </w:r>
            <w:r w:rsidRPr="007116E6">
              <w:t xml:space="preserve"> renominates during the gas day, the renomination must be met: first from any auction capacity that was not allocated in the auction; and second by curtailing lower tier services.</w:t>
            </w:r>
            <w:r w:rsidR="00A63967">
              <w:rPr>
                <w:rStyle w:val="FootnoteReference"/>
              </w:rPr>
              <w:footnoteReference w:id="261"/>
            </w:r>
          </w:p>
        </w:tc>
      </w:tr>
      <w:tr w:rsidR="00C50443" w:rsidRPr="007116E6" w14:paraId="61585D60" w14:textId="77777777" w:rsidTr="006E65D8">
        <w:trPr>
          <w:trHeight w:val="314"/>
        </w:trPr>
        <w:tc>
          <w:tcPr>
            <w:tcW w:w="284" w:type="dxa"/>
            <w:vMerge/>
            <w:shd w:val="clear" w:color="auto" w:fill="FFFFFF" w:themeFill="background1"/>
            <w:vAlign w:val="center"/>
            <w:hideMark/>
          </w:tcPr>
          <w:p w14:paraId="5EE5A70A" w14:textId="77777777" w:rsidR="00C50443" w:rsidRPr="007116E6" w:rsidRDefault="00C50443" w:rsidP="00C50443">
            <w:pPr>
              <w:spacing w:before="40" w:after="20" w:line="247" w:lineRule="auto"/>
              <w:rPr>
                <w:rFonts w:asciiTheme="majorHAnsi" w:hAnsiTheme="majorHAnsi" w:cstheme="majorHAnsi"/>
                <w:b/>
                <w:szCs w:val="18"/>
              </w:rPr>
            </w:pPr>
          </w:p>
        </w:tc>
        <w:tc>
          <w:tcPr>
            <w:tcW w:w="1560" w:type="dxa"/>
            <w:vMerge w:val="restart"/>
            <w:shd w:val="clear" w:color="auto" w:fill="E1E2E7" w:themeFill="background2"/>
            <w:hideMark/>
          </w:tcPr>
          <w:p w14:paraId="2B460ED0" w14:textId="77777777" w:rsidR="00C50443" w:rsidRPr="007116E6" w:rsidRDefault="00DA0876" w:rsidP="00C50443">
            <w:pPr>
              <w:pStyle w:val="BodyText"/>
              <w:spacing w:before="40" w:after="40" w:line="259" w:lineRule="auto"/>
              <w:rPr>
                <w:rFonts w:asciiTheme="majorHAnsi" w:hAnsiTheme="majorHAnsi" w:cstheme="majorHAnsi"/>
                <w:b/>
                <w:szCs w:val="18"/>
              </w:rPr>
            </w:pPr>
            <w:r>
              <w:rPr>
                <w:rFonts w:asciiTheme="majorHAnsi" w:hAnsiTheme="majorHAnsi" w:cstheme="majorHAnsi"/>
                <w:b/>
                <w:szCs w:val="18"/>
              </w:rPr>
              <w:t>Transitional firm</w:t>
            </w:r>
            <w:r w:rsidR="00C50443" w:rsidRPr="007116E6">
              <w:rPr>
                <w:rFonts w:asciiTheme="majorHAnsi" w:hAnsiTheme="majorHAnsi" w:cstheme="majorHAnsi"/>
                <w:b/>
                <w:szCs w:val="18"/>
              </w:rPr>
              <w:t xml:space="preserve"> rights</w:t>
            </w:r>
            <w:r w:rsidR="00C50443">
              <w:rPr>
                <w:rFonts w:asciiTheme="majorHAnsi" w:hAnsiTheme="majorHAnsi" w:cstheme="majorHAnsi"/>
                <w:b/>
                <w:szCs w:val="18"/>
              </w:rPr>
              <w:t xml:space="preserve"> </w:t>
            </w:r>
          </w:p>
        </w:tc>
        <w:tc>
          <w:tcPr>
            <w:tcW w:w="12615" w:type="dxa"/>
            <w:shd w:val="clear" w:color="auto" w:fill="E1E2E7" w:themeFill="background2"/>
            <w:hideMark/>
          </w:tcPr>
          <w:p w14:paraId="39B315C8" w14:textId="77777777" w:rsidR="00C50443" w:rsidRPr="007116E6" w:rsidRDefault="00C50443" w:rsidP="00C50443">
            <w:pPr>
              <w:pStyle w:val="TableBodyText"/>
              <w:spacing w:before="40" w:after="40" w:line="259" w:lineRule="auto"/>
              <w:rPr>
                <w:rFonts w:asciiTheme="majorHAnsi" w:hAnsiTheme="majorHAnsi" w:cstheme="majorHAnsi"/>
                <w:szCs w:val="18"/>
              </w:rPr>
            </w:pPr>
            <w:r>
              <w:rPr>
                <w:rFonts w:asciiTheme="majorHAnsi" w:hAnsiTheme="majorHAnsi" w:cstheme="majorHAnsi"/>
                <w:b/>
                <w:szCs w:val="18"/>
              </w:rPr>
              <w:t>T</w:t>
            </w:r>
            <w:r w:rsidRPr="007116E6">
              <w:rPr>
                <w:rFonts w:asciiTheme="majorHAnsi" w:hAnsiTheme="majorHAnsi" w:cstheme="majorHAnsi"/>
                <w:b/>
                <w:szCs w:val="18"/>
              </w:rPr>
              <w:t xml:space="preserve">ransitional firm services: </w:t>
            </w:r>
            <w:r w:rsidRPr="007116E6">
              <w:rPr>
                <w:rFonts w:asciiTheme="majorHAnsi" w:hAnsiTheme="majorHAnsi" w:cstheme="majorHAnsi"/>
                <w:szCs w:val="18"/>
              </w:rPr>
              <w:t xml:space="preserve">Transitional arrangements have been implemented to enable transportation services that meet the following criteria </w:t>
            </w:r>
            <w:r w:rsidR="009E1086">
              <w:rPr>
                <w:rFonts w:asciiTheme="majorHAnsi" w:hAnsiTheme="majorHAnsi" w:cstheme="majorHAnsi"/>
                <w:szCs w:val="18"/>
              </w:rPr>
              <w:t xml:space="preserve">(‘transitional firm service criteria’) </w:t>
            </w:r>
            <w:r w:rsidRPr="007116E6">
              <w:rPr>
                <w:rFonts w:asciiTheme="majorHAnsi" w:hAnsiTheme="majorHAnsi" w:cstheme="majorHAnsi"/>
                <w:szCs w:val="18"/>
              </w:rPr>
              <w:t>to be treated as ‘transitional firm’ services for the purposes of the auction priority principles and therefore rank ahead of the auction product both in relation to nominations and renominations for up to two years following the commencement of the auction:</w:t>
            </w:r>
            <w:r w:rsidRPr="007116E6">
              <w:rPr>
                <w:rStyle w:val="FootnoteReference"/>
                <w:rFonts w:asciiTheme="majorHAnsi" w:hAnsiTheme="majorHAnsi" w:cstheme="majorHAnsi"/>
                <w:szCs w:val="18"/>
              </w:rPr>
              <w:footnoteReference w:id="262"/>
            </w:r>
          </w:p>
          <w:p w14:paraId="265779CB" w14:textId="77777777" w:rsidR="00C50443" w:rsidRPr="007116E6" w:rsidRDefault="00C50443" w:rsidP="00C50443">
            <w:pPr>
              <w:pStyle w:val="TableBullet1"/>
              <w:spacing w:before="40" w:after="40" w:line="259" w:lineRule="auto"/>
              <w:rPr>
                <w:rFonts w:asciiTheme="majorHAnsi" w:hAnsiTheme="majorHAnsi" w:cstheme="majorHAnsi"/>
                <w:szCs w:val="18"/>
              </w:rPr>
            </w:pPr>
            <w:r w:rsidRPr="007116E6">
              <w:rPr>
                <w:rFonts w:asciiTheme="majorHAnsi" w:hAnsiTheme="majorHAnsi" w:cstheme="majorHAnsi"/>
                <w:szCs w:val="18"/>
              </w:rPr>
              <w:t>the transportation service is currently treated as firm</w:t>
            </w:r>
            <w:r w:rsidR="00A63967">
              <w:rPr>
                <w:rStyle w:val="FootnoteReference"/>
                <w:rFonts w:asciiTheme="majorHAnsi" w:hAnsiTheme="majorHAnsi" w:cstheme="majorHAnsi"/>
                <w:szCs w:val="18"/>
              </w:rPr>
              <w:footnoteReference w:id="263"/>
            </w:r>
            <w:r w:rsidRPr="007116E6">
              <w:rPr>
                <w:rFonts w:asciiTheme="majorHAnsi" w:hAnsiTheme="majorHAnsi" w:cstheme="majorHAnsi"/>
                <w:szCs w:val="18"/>
              </w:rPr>
              <w:t xml:space="preserve"> once scheduled (e.g. some as available and authorised overrun services); </w:t>
            </w:r>
          </w:p>
          <w:p w14:paraId="04E815F3" w14:textId="77777777" w:rsidR="00C50443" w:rsidRPr="007116E6" w:rsidRDefault="00C50443" w:rsidP="00C50443">
            <w:pPr>
              <w:pStyle w:val="TableBullet1"/>
              <w:spacing w:before="40" w:after="40" w:line="259" w:lineRule="auto"/>
              <w:rPr>
                <w:rFonts w:asciiTheme="majorHAnsi" w:hAnsiTheme="majorHAnsi" w:cstheme="majorHAnsi"/>
                <w:szCs w:val="18"/>
              </w:rPr>
            </w:pPr>
            <w:r w:rsidRPr="007116E6">
              <w:rPr>
                <w:rFonts w:asciiTheme="majorHAnsi" w:hAnsiTheme="majorHAnsi" w:cstheme="majorHAnsi"/>
                <w:szCs w:val="18"/>
              </w:rPr>
              <w:t>the transportation service is used for the supply of gas for consumption by a gas-fired generator that is a market generating unit;</w:t>
            </w:r>
            <w:r w:rsidR="00A63967">
              <w:rPr>
                <w:rStyle w:val="FootnoteReference"/>
                <w:rFonts w:asciiTheme="majorHAnsi" w:hAnsiTheme="majorHAnsi" w:cstheme="majorHAnsi"/>
                <w:szCs w:val="18"/>
              </w:rPr>
              <w:footnoteReference w:id="264"/>
            </w:r>
          </w:p>
          <w:p w14:paraId="569EBD67" w14:textId="77777777" w:rsidR="00C50443" w:rsidRPr="007116E6" w:rsidRDefault="00C50443" w:rsidP="00C50443">
            <w:pPr>
              <w:pStyle w:val="TableBullet1"/>
              <w:spacing w:before="40" w:after="40" w:line="259" w:lineRule="auto"/>
              <w:rPr>
                <w:rFonts w:asciiTheme="majorHAnsi" w:hAnsiTheme="majorHAnsi" w:cstheme="majorHAnsi"/>
                <w:szCs w:val="18"/>
              </w:rPr>
            </w:pPr>
            <w:r w:rsidRPr="007116E6">
              <w:rPr>
                <w:rFonts w:asciiTheme="majorHAnsi" w:hAnsiTheme="majorHAnsi" w:cstheme="majorHAnsi"/>
                <w:szCs w:val="18"/>
              </w:rPr>
              <w:t xml:space="preserve">at least one of the service points is either a point at which gas is supplied for consumption by a market generating unit, or is on another transportation facility that is used to receive gas for onward transportation to a market generating unit; and </w:t>
            </w:r>
          </w:p>
          <w:p w14:paraId="22D5061D" w14:textId="77777777" w:rsidR="00C50443" w:rsidRPr="007C7119" w:rsidRDefault="00C50443" w:rsidP="00C50443">
            <w:pPr>
              <w:pStyle w:val="TableBullet1"/>
              <w:spacing w:before="40" w:after="40" w:line="259" w:lineRule="auto"/>
              <w:rPr>
                <w:rFonts w:asciiTheme="majorHAnsi" w:hAnsiTheme="majorHAnsi" w:cstheme="majorHAnsi"/>
                <w:szCs w:val="18"/>
              </w:rPr>
            </w:pPr>
            <w:r w:rsidRPr="007116E6">
              <w:rPr>
                <w:rFonts w:asciiTheme="majorHAnsi" w:hAnsiTheme="majorHAnsi" w:cstheme="majorHAnsi"/>
                <w:szCs w:val="18"/>
              </w:rPr>
              <w:t>the terms and conditions for use of the transportation service are set out in a primary facility agreement made on or before 19 March 2018 and are the same, or substantially the same, as the terms and conditions in force on that date.</w:t>
            </w:r>
          </w:p>
        </w:tc>
      </w:tr>
      <w:tr w:rsidR="00C50443" w:rsidRPr="007116E6" w14:paraId="7439399F" w14:textId="77777777" w:rsidTr="006E65D8">
        <w:trPr>
          <w:cnfStyle w:val="000000010000" w:firstRow="0" w:lastRow="0" w:firstColumn="0" w:lastColumn="0" w:oddVBand="0" w:evenVBand="0" w:oddHBand="0" w:evenHBand="1" w:firstRowFirstColumn="0" w:firstRowLastColumn="0" w:lastRowFirstColumn="0" w:lastRowLastColumn="0"/>
          <w:trHeight w:val="739"/>
        </w:trPr>
        <w:tc>
          <w:tcPr>
            <w:tcW w:w="284" w:type="dxa"/>
            <w:vMerge/>
            <w:shd w:val="clear" w:color="auto" w:fill="FFFFFF" w:themeFill="background1"/>
            <w:vAlign w:val="center"/>
          </w:tcPr>
          <w:p w14:paraId="160319B9" w14:textId="77777777" w:rsidR="00C50443" w:rsidRPr="007116E6" w:rsidRDefault="00C50443" w:rsidP="00C50443">
            <w:pPr>
              <w:spacing w:before="40" w:after="20" w:line="247" w:lineRule="auto"/>
              <w:rPr>
                <w:rFonts w:asciiTheme="majorHAnsi" w:hAnsiTheme="majorHAnsi" w:cstheme="majorHAnsi"/>
                <w:b/>
                <w:szCs w:val="18"/>
              </w:rPr>
            </w:pPr>
          </w:p>
        </w:tc>
        <w:tc>
          <w:tcPr>
            <w:tcW w:w="1560" w:type="dxa"/>
            <w:vMerge/>
          </w:tcPr>
          <w:p w14:paraId="0FFE8CA0" w14:textId="77777777" w:rsidR="00C50443" w:rsidRPr="007116E6" w:rsidRDefault="00C50443" w:rsidP="00C50443">
            <w:pPr>
              <w:pStyle w:val="BodyText"/>
              <w:spacing w:before="60" w:after="60" w:line="259" w:lineRule="auto"/>
              <w:rPr>
                <w:rFonts w:asciiTheme="majorHAnsi" w:hAnsiTheme="majorHAnsi" w:cstheme="majorHAnsi"/>
                <w:b/>
                <w:szCs w:val="18"/>
              </w:rPr>
            </w:pPr>
          </w:p>
        </w:tc>
        <w:tc>
          <w:tcPr>
            <w:tcW w:w="12615" w:type="dxa"/>
          </w:tcPr>
          <w:p w14:paraId="3365955E" w14:textId="77777777" w:rsidR="00C50443" w:rsidRPr="007116E6" w:rsidRDefault="00C50443" w:rsidP="00C50443">
            <w:pPr>
              <w:pStyle w:val="TableBodyText"/>
              <w:spacing w:line="259" w:lineRule="auto"/>
              <w:rPr>
                <w:rFonts w:asciiTheme="majorHAnsi" w:hAnsiTheme="majorHAnsi" w:cstheme="majorHAnsi"/>
                <w:szCs w:val="18"/>
              </w:rPr>
            </w:pPr>
            <w:r w:rsidRPr="007116E6">
              <w:rPr>
                <w:rFonts w:asciiTheme="majorHAnsi" w:hAnsiTheme="majorHAnsi" w:cstheme="majorHAnsi"/>
                <w:b/>
                <w:szCs w:val="18"/>
              </w:rPr>
              <w:t>Classification of transitional firm services:</w:t>
            </w:r>
            <w:r w:rsidRPr="007116E6">
              <w:rPr>
                <w:rStyle w:val="FootnoteReference"/>
                <w:rFonts w:asciiTheme="majorHAnsi" w:hAnsiTheme="majorHAnsi" w:cstheme="majorHAnsi"/>
                <w:szCs w:val="18"/>
              </w:rPr>
              <w:t xml:space="preserve"> </w:t>
            </w:r>
            <w:r w:rsidRPr="007116E6">
              <w:rPr>
                <w:rStyle w:val="FootnoteReference"/>
                <w:rFonts w:asciiTheme="majorHAnsi" w:hAnsiTheme="majorHAnsi" w:cstheme="majorHAnsi"/>
                <w:szCs w:val="18"/>
              </w:rPr>
              <w:footnoteReference w:id="265"/>
            </w:r>
            <w:r w:rsidRPr="007116E6">
              <w:rPr>
                <w:rFonts w:asciiTheme="majorHAnsi" w:hAnsiTheme="majorHAnsi" w:cstheme="majorHAnsi"/>
                <w:szCs w:val="18"/>
              </w:rPr>
              <w:t xml:space="preserve"> Auction facility operators are responsible for classifying services as transitional firm services in accordance with criteria specified in the NGR and must notify the AER if they intend to do so no later than 30 business days before the classification takes effect.</w:t>
            </w:r>
            <w:r w:rsidRPr="007116E6">
              <w:rPr>
                <w:rStyle w:val="FootnoteReference"/>
                <w:rFonts w:asciiTheme="majorHAnsi" w:hAnsiTheme="majorHAnsi" w:cstheme="majorHAnsi"/>
                <w:szCs w:val="18"/>
              </w:rPr>
              <w:footnoteReference w:id="266"/>
            </w:r>
            <w:r w:rsidRPr="007116E6">
              <w:rPr>
                <w:rFonts w:asciiTheme="majorHAnsi" w:hAnsiTheme="majorHAnsi" w:cstheme="majorHAnsi"/>
                <w:szCs w:val="18"/>
              </w:rPr>
              <w:t xml:space="preserve"> The notice must include a copy of the relevant gas transportation agreement(s), an assessment of the service against each of the classification criteria (with reference to the terms of the agreement or other information relied on for the assessment) and any other information or documentation reasonably required by the AER.  The AER can ask for more information to explain the classification, including an expert opinion by a person that has the qualifications and experience to make an assessment of whether the transportation service meets the criteria set out in the NGR.</w:t>
            </w:r>
            <w:r w:rsidRPr="007116E6">
              <w:rPr>
                <w:rStyle w:val="FootnoteReference"/>
                <w:rFonts w:asciiTheme="majorHAnsi" w:hAnsiTheme="majorHAnsi" w:cstheme="majorHAnsi"/>
                <w:szCs w:val="18"/>
              </w:rPr>
              <w:footnoteReference w:id="267"/>
            </w:r>
            <w:r w:rsidRPr="007116E6">
              <w:rPr>
                <w:rFonts w:asciiTheme="majorHAnsi" w:hAnsiTheme="majorHAnsi" w:cstheme="majorHAnsi"/>
                <w:szCs w:val="18"/>
              </w:rPr>
              <w:t xml:space="preserve"> If the AER is not satisfied a service meets the criteria, it may reject the classification. It may also revoke the classification at a later point if it is not satisfied the criteria in the NGR are met. </w:t>
            </w:r>
          </w:p>
          <w:p w14:paraId="5B1FF650" w14:textId="77777777" w:rsidR="00C50443" w:rsidRPr="007C7119" w:rsidRDefault="00C50443" w:rsidP="003472C8">
            <w:pPr>
              <w:pStyle w:val="TableBodyText"/>
              <w:spacing w:line="259" w:lineRule="auto"/>
              <w:rPr>
                <w:rFonts w:asciiTheme="majorHAnsi" w:hAnsiTheme="majorHAnsi" w:cstheme="majorHAnsi"/>
                <w:szCs w:val="18"/>
              </w:rPr>
            </w:pPr>
            <w:r w:rsidRPr="007116E6">
              <w:rPr>
                <w:rFonts w:asciiTheme="majorHAnsi" w:hAnsiTheme="majorHAnsi" w:cstheme="majorHAnsi"/>
                <w:szCs w:val="18"/>
              </w:rPr>
              <w:t xml:space="preserve">If a service is classified as a transitional firm service and </w:t>
            </w:r>
            <w:r w:rsidR="003472C8">
              <w:rPr>
                <w:rFonts w:asciiTheme="majorHAnsi" w:hAnsiTheme="majorHAnsi" w:cstheme="majorHAnsi"/>
                <w:szCs w:val="18"/>
              </w:rPr>
              <w:t>the gas transportation agreement is amended</w:t>
            </w:r>
            <w:r w:rsidRPr="007116E6">
              <w:rPr>
                <w:rFonts w:asciiTheme="majorHAnsi" w:hAnsiTheme="majorHAnsi" w:cstheme="majorHAnsi"/>
                <w:szCs w:val="18"/>
              </w:rPr>
              <w:t xml:space="preserve">, the </w:t>
            </w:r>
            <w:r w:rsidR="00A90607">
              <w:rPr>
                <w:rFonts w:asciiTheme="majorHAnsi" w:hAnsiTheme="majorHAnsi" w:cstheme="majorHAnsi"/>
                <w:szCs w:val="18"/>
              </w:rPr>
              <w:t xml:space="preserve">auction </w:t>
            </w:r>
            <w:r w:rsidRPr="007116E6">
              <w:rPr>
                <w:rFonts w:asciiTheme="majorHAnsi" w:hAnsiTheme="majorHAnsi" w:cstheme="majorHAnsi"/>
                <w:szCs w:val="18"/>
              </w:rPr>
              <w:t xml:space="preserve">facility operator must notify the AER within 5 business days of the </w:t>
            </w:r>
            <w:r w:rsidR="003472C8">
              <w:rPr>
                <w:rFonts w:asciiTheme="majorHAnsi" w:hAnsiTheme="majorHAnsi" w:cstheme="majorHAnsi"/>
                <w:szCs w:val="18"/>
              </w:rPr>
              <w:t>amendment</w:t>
            </w:r>
            <w:r w:rsidRPr="007116E6">
              <w:rPr>
                <w:rFonts w:asciiTheme="majorHAnsi" w:hAnsiTheme="majorHAnsi" w:cstheme="majorHAnsi"/>
                <w:szCs w:val="18"/>
              </w:rPr>
              <w:t xml:space="preserve">. If </w:t>
            </w:r>
            <w:r>
              <w:rPr>
                <w:rFonts w:asciiTheme="majorHAnsi" w:hAnsiTheme="majorHAnsi" w:cstheme="majorHAnsi"/>
                <w:szCs w:val="18"/>
              </w:rPr>
              <w:t>the classification</w:t>
            </w:r>
            <w:r>
              <w:t xml:space="preserve"> is </w:t>
            </w:r>
            <w:r w:rsidRPr="007116E6">
              <w:rPr>
                <w:rFonts w:asciiTheme="majorHAnsi" w:hAnsiTheme="majorHAnsi" w:cstheme="majorHAnsi"/>
                <w:szCs w:val="18"/>
              </w:rPr>
              <w:t xml:space="preserve">no longer accurate, the </w:t>
            </w:r>
            <w:r w:rsidR="00A90607">
              <w:rPr>
                <w:rFonts w:asciiTheme="majorHAnsi" w:hAnsiTheme="majorHAnsi" w:cstheme="majorHAnsi"/>
                <w:szCs w:val="18"/>
              </w:rPr>
              <w:t xml:space="preserve">auction </w:t>
            </w:r>
            <w:r w:rsidRPr="007116E6">
              <w:rPr>
                <w:rFonts w:asciiTheme="majorHAnsi" w:hAnsiTheme="majorHAnsi" w:cstheme="majorHAnsi"/>
                <w:szCs w:val="18"/>
              </w:rPr>
              <w:t xml:space="preserve">facility operator must provide the AER with an updated </w:t>
            </w:r>
            <w:r>
              <w:rPr>
                <w:rFonts w:asciiTheme="majorHAnsi" w:hAnsiTheme="majorHAnsi" w:cstheme="majorHAnsi"/>
                <w:szCs w:val="18"/>
              </w:rPr>
              <w:t>classification</w:t>
            </w:r>
            <w:r>
              <w:t xml:space="preserve"> </w:t>
            </w:r>
            <w:r w:rsidRPr="007116E6">
              <w:rPr>
                <w:rFonts w:asciiTheme="majorHAnsi" w:hAnsiTheme="majorHAnsi" w:cstheme="majorHAnsi"/>
                <w:szCs w:val="18"/>
              </w:rPr>
              <w:t>notice.</w:t>
            </w:r>
          </w:p>
        </w:tc>
      </w:tr>
      <w:tr w:rsidR="00C50443" w:rsidRPr="007116E6" w14:paraId="4F8CDA6D" w14:textId="77777777" w:rsidTr="006E65D8">
        <w:trPr>
          <w:trHeight w:val="53"/>
        </w:trPr>
        <w:tc>
          <w:tcPr>
            <w:tcW w:w="284" w:type="dxa"/>
            <w:vMerge/>
            <w:shd w:val="clear" w:color="auto" w:fill="FFFFFF" w:themeFill="background1"/>
            <w:vAlign w:val="center"/>
          </w:tcPr>
          <w:p w14:paraId="52646B71" w14:textId="77777777" w:rsidR="00C50443" w:rsidRPr="007116E6" w:rsidRDefault="00C50443" w:rsidP="00C50443">
            <w:pPr>
              <w:spacing w:before="40" w:after="20" w:line="247" w:lineRule="auto"/>
              <w:rPr>
                <w:rFonts w:asciiTheme="majorHAnsi" w:hAnsiTheme="majorHAnsi" w:cstheme="majorHAnsi"/>
                <w:b/>
                <w:szCs w:val="18"/>
              </w:rPr>
            </w:pPr>
          </w:p>
        </w:tc>
        <w:tc>
          <w:tcPr>
            <w:tcW w:w="1560" w:type="dxa"/>
            <w:vMerge/>
            <w:shd w:val="clear" w:color="auto" w:fill="E1E2E7" w:themeFill="background2"/>
          </w:tcPr>
          <w:p w14:paraId="717AB06E" w14:textId="77777777" w:rsidR="00C50443" w:rsidRPr="007116E6" w:rsidRDefault="00C50443" w:rsidP="00C50443">
            <w:pPr>
              <w:pStyle w:val="BodyText"/>
              <w:spacing w:before="60" w:after="60" w:line="259" w:lineRule="auto"/>
              <w:rPr>
                <w:rFonts w:asciiTheme="majorHAnsi" w:hAnsiTheme="majorHAnsi" w:cstheme="majorHAnsi"/>
                <w:b/>
                <w:szCs w:val="18"/>
              </w:rPr>
            </w:pPr>
          </w:p>
        </w:tc>
        <w:tc>
          <w:tcPr>
            <w:tcW w:w="12615" w:type="dxa"/>
            <w:shd w:val="clear" w:color="auto" w:fill="E1E2E7" w:themeFill="background2"/>
          </w:tcPr>
          <w:p w14:paraId="0ACF58C3" w14:textId="77777777" w:rsidR="00C50443" w:rsidRPr="007116E6" w:rsidRDefault="00C50443" w:rsidP="00C50443">
            <w:pPr>
              <w:pStyle w:val="TableBodyText"/>
              <w:spacing w:line="259" w:lineRule="auto"/>
              <w:rPr>
                <w:rFonts w:asciiTheme="majorHAnsi" w:hAnsiTheme="majorHAnsi" w:cstheme="majorHAnsi"/>
                <w:b/>
                <w:szCs w:val="18"/>
              </w:rPr>
            </w:pPr>
            <w:r w:rsidRPr="007116E6">
              <w:rPr>
                <w:rFonts w:asciiTheme="majorHAnsi" w:hAnsiTheme="majorHAnsi" w:cstheme="majorHAnsi"/>
                <w:b/>
                <w:szCs w:val="18"/>
              </w:rPr>
              <w:t>AER’s role:</w:t>
            </w:r>
            <w:r w:rsidRPr="007116E6">
              <w:rPr>
                <w:rFonts w:asciiTheme="majorHAnsi" w:hAnsiTheme="majorHAnsi" w:cstheme="majorHAnsi"/>
                <w:szCs w:val="18"/>
              </w:rPr>
              <w:t xml:space="preserve"> The AER is responsible for monitoring compliance with the conditions of use of the</w:t>
            </w:r>
            <w:r w:rsidR="00A90607">
              <w:rPr>
                <w:rFonts w:asciiTheme="majorHAnsi" w:hAnsiTheme="majorHAnsi" w:cstheme="majorHAnsi"/>
                <w:szCs w:val="18"/>
              </w:rPr>
              <w:t xml:space="preserve"> transitional firm</w:t>
            </w:r>
            <w:r w:rsidRPr="007116E6">
              <w:rPr>
                <w:rFonts w:asciiTheme="majorHAnsi" w:hAnsiTheme="majorHAnsi" w:cstheme="majorHAnsi"/>
                <w:szCs w:val="18"/>
              </w:rPr>
              <w:t xml:space="preserve"> services (e.g. to ensure the services are being used at a gas-fired generation site). The AER may also require </w:t>
            </w:r>
            <w:r w:rsidR="00A90607">
              <w:rPr>
                <w:rFonts w:asciiTheme="majorHAnsi" w:hAnsiTheme="majorHAnsi" w:cstheme="majorHAnsi"/>
                <w:szCs w:val="18"/>
              </w:rPr>
              <w:t xml:space="preserve">an auction </w:t>
            </w:r>
            <w:r w:rsidRPr="007116E6">
              <w:rPr>
                <w:rFonts w:asciiTheme="majorHAnsi" w:hAnsiTheme="majorHAnsi" w:cstheme="majorHAnsi"/>
                <w:szCs w:val="18"/>
              </w:rPr>
              <w:t xml:space="preserve">facility operator or </w:t>
            </w:r>
            <w:r w:rsidR="00A90607">
              <w:rPr>
                <w:rFonts w:asciiTheme="majorHAnsi" w:hAnsiTheme="majorHAnsi" w:cstheme="majorHAnsi"/>
                <w:szCs w:val="18"/>
              </w:rPr>
              <w:t xml:space="preserve">shipper </w:t>
            </w:r>
            <w:r w:rsidRPr="007116E6">
              <w:rPr>
                <w:rFonts w:asciiTheme="majorHAnsi" w:hAnsiTheme="majorHAnsi" w:cstheme="majorHAnsi"/>
                <w:szCs w:val="18"/>
              </w:rPr>
              <w:t>provided with a transitional firm service to appoint an independent and suitably qualified auditor to conduct an independent audit of the quantities classified as transitional firm quantities and prepare and provide a report to the AER.</w:t>
            </w:r>
            <w:r w:rsidRPr="007116E6">
              <w:rPr>
                <w:rStyle w:val="FootnoteReference"/>
                <w:rFonts w:asciiTheme="majorHAnsi" w:hAnsiTheme="majorHAnsi" w:cstheme="majorHAnsi"/>
                <w:szCs w:val="18"/>
              </w:rPr>
              <w:footnoteReference w:id="268"/>
            </w:r>
          </w:p>
        </w:tc>
      </w:tr>
      <w:tr w:rsidR="00C50443" w:rsidRPr="007116E6" w14:paraId="485EBD33" w14:textId="77777777" w:rsidTr="006E65D8">
        <w:trPr>
          <w:cnfStyle w:val="000000010000" w:firstRow="0" w:lastRow="0" w:firstColumn="0" w:lastColumn="0" w:oddVBand="0" w:evenVBand="0" w:oddHBand="0" w:evenHBand="1" w:firstRowFirstColumn="0" w:firstRowLastColumn="0" w:lastRowFirstColumn="0" w:lastRowLastColumn="0"/>
          <w:trHeight w:val="456"/>
        </w:trPr>
        <w:tc>
          <w:tcPr>
            <w:tcW w:w="284" w:type="dxa"/>
            <w:vMerge w:val="restart"/>
            <w:shd w:val="clear" w:color="auto" w:fill="FFFFFF" w:themeFill="background1"/>
            <w:textDirection w:val="btLr"/>
            <w:hideMark/>
          </w:tcPr>
          <w:p w14:paraId="69A45A2B" w14:textId="77777777" w:rsidR="00C50443" w:rsidRPr="006E4546" w:rsidRDefault="00C50443" w:rsidP="001C7A93">
            <w:pPr>
              <w:pStyle w:val="BodyText"/>
              <w:keepNext/>
              <w:spacing w:before="40" w:after="20" w:line="247" w:lineRule="auto"/>
              <w:jc w:val="center"/>
              <w:rPr>
                <w:rFonts w:asciiTheme="majorHAnsi" w:hAnsiTheme="majorHAnsi" w:cstheme="majorHAnsi"/>
                <w:b/>
                <w:sz w:val="17"/>
                <w:szCs w:val="17"/>
              </w:rPr>
            </w:pPr>
            <w:r w:rsidRPr="006E4546">
              <w:rPr>
                <w:rFonts w:asciiTheme="majorHAnsi" w:hAnsiTheme="majorHAnsi" w:cstheme="majorHAnsi"/>
                <w:b/>
                <w:sz w:val="17"/>
                <w:szCs w:val="17"/>
              </w:rPr>
              <w:lastRenderedPageBreak/>
              <w:t>Auction format</w:t>
            </w:r>
          </w:p>
        </w:tc>
        <w:tc>
          <w:tcPr>
            <w:tcW w:w="1560" w:type="dxa"/>
            <w:shd w:val="clear" w:color="auto" w:fill="FFFFFF" w:themeFill="background1"/>
            <w:hideMark/>
          </w:tcPr>
          <w:p w14:paraId="612403E7" w14:textId="77777777" w:rsidR="00C50443" w:rsidRPr="00DA662D" w:rsidRDefault="00C50443" w:rsidP="001C7A93">
            <w:pPr>
              <w:pStyle w:val="BodyText"/>
              <w:keepNext/>
              <w:spacing w:before="60" w:after="60" w:line="259" w:lineRule="auto"/>
              <w:rPr>
                <w:rFonts w:asciiTheme="majorHAnsi" w:hAnsiTheme="majorHAnsi" w:cstheme="majorHAnsi"/>
                <w:b/>
                <w:szCs w:val="18"/>
              </w:rPr>
            </w:pPr>
            <w:r w:rsidRPr="00DA662D">
              <w:rPr>
                <w:rFonts w:asciiTheme="majorHAnsi" w:hAnsiTheme="majorHAnsi" w:cstheme="majorHAnsi"/>
                <w:b/>
                <w:szCs w:val="18"/>
              </w:rPr>
              <w:t>Auction design principles</w:t>
            </w:r>
          </w:p>
        </w:tc>
        <w:tc>
          <w:tcPr>
            <w:tcW w:w="12615" w:type="dxa"/>
            <w:shd w:val="clear" w:color="auto" w:fill="FFFFFF" w:themeFill="background1"/>
            <w:hideMark/>
          </w:tcPr>
          <w:p w14:paraId="3DB69E6B" w14:textId="77777777" w:rsidR="00C50443" w:rsidRPr="00DA662D" w:rsidRDefault="00C50443" w:rsidP="001C7A93">
            <w:pPr>
              <w:pStyle w:val="TableBodyText"/>
              <w:keepNext/>
              <w:spacing w:line="259" w:lineRule="auto"/>
              <w:rPr>
                <w:rFonts w:asciiTheme="majorHAnsi" w:hAnsiTheme="majorHAnsi" w:cstheme="majorHAnsi"/>
                <w:szCs w:val="18"/>
              </w:rPr>
            </w:pPr>
            <w:r w:rsidRPr="00DA662D">
              <w:rPr>
                <w:rFonts w:asciiTheme="majorHAnsi" w:hAnsiTheme="majorHAnsi" w:cstheme="majorHAnsi"/>
                <w:szCs w:val="18"/>
              </w:rPr>
              <w:t>The day-ahead auction must take the form of a partial combinatorial auction (which will allow capacity to be procured across multiple pipelines and compressors, irrespective of location or asset ownership) with static backhaul (i.e. auction backhaul services are allocated in a static manner against net forward haul firm flows and do not take into account forward haul flows generated through the auction). The auction must also comply with the following design principles in the NGR:</w:t>
            </w:r>
            <w:r w:rsidRPr="00DA662D">
              <w:rPr>
                <w:rStyle w:val="FootnoteReference"/>
                <w:rFonts w:asciiTheme="majorHAnsi" w:hAnsiTheme="majorHAnsi" w:cstheme="majorHAnsi"/>
                <w:szCs w:val="18"/>
              </w:rPr>
              <w:footnoteReference w:id="269"/>
            </w:r>
          </w:p>
          <w:p w14:paraId="21E83F1F" w14:textId="77777777" w:rsidR="00C50443" w:rsidRPr="00DA662D" w:rsidRDefault="00C50443" w:rsidP="001C7A93">
            <w:pPr>
              <w:pStyle w:val="TableBullet1"/>
              <w:keepNext/>
              <w:numPr>
                <w:ilvl w:val="0"/>
                <w:numId w:val="27"/>
              </w:numPr>
              <w:spacing w:line="259" w:lineRule="auto"/>
              <w:rPr>
                <w:rFonts w:asciiTheme="majorHAnsi" w:hAnsiTheme="majorHAnsi" w:cstheme="majorHAnsi"/>
                <w:szCs w:val="18"/>
              </w:rPr>
            </w:pPr>
            <w:r w:rsidRPr="00DA662D">
              <w:rPr>
                <w:rFonts w:asciiTheme="majorHAnsi" w:hAnsiTheme="majorHAnsi" w:cstheme="majorHAnsi"/>
                <w:szCs w:val="18"/>
              </w:rPr>
              <w:t>the auction must be conducted on a daily basis through a single round sealed bid process with a zero reserve price (with compressor fuel provided in-kind or procured from the facility operator);</w:t>
            </w:r>
          </w:p>
          <w:p w14:paraId="65CA5057" w14:textId="77777777" w:rsidR="00C50443" w:rsidRPr="00DA662D" w:rsidRDefault="00C50443" w:rsidP="001C7A93">
            <w:pPr>
              <w:pStyle w:val="TableBullet1"/>
              <w:keepNext/>
              <w:numPr>
                <w:ilvl w:val="0"/>
                <w:numId w:val="27"/>
              </w:numPr>
              <w:spacing w:line="259" w:lineRule="auto"/>
              <w:rPr>
                <w:rFonts w:asciiTheme="majorHAnsi" w:hAnsiTheme="majorHAnsi" w:cstheme="majorHAnsi"/>
                <w:szCs w:val="18"/>
              </w:rPr>
            </w:pPr>
            <w:r w:rsidRPr="00DA662D">
              <w:rPr>
                <w:rFonts w:asciiTheme="majorHAnsi" w:hAnsiTheme="majorHAnsi" w:cstheme="majorHAnsi"/>
                <w:szCs w:val="18"/>
              </w:rPr>
              <w:t>the auction must utilise a pay-as-cleared pricing rule, which will be determined by the lowest accepted bids in the auction; and</w:t>
            </w:r>
          </w:p>
          <w:p w14:paraId="1D790FC5" w14:textId="77777777" w:rsidR="00C50443" w:rsidRPr="00DA662D" w:rsidRDefault="00C50443" w:rsidP="001C7A93">
            <w:pPr>
              <w:pStyle w:val="TableBullet1"/>
              <w:keepNext/>
              <w:numPr>
                <w:ilvl w:val="0"/>
                <w:numId w:val="27"/>
              </w:numPr>
              <w:spacing w:line="259" w:lineRule="auto"/>
              <w:rPr>
                <w:rFonts w:asciiTheme="majorHAnsi" w:hAnsiTheme="majorHAnsi" w:cstheme="majorHAnsi"/>
                <w:szCs w:val="18"/>
              </w:rPr>
            </w:pPr>
            <w:r w:rsidRPr="00DA662D">
              <w:rPr>
                <w:rFonts w:asciiTheme="majorHAnsi" w:hAnsiTheme="majorHAnsi" w:cstheme="majorHAnsi"/>
                <w:szCs w:val="18"/>
              </w:rPr>
              <w:t xml:space="preserve">auction winners must be determined using the revenue-maximising combination of bids, with auction proceeds to be allocated to </w:t>
            </w:r>
            <w:r w:rsidR="00DA16AB">
              <w:rPr>
                <w:rFonts w:asciiTheme="majorHAnsi" w:hAnsiTheme="majorHAnsi" w:cstheme="majorHAnsi"/>
                <w:szCs w:val="18"/>
              </w:rPr>
              <w:t xml:space="preserve">auction facility operators </w:t>
            </w:r>
            <w:r w:rsidRPr="00DA662D">
              <w:rPr>
                <w:rFonts w:asciiTheme="majorHAnsi" w:hAnsiTheme="majorHAnsi" w:cstheme="majorHAnsi"/>
                <w:szCs w:val="18"/>
              </w:rPr>
              <w:t>on the basis of the revenues achieved by the products provided by each auction facility operator.</w:t>
            </w:r>
          </w:p>
        </w:tc>
      </w:tr>
      <w:tr w:rsidR="00C50443" w:rsidRPr="007116E6" w14:paraId="499D97EB" w14:textId="77777777" w:rsidTr="006E65D8">
        <w:trPr>
          <w:trHeight w:val="113"/>
        </w:trPr>
        <w:tc>
          <w:tcPr>
            <w:tcW w:w="284" w:type="dxa"/>
            <w:vMerge/>
            <w:shd w:val="clear" w:color="auto" w:fill="FFFFFF" w:themeFill="background1"/>
            <w:vAlign w:val="center"/>
          </w:tcPr>
          <w:p w14:paraId="758D360D" w14:textId="77777777" w:rsidR="00C50443" w:rsidRPr="006E4546" w:rsidRDefault="00C50443" w:rsidP="00C50443">
            <w:pPr>
              <w:spacing w:before="40" w:after="20" w:line="247" w:lineRule="auto"/>
              <w:rPr>
                <w:rFonts w:asciiTheme="majorHAnsi" w:hAnsiTheme="majorHAnsi" w:cstheme="majorHAnsi"/>
                <w:b/>
                <w:sz w:val="17"/>
                <w:szCs w:val="17"/>
              </w:rPr>
            </w:pPr>
          </w:p>
        </w:tc>
        <w:tc>
          <w:tcPr>
            <w:tcW w:w="1560" w:type="dxa"/>
            <w:vMerge w:val="restart"/>
            <w:shd w:val="clear" w:color="auto" w:fill="E1E2E7" w:themeFill="background2"/>
          </w:tcPr>
          <w:p w14:paraId="455F7979" w14:textId="77777777" w:rsidR="00C50443" w:rsidRPr="00DA662D" w:rsidRDefault="00C50443" w:rsidP="00C50443">
            <w:pPr>
              <w:pStyle w:val="BodyText"/>
              <w:keepNext/>
              <w:spacing w:before="60" w:after="60" w:line="259" w:lineRule="auto"/>
              <w:rPr>
                <w:rFonts w:asciiTheme="majorHAnsi" w:hAnsiTheme="majorHAnsi" w:cstheme="majorHAnsi"/>
                <w:b/>
                <w:szCs w:val="18"/>
              </w:rPr>
            </w:pPr>
            <w:r w:rsidRPr="00DA662D">
              <w:rPr>
                <w:rFonts w:asciiTheme="majorHAnsi" w:hAnsiTheme="majorHAnsi" w:cstheme="majorHAnsi"/>
                <w:b/>
                <w:szCs w:val="18"/>
              </w:rPr>
              <w:t xml:space="preserve">Contract path </w:t>
            </w:r>
          </w:p>
        </w:tc>
        <w:tc>
          <w:tcPr>
            <w:tcW w:w="12615" w:type="dxa"/>
            <w:shd w:val="clear" w:color="auto" w:fill="E1E2E7" w:themeFill="background2"/>
          </w:tcPr>
          <w:p w14:paraId="7AC3EE65" w14:textId="77777777" w:rsidR="00C50443" w:rsidRPr="00DA662D" w:rsidRDefault="00C50443" w:rsidP="003472C8">
            <w:pPr>
              <w:pStyle w:val="TableBullet1"/>
              <w:keepNext/>
              <w:numPr>
                <w:ilvl w:val="0"/>
                <w:numId w:val="0"/>
              </w:numPr>
              <w:spacing w:line="259" w:lineRule="auto"/>
              <w:ind w:left="85"/>
              <w:rPr>
                <w:rFonts w:asciiTheme="majorHAnsi" w:hAnsiTheme="majorHAnsi" w:cstheme="majorHAnsi"/>
                <w:b/>
                <w:szCs w:val="18"/>
              </w:rPr>
            </w:pPr>
            <w:r w:rsidRPr="00DA662D">
              <w:rPr>
                <w:rFonts w:asciiTheme="majorHAnsi" w:hAnsiTheme="majorHAnsi" w:cstheme="majorHAnsi"/>
                <w:b/>
                <w:color w:val="000000"/>
                <w:szCs w:val="18"/>
              </w:rPr>
              <w:t>Forward haul and compression auction services</w:t>
            </w:r>
            <w:r w:rsidRPr="00DA662D">
              <w:rPr>
                <w:rFonts w:asciiTheme="majorHAnsi" w:hAnsiTheme="majorHAnsi" w:cstheme="majorHAnsi"/>
                <w:color w:val="000000"/>
                <w:szCs w:val="18"/>
              </w:rPr>
              <w:t xml:space="preserve"> are to be sold using a </w:t>
            </w:r>
            <w:r w:rsidRPr="00DA662D">
              <w:rPr>
                <w:rFonts w:asciiTheme="majorHAnsi" w:hAnsiTheme="majorHAnsi" w:cstheme="majorHAnsi"/>
                <w:b/>
                <w:color w:val="000000"/>
                <w:szCs w:val="18"/>
              </w:rPr>
              <w:t>hybrid point-to-point and zonal model</w:t>
            </w:r>
            <w:r w:rsidRPr="00DA662D">
              <w:rPr>
                <w:rFonts w:asciiTheme="majorHAnsi" w:hAnsiTheme="majorHAnsi" w:cstheme="majorHAnsi"/>
                <w:color w:val="000000"/>
                <w:szCs w:val="18"/>
              </w:rPr>
              <w:t xml:space="preserve">. </w:t>
            </w:r>
            <w:r w:rsidRPr="00DA662D">
              <w:rPr>
                <w:rFonts w:asciiTheme="majorHAnsi" w:hAnsiTheme="majorHAnsi" w:cstheme="majorHAnsi"/>
                <w:color w:val="000000"/>
                <w:szCs w:val="18"/>
                <w:lang w:val="en-US"/>
              </w:rPr>
              <w:t>The hybrid model allows auction participants to bid on a point-to-point basis for any unused capacity at individual receipt or delivery points, but their ability to secure capacity at those points</w:t>
            </w:r>
            <w:r w:rsidR="00A90607">
              <w:rPr>
                <w:rFonts w:asciiTheme="majorHAnsi" w:hAnsiTheme="majorHAnsi" w:cstheme="majorHAnsi"/>
                <w:color w:val="000000"/>
                <w:szCs w:val="18"/>
                <w:lang w:val="en-US"/>
              </w:rPr>
              <w:t xml:space="preserve"> will</w:t>
            </w:r>
            <w:r w:rsidRPr="00DA662D">
              <w:rPr>
                <w:rFonts w:asciiTheme="majorHAnsi" w:hAnsiTheme="majorHAnsi" w:cstheme="majorHAnsi"/>
                <w:color w:val="000000"/>
                <w:szCs w:val="18"/>
                <w:lang w:val="en-US"/>
              </w:rPr>
              <w:t xml:space="preserve"> depend on whether there is sufficient </w:t>
            </w:r>
            <w:r w:rsidRPr="00DA662D">
              <w:rPr>
                <w:rFonts w:asciiTheme="majorHAnsi" w:hAnsiTheme="majorHAnsi" w:cstheme="majorHAnsi"/>
                <w:szCs w:val="18"/>
                <w:lang w:val="en-US"/>
              </w:rPr>
              <w:t>CBU capacity available in the receipt point zone and delivery point zone they wish to use and CBU capacity along the pipeline segments (or the compression facility) they need to use.</w:t>
            </w:r>
            <w:r w:rsidRPr="00DA662D">
              <w:rPr>
                <w:rStyle w:val="FootnoteReference"/>
                <w:rFonts w:asciiTheme="majorHAnsi" w:hAnsiTheme="majorHAnsi" w:cstheme="majorHAnsi"/>
                <w:szCs w:val="18"/>
                <w:lang w:val="en-US"/>
              </w:rPr>
              <w:footnoteReference w:id="270"/>
            </w:r>
          </w:p>
        </w:tc>
      </w:tr>
      <w:tr w:rsidR="00C50443" w:rsidRPr="007116E6" w14:paraId="5A0FF556" w14:textId="77777777" w:rsidTr="006E65D8">
        <w:trPr>
          <w:cnfStyle w:val="000000010000" w:firstRow="0" w:lastRow="0" w:firstColumn="0" w:lastColumn="0" w:oddVBand="0" w:evenVBand="0" w:oddHBand="0" w:evenHBand="1" w:firstRowFirstColumn="0" w:firstRowLastColumn="0" w:lastRowFirstColumn="0" w:lastRowLastColumn="0"/>
          <w:trHeight w:val="113"/>
        </w:trPr>
        <w:tc>
          <w:tcPr>
            <w:tcW w:w="284" w:type="dxa"/>
            <w:vMerge/>
            <w:shd w:val="clear" w:color="auto" w:fill="FFFFFF" w:themeFill="background1"/>
            <w:vAlign w:val="center"/>
          </w:tcPr>
          <w:p w14:paraId="3DD9FCB2" w14:textId="77777777" w:rsidR="00C50443" w:rsidRPr="006E4546" w:rsidRDefault="00C50443" w:rsidP="00C50443">
            <w:pPr>
              <w:spacing w:before="40" w:after="20" w:line="247" w:lineRule="auto"/>
              <w:rPr>
                <w:rFonts w:asciiTheme="majorHAnsi" w:hAnsiTheme="majorHAnsi" w:cstheme="majorHAnsi"/>
                <w:b/>
                <w:sz w:val="17"/>
                <w:szCs w:val="17"/>
              </w:rPr>
            </w:pPr>
          </w:p>
        </w:tc>
        <w:tc>
          <w:tcPr>
            <w:tcW w:w="1560" w:type="dxa"/>
            <w:vMerge/>
          </w:tcPr>
          <w:p w14:paraId="6EC008D6" w14:textId="77777777" w:rsidR="00C50443" w:rsidRPr="00DA662D" w:rsidRDefault="00C50443" w:rsidP="00C50443">
            <w:pPr>
              <w:pStyle w:val="BodyText"/>
              <w:keepNext/>
              <w:spacing w:before="60" w:after="60" w:line="259" w:lineRule="auto"/>
              <w:rPr>
                <w:rFonts w:asciiTheme="majorHAnsi" w:hAnsiTheme="majorHAnsi" w:cstheme="majorHAnsi"/>
                <w:b/>
                <w:szCs w:val="18"/>
              </w:rPr>
            </w:pPr>
          </w:p>
        </w:tc>
        <w:tc>
          <w:tcPr>
            <w:tcW w:w="12615" w:type="dxa"/>
          </w:tcPr>
          <w:p w14:paraId="581FE138" w14:textId="77777777" w:rsidR="00C50443" w:rsidRPr="00DA662D" w:rsidRDefault="00C50443" w:rsidP="00C50443">
            <w:pPr>
              <w:pStyle w:val="TableBullet1"/>
              <w:keepNext/>
              <w:numPr>
                <w:ilvl w:val="0"/>
                <w:numId w:val="0"/>
              </w:numPr>
              <w:spacing w:line="259" w:lineRule="auto"/>
              <w:ind w:left="85"/>
              <w:rPr>
                <w:rFonts w:asciiTheme="majorHAnsi" w:hAnsiTheme="majorHAnsi" w:cstheme="majorHAnsi"/>
                <w:b/>
                <w:szCs w:val="18"/>
              </w:rPr>
            </w:pPr>
            <w:r w:rsidRPr="00DA662D">
              <w:rPr>
                <w:rFonts w:asciiTheme="majorHAnsi" w:hAnsiTheme="majorHAnsi" w:cstheme="majorHAnsi"/>
                <w:b/>
                <w:color w:val="000000"/>
                <w:szCs w:val="18"/>
              </w:rPr>
              <w:t>Backhaul services</w:t>
            </w:r>
            <w:r w:rsidRPr="00DA662D">
              <w:rPr>
                <w:rFonts w:asciiTheme="majorHAnsi" w:hAnsiTheme="majorHAnsi" w:cstheme="majorHAnsi"/>
                <w:color w:val="000000"/>
                <w:szCs w:val="18"/>
              </w:rPr>
              <w:t xml:space="preserve"> are to be sold on a </w:t>
            </w:r>
            <w:r w:rsidRPr="00DA662D">
              <w:rPr>
                <w:rFonts w:asciiTheme="majorHAnsi" w:hAnsiTheme="majorHAnsi" w:cstheme="majorHAnsi"/>
                <w:b/>
                <w:color w:val="000000"/>
                <w:szCs w:val="18"/>
              </w:rPr>
              <w:t>point-to-point</w:t>
            </w:r>
            <w:r w:rsidRPr="00DA662D">
              <w:rPr>
                <w:rFonts w:asciiTheme="majorHAnsi" w:hAnsiTheme="majorHAnsi" w:cstheme="majorHAnsi"/>
                <w:color w:val="000000"/>
                <w:szCs w:val="18"/>
              </w:rPr>
              <w:t xml:space="preserve"> basis between points that AEMO determines should be included in the auction from time to time. In contrast to forward haul and compression services, the availability of backhaul services will not be constrained by CBU capacity. The availability of backhaul services will depend on whether there are sufficient firm net forward haul flows between the points used for the backhaul service.</w:t>
            </w:r>
            <w:r w:rsidRPr="00DA662D">
              <w:rPr>
                <w:rStyle w:val="FootnoteReference"/>
                <w:rFonts w:asciiTheme="majorHAnsi" w:hAnsiTheme="majorHAnsi" w:cstheme="majorHAnsi"/>
                <w:color w:val="000000"/>
                <w:szCs w:val="18"/>
              </w:rPr>
              <w:footnoteReference w:id="271"/>
            </w:r>
          </w:p>
        </w:tc>
      </w:tr>
      <w:tr w:rsidR="00C50443" w:rsidRPr="007116E6" w14:paraId="6B7C9942" w14:textId="77777777" w:rsidTr="006E65D8">
        <w:trPr>
          <w:trHeight w:val="252"/>
        </w:trPr>
        <w:tc>
          <w:tcPr>
            <w:tcW w:w="284" w:type="dxa"/>
            <w:vMerge/>
            <w:shd w:val="clear" w:color="auto" w:fill="FFFFFF" w:themeFill="background1"/>
            <w:vAlign w:val="center"/>
            <w:hideMark/>
          </w:tcPr>
          <w:p w14:paraId="3143D5D6" w14:textId="77777777" w:rsidR="00C50443" w:rsidRPr="006E4546" w:rsidRDefault="00C50443" w:rsidP="00C50443">
            <w:pPr>
              <w:spacing w:before="40" w:after="20" w:line="247" w:lineRule="auto"/>
              <w:rPr>
                <w:rFonts w:asciiTheme="majorHAnsi" w:hAnsiTheme="majorHAnsi" w:cstheme="majorHAnsi"/>
                <w:b/>
                <w:sz w:val="17"/>
                <w:szCs w:val="17"/>
              </w:rPr>
            </w:pPr>
          </w:p>
        </w:tc>
        <w:tc>
          <w:tcPr>
            <w:tcW w:w="1560" w:type="dxa"/>
            <w:shd w:val="clear" w:color="auto" w:fill="auto"/>
            <w:hideMark/>
          </w:tcPr>
          <w:p w14:paraId="126F344F" w14:textId="77777777" w:rsidR="00C50443" w:rsidRPr="00DA662D" w:rsidRDefault="00C50443" w:rsidP="00C50443">
            <w:pPr>
              <w:pStyle w:val="BodyText"/>
              <w:keepNext/>
              <w:spacing w:before="60" w:after="60" w:line="259" w:lineRule="auto"/>
              <w:rPr>
                <w:rFonts w:asciiTheme="majorHAnsi" w:hAnsiTheme="majorHAnsi" w:cstheme="majorHAnsi"/>
                <w:b/>
                <w:szCs w:val="18"/>
              </w:rPr>
            </w:pPr>
            <w:r w:rsidRPr="00DA662D">
              <w:rPr>
                <w:rFonts w:asciiTheme="majorHAnsi" w:hAnsiTheme="majorHAnsi" w:cstheme="majorHAnsi"/>
                <w:b/>
                <w:szCs w:val="18"/>
              </w:rPr>
              <w:t>Auction quantity limits</w:t>
            </w:r>
          </w:p>
        </w:tc>
        <w:tc>
          <w:tcPr>
            <w:tcW w:w="12615" w:type="dxa"/>
            <w:shd w:val="clear" w:color="auto" w:fill="auto"/>
            <w:hideMark/>
          </w:tcPr>
          <w:p w14:paraId="4F366BB4" w14:textId="77777777" w:rsidR="00C50443" w:rsidRPr="00DA662D" w:rsidRDefault="00C50443" w:rsidP="00C50443">
            <w:pPr>
              <w:pStyle w:val="TableBullet1"/>
              <w:keepNext/>
              <w:numPr>
                <w:ilvl w:val="0"/>
                <w:numId w:val="0"/>
              </w:numPr>
              <w:spacing w:line="259" w:lineRule="auto"/>
              <w:ind w:left="85"/>
              <w:rPr>
                <w:rFonts w:asciiTheme="majorHAnsi" w:hAnsiTheme="majorHAnsi" w:cstheme="majorHAnsi"/>
                <w:szCs w:val="18"/>
              </w:rPr>
            </w:pPr>
            <w:r w:rsidRPr="00DA662D">
              <w:rPr>
                <w:rFonts w:asciiTheme="majorHAnsi" w:hAnsiTheme="majorHAnsi" w:cstheme="majorHAnsi"/>
                <w:b/>
                <w:szCs w:val="18"/>
              </w:rPr>
              <w:t>AEMO</w:t>
            </w:r>
            <w:r w:rsidRPr="00DA662D">
              <w:rPr>
                <w:rFonts w:asciiTheme="majorHAnsi" w:hAnsiTheme="majorHAnsi" w:cstheme="majorHAnsi"/>
                <w:szCs w:val="18"/>
              </w:rPr>
              <w:t xml:space="preserve"> is responsible for determining the methodology to be used to calculate the auction quantity limits, which must comply with the principles set out in the NGR and be prescribed in the CT&amp;A Procedures.</w:t>
            </w:r>
            <w:r w:rsidRPr="00DA662D">
              <w:rPr>
                <w:rStyle w:val="FootnoteReference"/>
                <w:rFonts w:asciiTheme="majorHAnsi" w:hAnsiTheme="majorHAnsi" w:cstheme="majorHAnsi"/>
                <w:szCs w:val="18"/>
              </w:rPr>
              <w:footnoteReference w:id="272"/>
            </w:r>
            <w:r w:rsidRPr="00DA662D">
              <w:rPr>
                <w:rFonts w:asciiTheme="majorHAnsi" w:hAnsiTheme="majorHAnsi" w:cstheme="majorHAnsi"/>
                <w:szCs w:val="18"/>
              </w:rPr>
              <w:t xml:space="preserve"> The CT&amp;A Procedures may also provide for:</w:t>
            </w:r>
            <w:r w:rsidRPr="00DA662D">
              <w:rPr>
                <w:rStyle w:val="FootnoteReference"/>
                <w:rFonts w:asciiTheme="majorHAnsi" w:hAnsiTheme="majorHAnsi" w:cstheme="majorHAnsi"/>
                <w:szCs w:val="18"/>
              </w:rPr>
              <w:footnoteReference w:id="273"/>
            </w:r>
            <w:r w:rsidRPr="00DA662D">
              <w:rPr>
                <w:rFonts w:asciiTheme="majorHAnsi" w:hAnsiTheme="majorHAnsi" w:cstheme="majorHAnsi"/>
                <w:szCs w:val="18"/>
              </w:rPr>
              <w:t xml:space="preserve"> </w:t>
            </w:r>
          </w:p>
          <w:p w14:paraId="75CEAA49" w14:textId="77777777" w:rsidR="00C50443" w:rsidRPr="00DA662D" w:rsidRDefault="00C50443" w:rsidP="00C50443">
            <w:pPr>
              <w:pStyle w:val="TableBullet1"/>
              <w:spacing w:line="259" w:lineRule="auto"/>
              <w:rPr>
                <w:rFonts w:asciiTheme="majorHAnsi" w:hAnsiTheme="majorHAnsi" w:cstheme="majorHAnsi"/>
                <w:szCs w:val="18"/>
              </w:rPr>
            </w:pPr>
            <w:r w:rsidRPr="00DA662D">
              <w:rPr>
                <w:rFonts w:asciiTheme="majorHAnsi" w:hAnsiTheme="majorHAnsi" w:cstheme="majorHAnsi"/>
                <w:szCs w:val="18"/>
              </w:rPr>
              <w:t xml:space="preserve">arrangements for AEMO and </w:t>
            </w:r>
            <w:r w:rsidR="00A90607">
              <w:rPr>
                <w:rFonts w:asciiTheme="majorHAnsi" w:hAnsiTheme="majorHAnsi" w:cstheme="majorHAnsi"/>
                <w:szCs w:val="18"/>
              </w:rPr>
              <w:t xml:space="preserve">an auction </w:t>
            </w:r>
            <w:r w:rsidRPr="00DA662D">
              <w:rPr>
                <w:rFonts w:asciiTheme="majorHAnsi" w:hAnsiTheme="majorHAnsi" w:cstheme="majorHAnsi"/>
                <w:szCs w:val="18"/>
              </w:rPr>
              <w:t>facility operator to agree or have determined the allocation of reserved capacity to an auction facility, service point or pipeline segment for the purposes of determining auction quantity limits; and</w:t>
            </w:r>
          </w:p>
          <w:p w14:paraId="1467A0D1" w14:textId="77777777" w:rsidR="00C50443" w:rsidRPr="00DA662D" w:rsidRDefault="00C50443" w:rsidP="00C50443">
            <w:pPr>
              <w:pStyle w:val="TableBullet1"/>
              <w:spacing w:line="259" w:lineRule="auto"/>
              <w:rPr>
                <w:rFonts w:asciiTheme="majorHAnsi" w:hAnsiTheme="majorHAnsi" w:cstheme="majorHAnsi"/>
                <w:szCs w:val="18"/>
              </w:rPr>
            </w:pPr>
            <w:r w:rsidRPr="00DA662D">
              <w:rPr>
                <w:rFonts w:asciiTheme="majorHAnsi" w:hAnsiTheme="majorHAnsi" w:cstheme="majorHAnsi"/>
                <w:szCs w:val="18"/>
              </w:rPr>
              <w:t xml:space="preserve">circumstances in which </w:t>
            </w:r>
            <w:r w:rsidR="00A90607">
              <w:rPr>
                <w:rFonts w:asciiTheme="majorHAnsi" w:hAnsiTheme="majorHAnsi" w:cstheme="majorHAnsi"/>
                <w:szCs w:val="18"/>
              </w:rPr>
              <w:t xml:space="preserve">an auction </w:t>
            </w:r>
            <w:r w:rsidRPr="00DA662D">
              <w:rPr>
                <w:rFonts w:asciiTheme="majorHAnsi" w:hAnsiTheme="majorHAnsi" w:cstheme="majorHAnsi"/>
                <w:szCs w:val="18"/>
              </w:rPr>
              <w:t xml:space="preserve">facility operator may include additional quantities of capacity as contracted capacity for the purposes of calculating the auction quantity limits, but not for the purposes of the priority principles. </w:t>
            </w:r>
          </w:p>
          <w:p w14:paraId="669133C9" w14:textId="77777777" w:rsidR="00C50443" w:rsidRPr="00DA662D" w:rsidRDefault="00C50443" w:rsidP="00C50443">
            <w:pPr>
              <w:pStyle w:val="TableBullet1"/>
              <w:keepNext/>
              <w:numPr>
                <w:ilvl w:val="0"/>
                <w:numId w:val="0"/>
              </w:numPr>
              <w:spacing w:line="259" w:lineRule="auto"/>
              <w:ind w:left="85"/>
              <w:rPr>
                <w:rFonts w:asciiTheme="majorHAnsi" w:hAnsiTheme="majorHAnsi" w:cstheme="majorHAnsi"/>
                <w:szCs w:val="18"/>
              </w:rPr>
            </w:pPr>
            <w:r w:rsidRPr="00DA662D">
              <w:rPr>
                <w:rFonts w:asciiTheme="majorHAnsi" w:hAnsiTheme="majorHAnsi" w:cstheme="majorHAnsi"/>
                <w:b/>
                <w:szCs w:val="18"/>
              </w:rPr>
              <w:t xml:space="preserve">Auction facility operators </w:t>
            </w:r>
            <w:r w:rsidRPr="00DA662D">
              <w:rPr>
                <w:rFonts w:asciiTheme="majorHAnsi" w:hAnsiTheme="majorHAnsi" w:cstheme="majorHAnsi"/>
                <w:szCs w:val="18"/>
              </w:rPr>
              <w:t>are responsible for determining their facility’s auction quantity limits, operational capacity and capacity shortfalls in accordance with the NGR and CT&amp;A Procedures.</w:t>
            </w:r>
            <w:r w:rsidRPr="00DA662D">
              <w:rPr>
                <w:rStyle w:val="FootnoteReference"/>
                <w:rFonts w:asciiTheme="majorHAnsi" w:hAnsiTheme="majorHAnsi" w:cstheme="majorHAnsi"/>
                <w:szCs w:val="18"/>
              </w:rPr>
              <w:footnoteReference w:id="274"/>
            </w:r>
            <w:r w:rsidRPr="00DA662D">
              <w:rPr>
                <w:rFonts w:asciiTheme="majorHAnsi" w:hAnsiTheme="majorHAnsi" w:cstheme="majorHAnsi"/>
                <w:szCs w:val="18"/>
              </w:rPr>
              <w:t xml:space="preserve"> Operational capacity must be determined in accordance with accepted good industry practice.</w:t>
            </w:r>
            <w:r w:rsidRPr="00DA662D">
              <w:rPr>
                <w:rStyle w:val="FootnoteReference"/>
                <w:rFonts w:asciiTheme="majorHAnsi" w:hAnsiTheme="majorHAnsi" w:cstheme="majorHAnsi"/>
                <w:szCs w:val="18"/>
              </w:rPr>
              <w:footnoteReference w:id="275"/>
            </w:r>
          </w:p>
        </w:tc>
      </w:tr>
      <w:tr w:rsidR="00C50443" w:rsidRPr="007116E6" w14:paraId="6EC3CE5D" w14:textId="77777777" w:rsidTr="006E65D8">
        <w:trPr>
          <w:cnfStyle w:val="000000010000" w:firstRow="0" w:lastRow="0" w:firstColumn="0" w:lastColumn="0" w:oddVBand="0" w:evenVBand="0" w:oddHBand="0" w:evenHBand="1" w:firstRowFirstColumn="0" w:firstRowLastColumn="0" w:lastRowFirstColumn="0" w:lastRowLastColumn="0"/>
          <w:trHeight w:val="237"/>
        </w:trPr>
        <w:tc>
          <w:tcPr>
            <w:tcW w:w="284" w:type="dxa"/>
            <w:vMerge/>
            <w:hideMark/>
          </w:tcPr>
          <w:p w14:paraId="261060C1" w14:textId="77777777" w:rsidR="00C50443" w:rsidRPr="006E4546" w:rsidRDefault="00C50443" w:rsidP="00C50443">
            <w:pPr>
              <w:pStyle w:val="BodyText"/>
              <w:spacing w:before="60" w:after="40" w:line="247" w:lineRule="auto"/>
              <w:rPr>
                <w:rFonts w:asciiTheme="majorHAnsi" w:hAnsiTheme="majorHAnsi" w:cstheme="majorHAnsi"/>
                <w:b/>
                <w:sz w:val="17"/>
                <w:szCs w:val="17"/>
              </w:rPr>
            </w:pPr>
          </w:p>
        </w:tc>
        <w:tc>
          <w:tcPr>
            <w:tcW w:w="1560" w:type="dxa"/>
          </w:tcPr>
          <w:p w14:paraId="5D5C959E" w14:textId="77777777" w:rsidR="00C50443" w:rsidRPr="006E65D8" w:rsidRDefault="00C50443" w:rsidP="00C50443">
            <w:pPr>
              <w:pStyle w:val="BodyText"/>
              <w:keepNext/>
              <w:spacing w:before="60" w:after="60" w:line="259" w:lineRule="auto"/>
              <w:rPr>
                <w:rFonts w:asciiTheme="majorHAnsi" w:hAnsiTheme="majorHAnsi" w:cstheme="majorHAnsi"/>
                <w:b/>
                <w:szCs w:val="18"/>
              </w:rPr>
            </w:pPr>
            <w:r w:rsidRPr="006E65D8">
              <w:rPr>
                <w:rFonts w:asciiTheme="majorHAnsi" w:hAnsiTheme="majorHAnsi" w:cstheme="majorHAnsi"/>
                <w:b/>
                <w:szCs w:val="18"/>
              </w:rPr>
              <w:t>Curtailment</w:t>
            </w:r>
          </w:p>
        </w:tc>
        <w:tc>
          <w:tcPr>
            <w:tcW w:w="12615" w:type="dxa"/>
            <w:hideMark/>
          </w:tcPr>
          <w:p w14:paraId="43E4AF81" w14:textId="77777777" w:rsidR="00C50443" w:rsidRPr="006E65D8" w:rsidRDefault="00C50443" w:rsidP="00C50443">
            <w:pPr>
              <w:pStyle w:val="TableBullet1"/>
              <w:keepNext/>
              <w:numPr>
                <w:ilvl w:val="0"/>
                <w:numId w:val="0"/>
              </w:numPr>
              <w:tabs>
                <w:tab w:val="left" w:pos="720"/>
              </w:tabs>
              <w:spacing w:line="259" w:lineRule="auto"/>
              <w:ind w:left="85"/>
              <w:rPr>
                <w:rFonts w:asciiTheme="majorHAnsi" w:hAnsiTheme="majorHAnsi" w:cstheme="majorHAnsi"/>
                <w:szCs w:val="18"/>
              </w:rPr>
            </w:pPr>
            <w:r w:rsidRPr="006E65D8">
              <w:rPr>
                <w:rFonts w:asciiTheme="majorHAnsi" w:hAnsiTheme="majorHAnsi" w:cstheme="majorHAnsi"/>
                <w:szCs w:val="18"/>
              </w:rPr>
              <w:t xml:space="preserve">As the auction product will not be a firm product, the following additional measures will be available to </w:t>
            </w:r>
            <w:r w:rsidR="003472C8" w:rsidRPr="006E65D8">
              <w:rPr>
                <w:rFonts w:asciiTheme="majorHAnsi" w:hAnsiTheme="majorHAnsi" w:cstheme="majorHAnsi"/>
                <w:szCs w:val="18"/>
              </w:rPr>
              <w:t>mitigate</w:t>
            </w:r>
            <w:r w:rsidRPr="006E65D8">
              <w:rPr>
                <w:rFonts w:asciiTheme="majorHAnsi" w:hAnsiTheme="majorHAnsi" w:cstheme="majorHAnsi"/>
                <w:szCs w:val="18"/>
              </w:rPr>
              <w:t xml:space="preserve"> the risk of curtailment, which could occur as a result of renominations by firm capacity holders</w:t>
            </w:r>
            <w:r w:rsidR="00A90607" w:rsidRPr="006E65D8">
              <w:rPr>
                <w:rFonts w:asciiTheme="majorHAnsi" w:hAnsiTheme="majorHAnsi" w:cstheme="majorHAnsi"/>
                <w:szCs w:val="18"/>
              </w:rPr>
              <w:t>,</w:t>
            </w:r>
            <w:r w:rsidRPr="006E65D8">
              <w:rPr>
                <w:rFonts w:asciiTheme="majorHAnsi" w:hAnsiTheme="majorHAnsi" w:cstheme="majorHAnsi"/>
                <w:szCs w:val="18"/>
              </w:rPr>
              <w:t xml:space="preserve"> or more general technical or operational constraints:</w:t>
            </w:r>
          </w:p>
          <w:p w14:paraId="372DD14A" w14:textId="77777777" w:rsidR="00C50443" w:rsidRPr="006E65D8" w:rsidRDefault="00C50443" w:rsidP="00C50443">
            <w:pPr>
              <w:pStyle w:val="TableBullet1"/>
              <w:keepNext/>
              <w:numPr>
                <w:ilvl w:val="0"/>
                <w:numId w:val="27"/>
              </w:numPr>
              <w:spacing w:line="259" w:lineRule="auto"/>
              <w:rPr>
                <w:rFonts w:asciiTheme="majorHAnsi" w:hAnsiTheme="majorHAnsi" w:cstheme="majorHAnsi"/>
                <w:szCs w:val="18"/>
              </w:rPr>
            </w:pPr>
            <w:r w:rsidRPr="006E65D8">
              <w:rPr>
                <w:rFonts w:asciiTheme="majorHAnsi" w:hAnsiTheme="majorHAnsi" w:cstheme="majorHAnsi"/>
                <w:szCs w:val="18"/>
              </w:rPr>
              <w:t>All auction participants will be able to choose whether they are only curtailed on that product or curtailed across all products included in the winning bid (to operationalise this option, shippers will renominate down on the other products).</w:t>
            </w:r>
          </w:p>
          <w:p w14:paraId="73C2CD29" w14:textId="77777777" w:rsidR="00C50443" w:rsidRPr="006E65D8" w:rsidRDefault="00C50443" w:rsidP="00C50443">
            <w:pPr>
              <w:pStyle w:val="TableBullet1"/>
              <w:keepNext/>
              <w:numPr>
                <w:ilvl w:val="0"/>
                <w:numId w:val="27"/>
              </w:numPr>
              <w:spacing w:line="259" w:lineRule="auto"/>
              <w:rPr>
                <w:rFonts w:asciiTheme="majorHAnsi" w:hAnsiTheme="majorHAnsi" w:cstheme="majorHAnsi"/>
                <w:szCs w:val="18"/>
              </w:rPr>
            </w:pPr>
            <w:r w:rsidRPr="006E65D8">
              <w:rPr>
                <w:rFonts w:asciiTheme="majorHAnsi" w:hAnsiTheme="majorHAnsi" w:cstheme="majorHAnsi"/>
                <w:szCs w:val="18"/>
              </w:rPr>
              <w:t>If curtailment is required, it will occur on a pro-rata basis across auction capacity users and auction participants will not be required to pay for the curtailed capacity or the capacity that has been renominated down on other products.</w:t>
            </w:r>
            <w:r w:rsidRPr="006E65D8">
              <w:rPr>
                <w:rStyle w:val="FootnoteReference"/>
                <w:rFonts w:asciiTheme="majorHAnsi" w:hAnsiTheme="majorHAnsi" w:cstheme="majorHAnsi"/>
                <w:szCs w:val="18"/>
              </w:rPr>
              <w:t xml:space="preserve"> </w:t>
            </w:r>
          </w:p>
          <w:p w14:paraId="13459077" w14:textId="77777777" w:rsidR="00C50443" w:rsidRPr="006E65D8" w:rsidRDefault="00C50443" w:rsidP="00C50443">
            <w:pPr>
              <w:pStyle w:val="TableBullet1"/>
              <w:keepNext/>
              <w:numPr>
                <w:ilvl w:val="0"/>
                <w:numId w:val="0"/>
              </w:numPr>
              <w:spacing w:line="259" w:lineRule="auto"/>
              <w:ind w:left="85"/>
              <w:rPr>
                <w:rFonts w:asciiTheme="majorHAnsi" w:hAnsiTheme="majorHAnsi" w:cstheme="majorHAnsi"/>
                <w:szCs w:val="18"/>
              </w:rPr>
            </w:pPr>
            <w:r w:rsidRPr="006E65D8">
              <w:rPr>
                <w:rFonts w:asciiTheme="majorHAnsi" w:hAnsiTheme="majorHAnsi" w:cstheme="majorHAnsi"/>
                <w:szCs w:val="18"/>
              </w:rPr>
              <w:t xml:space="preserve">Auction participants will also be able to try and avoid curtailment by procuring uncontracted capacity from the </w:t>
            </w:r>
            <w:r w:rsidR="00DA16AB" w:rsidRPr="006E65D8">
              <w:rPr>
                <w:rFonts w:asciiTheme="majorHAnsi" w:hAnsiTheme="majorHAnsi" w:cstheme="majorHAnsi"/>
                <w:szCs w:val="18"/>
              </w:rPr>
              <w:t xml:space="preserve">transportation </w:t>
            </w:r>
            <w:r w:rsidRPr="006E65D8">
              <w:rPr>
                <w:rFonts w:asciiTheme="majorHAnsi" w:hAnsiTheme="majorHAnsi" w:cstheme="majorHAnsi"/>
                <w:szCs w:val="18"/>
              </w:rPr>
              <w:t xml:space="preserve">service provider of the asset that is experiencing the curtailment if such capacity is available, but this will be a matter for negotiation. </w:t>
            </w:r>
          </w:p>
        </w:tc>
      </w:tr>
      <w:tr w:rsidR="00C50443" w:rsidRPr="007116E6" w14:paraId="1060A5F9" w14:textId="77777777" w:rsidTr="006E65D8">
        <w:trPr>
          <w:trHeight w:val="237"/>
        </w:trPr>
        <w:tc>
          <w:tcPr>
            <w:tcW w:w="1844" w:type="dxa"/>
            <w:gridSpan w:val="2"/>
            <w:shd w:val="clear" w:color="auto" w:fill="FFFFFF" w:themeFill="background1"/>
          </w:tcPr>
          <w:p w14:paraId="68D0BB45" w14:textId="77777777" w:rsidR="00C50443" w:rsidRPr="001C7A93" w:rsidRDefault="00C50443" w:rsidP="001C7A93">
            <w:pPr>
              <w:pStyle w:val="BodyText"/>
              <w:spacing w:before="40" w:after="40" w:line="259" w:lineRule="auto"/>
              <w:rPr>
                <w:rFonts w:asciiTheme="majorHAnsi" w:hAnsiTheme="majorHAnsi" w:cstheme="majorHAnsi"/>
                <w:b/>
                <w:sz w:val="17"/>
                <w:szCs w:val="17"/>
              </w:rPr>
            </w:pPr>
            <w:r w:rsidRPr="001C7A93">
              <w:rPr>
                <w:rFonts w:asciiTheme="majorHAnsi" w:hAnsiTheme="majorHAnsi" w:cstheme="majorHAnsi"/>
                <w:b/>
                <w:sz w:val="17"/>
                <w:szCs w:val="17"/>
              </w:rPr>
              <w:t>Auction facility operator obligations</w:t>
            </w:r>
            <w:r w:rsidR="00AA51A6" w:rsidRPr="001C7A93">
              <w:rPr>
                <w:rFonts w:asciiTheme="majorHAnsi" w:hAnsiTheme="majorHAnsi" w:cstheme="majorHAnsi"/>
                <w:b/>
                <w:sz w:val="17"/>
                <w:szCs w:val="17"/>
              </w:rPr>
              <w:t xml:space="preserve"> in relation to the auction</w:t>
            </w:r>
          </w:p>
        </w:tc>
        <w:tc>
          <w:tcPr>
            <w:tcW w:w="12615" w:type="dxa"/>
            <w:shd w:val="clear" w:color="auto" w:fill="FFFFFF" w:themeFill="background1"/>
          </w:tcPr>
          <w:p w14:paraId="2AAD3F14" w14:textId="77777777" w:rsidR="00AA51A6" w:rsidRPr="001C7A93" w:rsidRDefault="00AA51A6" w:rsidP="001C7A93">
            <w:pPr>
              <w:pStyle w:val="TableBullet1"/>
              <w:numPr>
                <w:ilvl w:val="0"/>
                <w:numId w:val="0"/>
              </w:numPr>
              <w:tabs>
                <w:tab w:val="left" w:pos="720"/>
              </w:tabs>
              <w:spacing w:before="40" w:after="40" w:line="259" w:lineRule="auto"/>
              <w:ind w:left="85"/>
              <w:rPr>
                <w:rFonts w:asciiTheme="majorHAnsi" w:hAnsiTheme="majorHAnsi" w:cstheme="majorHAnsi"/>
                <w:sz w:val="17"/>
                <w:szCs w:val="17"/>
              </w:rPr>
            </w:pPr>
            <w:r w:rsidRPr="001C7A93">
              <w:rPr>
                <w:rFonts w:asciiTheme="majorHAnsi" w:hAnsiTheme="majorHAnsi" w:cstheme="majorHAnsi"/>
                <w:sz w:val="17"/>
                <w:szCs w:val="17"/>
              </w:rPr>
              <w:t xml:space="preserve">Auction facility operators </w:t>
            </w:r>
            <w:r w:rsidR="001C7A93" w:rsidRPr="001C7A93">
              <w:rPr>
                <w:rFonts w:asciiTheme="majorHAnsi" w:hAnsiTheme="majorHAnsi" w:cstheme="majorHAnsi"/>
                <w:sz w:val="17"/>
                <w:szCs w:val="17"/>
              </w:rPr>
              <w:t>are required by the NGR to</w:t>
            </w:r>
            <w:r w:rsidRPr="001C7A93">
              <w:rPr>
                <w:rFonts w:asciiTheme="majorHAnsi" w:hAnsiTheme="majorHAnsi" w:cstheme="majorHAnsi"/>
                <w:sz w:val="17"/>
                <w:szCs w:val="17"/>
              </w:rPr>
              <w:t>:</w:t>
            </w:r>
          </w:p>
          <w:p w14:paraId="5359A327" w14:textId="77777777" w:rsidR="00AA51A6" w:rsidRPr="001C7A93" w:rsidRDefault="00A90607" w:rsidP="001C7A93">
            <w:pPr>
              <w:pStyle w:val="TableBullet1"/>
              <w:spacing w:before="40" w:after="40"/>
            </w:pPr>
            <w:r>
              <w:t>D</w:t>
            </w:r>
            <w:r w:rsidR="00AA51A6" w:rsidRPr="001C7A93">
              <w:t>etermine and update the auction quantity limits for each gas day in accordance with the CT&amp;A Procedures and provide the auction quantity limits and any update to AEMO at the time required by the procedures</w:t>
            </w:r>
            <w:r>
              <w:t>.</w:t>
            </w:r>
            <w:r w:rsidR="00AA51A6" w:rsidRPr="001C7A93">
              <w:rPr>
                <w:rStyle w:val="FootnoteReference"/>
                <w:rFonts w:asciiTheme="majorHAnsi" w:hAnsiTheme="majorHAnsi" w:cstheme="majorHAnsi"/>
                <w:sz w:val="17"/>
                <w:szCs w:val="17"/>
              </w:rPr>
              <w:footnoteReference w:id="276"/>
            </w:r>
            <w:r w:rsidR="00AA51A6" w:rsidRPr="001C7A93">
              <w:t xml:space="preserve"> </w:t>
            </w:r>
          </w:p>
          <w:p w14:paraId="30D4F48C" w14:textId="77777777" w:rsidR="001C7A93" w:rsidRPr="001C7A93" w:rsidRDefault="00A90607" w:rsidP="001C7A93">
            <w:pPr>
              <w:pStyle w:val="TableBullet1"/>
              <w:spacing w:before="40" w:after="40"/>
            </w:pPr>
            <w:r>
              <w:t>P</w:t>
            </w:r>
            <w:r w:rsidR="001C7A93" w:rsidRPr="001C7A93">
              <w:t>rovide AEMO with information about whether any service has been classified as a transitional firm service and keep that information up to date</w:t>
            </w:r>
            <w:r>
              <w:t>.</w:t>
            </w:r>
            <w:r w:rsidR="001C7A93" w:rsidRPr="001C7A93">
              <w:rPr>
                <w:rStyle w:val="FootnoteReference"/>
              </w:rPr>
              <w:footnoteReference w:id="277"/>
            </w:r>
          </w:p>
          <w:p w14:paraId="74B66F7B" w14:textId="77777777" w:rsidR="001C7A93" w:rsidRPr="001C7A93" w:rsidRDefault="00A90607" w:rsidP="001C7A93">
            <w:pPr>
              <w:pStyle w:val="TableBullet1"/>
              <w:spacing w:before="40" w:after="40"/>
            </w:pPr>
            <w:r>
              <w:t>P</w:t>
            </w:r>
            <w:r w:rsidR="001C7A93" w:rsidRPr="001C7A93">
              <w:t>rovide AEMO with information each gas day on the transitional firm quantity used in the calculation of the auction quantity limits for the gas day (aggregated by service point) and the service points to which it relates</w:t>
            </w:r>
            <w:r>
              <w:t>.</w:t>
            </w:r>
            <w:r w:rsidR="001C7A93" w:rsidRPr="001C7A93">
              <w:rPr>
                <w:rStyle w:val="FootnoteReference"/>
                <w:sz w:val="17"/>
                <w:szCs w:val="17"/>
              </w:rPr>
              <w:footnoteReference w:id="278"/>
            </w:r>
          </w:p>
          <w:p w14:paraId="15DFAC9C" w14:textId="77777777" w:rsidR="001C7A93" w:rsidRPr="001C7A93" w:rsidRDefault="00A90607" w:rsidP="001C7A93">
            <w:pPr>
              <w:pStyle w:val="TableBullet1"/>
              <w:spacing w:before="40" w:after="40"/>
            </w:pPr>
            <w:r>
              <w:t>P</w:t>
            </w:r>
            <w:r w:rsidR="001C7A93" w:rsidRPr="001C7A93">
              <w:t>rovide AEMO with information on when an intra-day curtailment of auctioned capacity occurs, why the curtailment has occurred (e.g. due to a renomination or a general curtailment event) and whether it is a material curtailment (i.e. more than 10% of the auctioned capacity has been curtailed) - if the reason for the curtailment or extent of the curtailment changes through the day, this information will need to be updated</w:t>
            </w:r>
            <w:r>
              <w:t>.</w:t>
            </w:r>
            <w:r w:rsidR="001C7A93" w:rsidRPr="001C7A93">
              <w:rPr>
                <w:rStyle w:val="FootnoteReference"/>
                <w:rFonts w:asciiTheme="majorHAnsi" w:hAnsiTheme="majorHAnsi" w:cstheme="majorHAnsi"/>
                <w:sz w:val="17"/>
                <w:szCs w:val="17"/>
              </w:rPr>
              <w:footnoteReference w:id="279"/>
            </w:r>
            <w:r w:rsidR="001C7A93" w:rsidRPr="001C7A93">
              <w:t xml:space="preserve"> </w:t>
            </w:r>
          </w:p>
          <w:p w14:paraId="40ED97F1" w14:textId="77777777" w:rsidR="00AA51A6" w:rsidRPr="001C7A93" w:rsidRDefault="00A90607" w:rsidP="001C7A93">
            <w:pPr>
              <w:pStyle w:val="TableBullet1"/>
              <w:spacing w:before="40" w:after="40"/>
            </w:pPr>
            <w:r>
              <w:t>P</w:t>
            </w:r>
            <w:r w:rsidR="00AA51A6" w:rsidRPr="001C7A93">
              <w:t>rovide AEMO with information about nominations, scheduling and curtailment for each gas day to enable AEMO to determine the amounts payable by or to auction participants, AEMO or facility operators (settlement information) and provide revised settlement information in accordance with the CT&amp;A Procedures or if the settlement information contains an error or discrepancy</w:t>
            </w:r>
            <w:r>
              <w:t>.</w:t>
            </w:r>
            <w:r w:rsidR="00AA51A6" w:rsidRPr="001C7A93">
              <w:rPr>
                <w:rStyle w:val="FootnoteReference"/>
                <w:rFonts w:asciiTheme="majorHAnsi" w:hAnsiTheme="majorHAnsi" w:cstheme="majorHAnsi"/>
                <w:sz w:val="17"/>
                <w:szCs w:val="17"/>
              </w:rPr>
              <w:footnoteReference w:id="280"/>
            </w:r>
            <w:r w:rsidR="00AA51A6" w:rsidRPr="001C7A93">
              <w:t xml:space="preserve"> </w:t>
            </w:r>
          </w:p>
          <w:p w14:paraId="75EAC606" w14:textId="77777777" w:rsidR="00AA51A6" w:rsidRPr="001C7A93" w:rsidRDefault="00A90607" w:rsidP="001C7A93">
            <w:pPr>
              <w:pStyle w:val="TableBullet1"/>
              <w:spacing w:before="40" w:after="40"/>
            </w:pPr>
            <w:r>
              <w:t>P</w:t>
            </w:r>
            <w:r w:rsidR="00AA51A6" w:rsidRPr="001C7A93">
              <w:t>rovide AEMO with any other information specified in the CT&amp;A Procedures</w:t>
            </w:r>
            <w:r>
              <w:t>.</w:t>
            </w:r>
            <w:r w:rsidR="001C7A93" w:rsidRPr="001C7A93">
              <w:rPr>
                <w:rStyle w:val="FootnoteReference"/>
              </w:rPr>
              <w:footnoteReference w:id="281"/>
            </w:r>
          </w:p>
          <w:p w14:paraId="4ABBCD57" w14:textId="77777777" w:rsidR="00C50443" w:rsidRPr="001C7A93" w:rsidRDefault="00C50443" w:rsidP="001C7A93">
            <w:pPr>
              <w:pStyle w:val="TableBullet1"/>
              <w:numPr>
                <w:ilvl w:val="0"/>
                <w:numId w:val="0"/>
              </w:numPr>
              <w:tabs>
                <w:tab w:val="left" w:pos="720"/>
              </w:tabs>
              <w:spacing w:before="40" w:after="40" w:line="259" w:lineRule="auto"/>
              <w:ind w:left="85"/>
              <w:rPr>
                <w:rFonts w:asciiTheme="majorHAnsi" w:hAnsiTheme="majorHAnsi" w:cstheme="majorHAnsi"/>
                <w:sz w:val="17"/>
                <w:szCs w:val="17"/>
              </w:rPr>
            </w:pPr>
            <w:r w:rsidRPr="001C7A93">
              <w:rPr>
                <w:rFonts w:asciiTheme="majorHAnsi" w:hAnsiTheme="majorHAnsi" w:cstheme="majorHAnsi"/>
                <w:sz w:val="17"/>
                <w:szCs w:val="17"/>
              </w:rPr>
              <w:t xml:space="preserve">This information must be provided in accordance with the </w:t>
            </w:r>
            <w:r w:rsidR="001C7A93" w:rsidRPr="001C7A93">
              <w:rPr>
                <w:rFonts w:asciiTheme="majorHAnsi" w:hAnsiTheme="majorHAnsi" w:cstheme="majorHAnsi"/>
                <w:sz w:val="17"/>
                <w:szCs w:val="17"/>
              </w:rPr>
              <w:t xml:space="preserve">NGL, the NGR, the </w:t>
            </w:r>
            <w:r w:rsidRPr="001C7A93">
              <w:rPr>
                <w:rFonts w:asciiTheme="majorHAnsi" w:hAnsiTheme="majorHAnsi" w:cstheme="majorHAnsi"/>
                <w:sz w:val="17"/>
                <w:szCs w:val="17"/>
              </w:rPr>
              <w:t>CT&amp;A Procedures and Part 24 Information Standard.</w:t>
            </w:r>
            <w:r w:rsidRPr="001C7A93">
              <w:rPr>
                <w:rStyle w:val="FootnoteReference"/>
                <w:rFonts w:asciiTheme="majorHAnsi" w:hAnsiTheme="majorHAnsi" w:cstheme="majorHAnsi"/>
                <w:sz w:val="17"/>
                <w:szCs w:val="17"/>
              </w:rPr>
              <w:footnoteReference w:id="282"/>
            </w:r>
            <w:r w:rsidRPr="001C7A93">
              <w:rPr>
                <w:rFonts w:asciiTheme="majorHAnsi" w:hAnsiTheme="majorHAnsi" w:cstheme="majorHAnsi"/>
                <w:sz w:val="17"/>
                <w:szCs w:val="17"/>
                <w:vertAlign w:val="superscript"/>
              </w:rPr>
              <w:t>,</w:t>
            </w:r>
            <w:r w:rsidRPr="001C7A93">
              <w:rPr>
                <w:rStyle w:val="FootnoteReference"/>
                <w:rFonts w:asciiTheme="majorHAnsi" w:hAnsiTheme="majorHAnsi" w:cstheme="majorHAnsi"/>
                <w:sz w:val="17"/>
                <w:szCs w:val="17"/>
              </w:rPr>
              <w:footnoteReference w:id="283"/>
            </w:r>
            <w:r w:rsidR="001C7A93" w:rsidRPr="001C7A93">
              <w:rPr>
                <w:rFonts w:asciiTheme="majorHAnsi" w:hAnsiTheme="majorHAnsi" w:cstheme="majorHAnsi"/>
                <w:sz w:val="17"/>
                <w:szCs w:val="17"/>
                <w:vertAlign w:val="superscript"/>
              </w:rPr>
              <w:t xml:space="preserve"> </w:t>
            </w:r>
          </w:p>
          <w:p w14:paraId="21C15182" w14:textId="77777777" w:rsidR="00C50443" w:rsidRPr="001C7A93" w:rsidRDefault="001C7A93" w:rsidP="001C7A93">
            <w:pPr>
              <w:pStyle w:val="TableBullet1"/>
              <w:numPr>
                <w:ilvl w:val="0"/>
                <w:numId w:val="0"/>
              </w:numPr>
              <w:spacing w:before="40" w:after="40" w:line="259" w:lineRule="auto"/>
              <w:ind w:left="85"/>
              <w:rPr>
                <w:rFonts w:asciiTheme="majorHAnsi" w:hAnsiTheme="majorHAnsi" w:cstheme="majorHAnsi"/>
                <w:sz w:val="17"/>
                <w:szCs w:val="17"/>
              </w:rPr>
            </w:pPr>
            <w:r w:rsidRPr="001C7A93">
              <w:rPr>
                <w:rFonts w:asciiTheme="majorHAnsi" w:hAnsiTheme="majorHAnsi" w:cstheme="majorHAnsi"/>
                <w:sz w:val="17"/>
                <w:szCs w:val="17"/>
              </w:rPr>
              <w:t>Auction facility operators are also required by the NGR to give effect to the results of the auction, unless the auction participant’s nominated service agreement has been terminated</w:t>
            </w:r>
            <w:r w:rsidR="00A90607">
              <w:rPr>
                <w:rFonts w:asciiTheme="majorHAnsi" w:hAnsiTheme="majorHAnsi" w:cstheme="majorHAnsi"/>
                <w:sz w:val="17"/>
                <w:szCs w:val="17"/>
              </w:rPr>
              <w:t>,</w:t>
            </w:r>
            <w:r w:rsidRPr="001C7A93">
              <w:rPr>
                <w:rFonts w:asciiTheme="majorHAnsi" w:hAnsiTheme="majorHAnsi" w:cstheme="majorHAnsi"/>
                <w:sz w:val="17"/>
                <w:szCs w:val="17"/>
              </w:rPr>
              <w:t xml:space="preserve"> or in </w:t>
            </w:r>
            <w:r w:rsidR="00A90607">
              <w:rPr>
                <w:rFonts w:asciiTheme="majorHAnsi" w:hAnsiTheme="majorHAnsi" w:cstheme="majorHAnsi"/>
                <w:sz w:val="17"/>
                <w:szCs w:val="17"/>
              </w:rPr>
              <w:t xml:space="preserve">the </w:t>
            </w:r>
            <w:r w:rsidRPr="001C7A93">
              <w:rPr>
                <w:rFonts w:asciiTheme="majorHAnsi" w:hAnsiTheme="majorHAnsi" w:cstheme="majorHAnsi"/>
                <w:sz w:val="17"/>
                <w:szCs w:val="17"/>
              </w:rPr>
              <w:t>circumstances provided for in the CT&amp;A Procedures.</w:t>
            </w:r>
            <w:r w:rsidRPr="001C7A93">
              <w:rPr>
                <w:rStyle w:val="FootnoteReference"/>
                <w:rFonts w:asciiTheme="majorHAnsi" w:hAnsiTheme="majorHAnsi" w:cstheme="majorHAnsi"/>
                <w:sz w:val="17"/>
                <w:szCs w:val="17"/>
              </w:rPr>
              <w:footnoteReference w:id="284"/>
            </w:r>
          </w:p>
        </w:tc>
      </w:tr>
      <w:tr w:rsidR="00C50443" w:rsidRPr="007116E6" w14:paraId="5B4D09A3" w14:textId="77777777" w:rsidTr="006E65D8">
        <w:trPr>
          <w:cnfStyle w:val="000000010000" w:firstRow="0" w:lastRow="0" w:firstColumn="0" w:lastColumn="0" w:oddVBand="0" w:evenVBand="0" w:oddHBand="0" w:evenHBand="1" w:firstRowFirstColumn="0" w:firstRowLastColumn="0" w:lastRowFirstColumn="0" w:lastRowLastColumn="0"/>
          <w:trHeight w:val="286"/>
        </w:trPr>
        <w:tc>
          <w:tcPr>
            <w:tcW w:w="1844" w:type="dxa"/>
            <w:gridSpan w:val="2"/>
          </w:tcPr>
          <w:p w14:paraId="66CBE858" w14:textId="77777777" w:rsidR="00C50443" w:rsidRPr="007116E6" w:rsidRDefault="00C50443" w:rsidP="00C50443">
            <w:pPr>
              <w:pStyle w:val="BodyText"/>
              <w:keepNext/>
              <w:spacing w:before="60" w:after="60" w:line="259" w:lineRule="auto"/>
              <w:rPr>
                <w:rFonts w:asciiTheme="majorHAnsi" w:hAnsiTheme="majorHAnsi" w:cstheme="majorHAnsi"/>
                <w:b/>
                <w:szCs w:val="18"/>
              </w:rPr>
            </w:pPr>
            <w:r w:rsidRPr="007116E6">
              <w:rPr>
                <w:rFonts w:asciiTheme="majorHAnsi" w:hAnsiTheme="majorHAnsi" w:cstheme="majorHAnsi"/>
                <w:b/>
                <w:szCs w:val="18"/>
              </w:rPr>
              <w:lastRenderedPageBreak/>
              <w:t xml:space="preserve">Information to be published </w:t>
            </w:r>
            <w:r>
              <w:rPr>
                <w:rFonts w:asciiTheme="majorHAnsi" w:hAnsiTheme="majorHAnsi" w:cstheme="majorHAnsi"/>
                <w:b/>
                <w:szCs w:val="18"/>
              </w:rPr>
              <w:t>by AEMO</w:t>
            </w:r>
          </w:p>
        </w:tc>
        <w:tc>
          <w:tcPr>
            <w:tcW w:w="12615" w:type="dxa"/>
          </w:tcPr>
          <w:p w14:paraId="379D5C39" w14:textId="77777777" w:rsidR="00C50443" w:rsidRPr="007116E6" w:rsidRDefault="00C50443" w:rsidP="00C50443">
            <w:pPr>
              <w:pStyle w:val="TableBodyText"/>
              <w:keepNext/>
              <w:spacing w:line="259" w:lineRule="auto"/>
              <w:rPr>
                <w:rFonts w:asciiTheme="majorHAnsi" w:hAnsiTheme="majorHAnsi" w:cstheme="majorHAnsi"/>
                <w:szCs w:val="18"/>
              </w:rPr>
            </w:pPr>
            <w:r w:rsidRPr="007116E6">
              <w:rPr>
                <w:rFonts w:asciiTheme="majorHAnsi" w:hAnsiTheme="majorHAnsi" w:cstheme="majorHAnsi"/>
                <w:szCs w:val="18"/>
              </w:rPr>
              <w:t xml:space="preserve">AEMO must publish a range of information pre- and post-auction on the </w:t>
            </w:r>
            <w:r w:rsidR="00A90607">
              <w:rPr>
                <w:rFonts w:asciiTheme="majorHAnsi" w:hAnsiTheme="majorHAnsi" w:cstheme="majorHAnsi"/>
                <w:szCs w:val="18"/>
              </w:rPr>
              <w:t>Bulletin Board</w:t>
            </w:r>
            <w:r w:rsidRPr="007116E6">
              <w:rPr>
                <w:rFonts w:asciiTheme="majorHAnsi" w:hAnsiTheme="majorHAnsi" w:cstheme="majorHAnsi"/>
                <w:szCs w:val="18"/>
              </w:rPr>
              <w:t xml:space="preserve">, which will be set out in the </w:t>
            </w:r>
            <w:r>
              <w:rPr>
                <w:rFonts w:asciiTheme="majorHAnsi" w:hAnsiTheme="majorHAnsi" w:cstheme="majorHAnsi"/>
                <w:szCs w:val="18"/>
              </w:rPr>
              <w:t>CT&amp;A Procedures</w:t>
            </w:r>
            <w:r w:rsidRPr="007116E6">
              <w:rPr>
                <w:rFonts w:asciiTheme="majorHAnsi" w:hAnsiTheme="majorHAnsi" w:cstheme="majorHAnsi"/>
                <w:szCs w:val="18"/>
              </w:rPr>
              <w:t>.</w:t>
            </w:r>
            <w:r w:rsidRPr="007116E6">
              <w:rPr>
                <w:rStyle w:val="FootnoteReference"/>
                <w:rFonts w:asciiTheme="majorHAnsi" w:hAnsiTheme="majorHAnsi" w:cstheme="majorHAnsi"/>
                <w:szCs w:val="18"/>
              </w:rPr>
              <w:footnoteReference w:id="285"/>
            </w:r>
            <w:r w:rsidRPr="007116E6">
              <w:rPr>
                <w:rFonts w:asciiTheme="majorHAnsi" w:hAnsiTheme="majorHAnsi" w:cstheme="majorHAnsi"/>
                <w:szCs w:val="18"/>
              </w:rPr>
              <w:t xml:space="preserve"> This is expected to include information on: </w:t>
            </w:r>
          </w:p>
          <w:p w14:paraId="2AE7D1E5" w14:textId="77777777" w:rsidR="00C50443" w:rsidRPr="007116E6" w:rsidRDefault="00C50443" w:rsidP="00C50443">
            <w:pPr>
              <w:pStyle w:val="TableBullet1"/>
              <w:keepNext/>
              <w:numPr>
                <w:ilvl w:val="0"/>
                <w:numId w:val="27"/>
              </w:numPr>
              <w:spacing w:line="259" w:lineRule="auto"/>
              <w:rPr>
                <w:rFonts w:asciiTheme="majorHAnsi" w:hAnsiTheme="majorHAnsi" w:cstheme="majorHAnsi"/>
                <w:szCs w:val="18"/>
              </w:rPr>
            </w:pPr>
            <w:r w:rsidRPr="007116E6">
              <w:rPr>
                <w:rFonts w:asciiTheme="majorHAnsi" w:hAnsiTheme="majorHAnsi" w:cstheme="majorHAnsi"/>
                <w:szCs w:val="18"/>
              </w:rPr>
              <w:t xml:space="preserve">the products that will be available in the auction and the auction quantities prior to the auction being conducted (the NGR allow AEMO to implement measures to ensure the publication of information does not directly or indirectly disclose a nomination made by a market generating unit); </w:t>
            </w:r>
          </w:p>
          <w:p w14:paraId="1A6C1A35" w14:textId="77777777" w:rsidR="00C50443" w:rsidRPr="007116E6" w:rsidRDefault="00C50443" w:rsidP="00C50443">
            <w:pPr>
              <w:pStyle w:val="TableBullet1"/>
              <w:keepNext/>
              <w:numPr>
                <w:ilvl w:val="0"/>
                <w:numId w:val="27"/>
              </w:numPr>
              <w:spacing w:line="259" w:lineRule="auto"/>
              <w:rPr>
                <w:rFonts w:asciiTheme="majorHAnsi" w:hAnsiTheme="majorHAnsi" w:cstheme="majorHAnsi"/>
                <w:szCs w:val="18"/>
              </w:rPr>
            </w:pPr>
            <w:r w:rsidRPr="007116E6">
              <w:rPr>
                <w:rFonts w:asciiTheme="majorHAnsi" w:hAnsiTheme="majorHAnsi" w:cstheme="majorHAnsi"/>
                <w:szCs w:val="18"/>
              </w:rPr>
              <w:t xml:space="preserve">the results of the auction (e.g. clearing prices, price sensitivities, quantities of auction capacity allocated and, where relevant, the amount of auctioned capacity that has been curtailed), which, until sufficient liquidity develops in this market, will not include the bid stack; </w:t>
            </w:r>
          </w:p>
          <w:p w14:paraId="403618D4" w14:textId="77777777" w:rsidR="001C7A93" w:rsidRDefault="00C50443" w:rsidP="00C50443">
            <w:pPr>
              <w:pStyle w:val="TableBullet1"/>
              <w:keepNext/>
              <w:numPr>
                <w:ilvl w:val="0"/>
                <w:numId w:val="27"/>
              </w:numPr>
              <w:spacing w:line="259" w:lineRule="auto"/>
              <w:rPr>
                <w:rFonts w:asciiTheme="majorHAnsi" w:hAnsiTheme="majorHAnsi" w:cstheme="majorHAnsi"/>
                <w:szCs w:val="18"/>
              </w:rPr>
            </w:pPr>
            <w:r w:rsidRPr="007116E6">
              <w:rPr>
                <w:rFonts w:asciiTheme="majorHAnsi" w:hAnsiTheme="majorHAnsi" w:cstheme="majorHAnsi"/>
                <w:szCs w:val="18"/>
              </w:rPr>
              <w:t>whether a facility has classified any transitional firm services and the amount of transitional firm services taken into account in the calculation of the auction quantity limits, which will be published after the gas day</w:t>
            </w:r>
            <w:r w:rsidR="001C7A93">
              <w:rPr>
                <w:rFonts w:asciiTheme="majorHAnsi" w:hAnsiTheme="majorHAnsi" w:cstheme="majorHAnsi"/>
                <w:szCs w:val="18"/>
              </w:rPr>
              <w:t>; and</w:t>
            </w:r>
          </w:p>
          <w:p w14:paraId="766351FB" w14:textId="77777777" w:rsidR="00C50443" w:rsidRPr="006E4546" w:rsidRDefault="001C7A93" w:rsidP="00C50443">
            <w:pPr>
              <w:pStyle w:val="TableBullet1"/>
              <w:keepNext/>
              <w:numPr>
                <w:ilvl w:val="0"/>
                <w:numId w:val="27"/>
              </w:numPr>
              <w:spacing w:line="259" w:lineRule="auto"/>
              <w:rPr>
                <w:rFonts w:asciiTheme="majorHAnsi" w:hAnsiTheme="majorHAnsi" w:cstheme="majorHAnsi"/>
                <w:szCs w:val="18"/>
              </w:rPr>
            </w:pPr>
            <w:r>
              <w:rPr>
                <w:rFonts w:asciiTheme="majorHAnsi" w:hAnsiTheme="majorHAnsi" w:cstheme="majorHAnsi"/>
                <w:szCs w:val="18"/>
              </w:rPr>
              <w:t>any auction service curtailments that occur during the gas day, which auction facility operators will need to report to AEMO</w:t>
            </w:r>
            <w:r w:rsidR="00C50443" w:rsidRPr="007116E6">
              <w:rPr>
                <w:rFonts w:asciiTheme="majorHAnsi" w:hAnsiTheme="majorHAnsi" w:cstheme="majorHAnsi"/>
                <w:szCs w:val="18"/>
              </w:rPr>
              <w:t xml:space="preserve"> </w:t>
            </w:r>
            <w:r>
              <w:rPr>
                <w:rFonts w:asciiTheme="majorHAnsi" w:hAnsiTheme="majorHAnsi" w:cstheme="majorHAnsi"/>
                <w:szCs w:val="18"/>
              </w:rPr>
              <w:t>along with information on the service affected, the cause of the curtailment and whether the curtailment is material.</w:t>
            </w:r>
          </w:p>
        </w:tc>
      </w:tr>
      <w:tr w:rsidR="00C50443" w:rsidRPr="007116E6" w14:paraId="5C3B80F6" w14:textId="77777777" w:rsidTr="006E65D8">
        <w:trPr>
          <w:trHeight w:val="1150"/>
        </w:trPr>
        <w:tc>
          <w:tcPr>
            <w:tcW w:w="1844" w:type="dxa"/>
            <w:gridSpan w:val="2"/>
            <w:shd w:val="clear" w:color="auto" w:fill="FFFFFF" w:themeFill="background1"/>
            <w:hideMark/>
          </w:tcPr>
          <w:p w14:paraId="35778B01" w14:textId="77777777" w:rsidR="00C50443" w:rsidRPr="007116E6" w:rsidRDefault="00C50443" w:rsidP="00C50443">
            <w:pPr>
              <w:pStyle w:val="BodyText"/>
              <w:keepNext/>
              <w:spacing w:before="60" w:after="60" w:line="259" w:lineRule="auto"/>
              <w:rPr>
                <w:rFonts w:asciiTheme="majorHAnsi" w:hAnsiTheme="majorHAnsi" w:cstheme="majorHAnsi"/>
                <w:b/>
                <w:szCs w:val="18"/>
              </w:rPr>
            </w:pPr>
            <w:r w:rsidRPr="007116E6">
              <w:rPr>
                <w:rFonts w:asciiTheme="majorHAnsi" w:hAnsiTheme="majorHAnsi" w:cstheme="majorHAnsi"/>
                <w:b/>
                <w:szCs w:val="18"/>
              </w:rPr>
              <w:t xml:space="preserve">Market conduct </w:t>
            </w:r>
          </w:p>
        </w:tc>
        <w:tc>
          <w:tcPr>
            <w:tcW w:w="12615" w:type="dxa"/>
            <w:shd w:val="clear" w:color="auto" w:fill="FFFFFF" w:themeFill="background1"/>
          </w:tcPr>
          <w:p w14:paraId="461C8891" w14:textId="77777777" w:rsidR="00C50443" w:rsidRPr="007116E6" w:rsidRDefault="00C50443" w:rsidP="00C50443">
            <w:pPr>
              <w:pStyle w:val="TableBullet1"/>
              <w:keepNext/>
              <w:spacing w:line="259" w:lineRule="auto"/>
              <w:rPr>
                <w:rFonts w:asciiTheme="majorHAnsi" w:hAnsiTheme="majorHAnsi" w:cstheme="majorHAnsi"/>
                <w:szCs w:val="18"/>
              </w:rPr>
            </w:pPr>
            <w:r w:rsidRPr="00DA662D">
              <w:rPr>
                <w:rFonts w:asciiTheme="majorHAnsi" w:hAnsiTheme="majorHAnsi" w:cstheme="majorHAnsi"/>
                <w:b/>
                <w:szCs w:val="18"/>
                <w:lang w:eastAsia="fr-CA"/>
              </w:rPr>
              <w:t>Auction participants</w:t>
            </w:r>
            <w:r w:rsidRPr="007116E6">
              <w:rPr>
                <w:rFonts w:asciiTheme="majorHAnsi" w:hAnsiTheme="majorHAnsi" w:cstheme="majorHAnsi"/>
                <w:szCs w:val="18"/>
                <w:lang w:eastAsia="fr-CA"/>
              </w:rPr>
              <w:t xml:space="preserve"> are required to comply with similar general conduct requirements (e.g. not to act fraudulently, dishonestly or in bad faith)</w:t>
            </w:r>
            <w:r w:rsidRPr="007116E6">
              <w:rPr>
                <w:rStyle w:val="FootnoteReference"/>
                <w:rFonts w:asciiTheme="majorHAnsi" w:hAnsiTheme="majorHAnsi" w:cstheme="majorHAnsi"/>
                <w:szCs w:val="18"/>
                <w:lang w:eastAsia="fr-CA"/>
              </w:rPr>
              <w:t xml:space="preserve"> </w:t>
            </w:r>
            <w:r w:rsidRPr="007116E6">
              <w:rPr>
                <w:rStyle w:val="FootnoteReference"/>
                <w:rFonts w:asciiTheme="majorHAnsi" w:hAnsiTheme="majorHAnsi" w:cstheme="majorHAnsi"/>
                <w:szCs w:val="18"/>
                <w:lang w:eastAsia="fr-CA"/>
              </w:rPr>
              <w:footnoteReference w:id="286"/>
            </w:r>
            <w:r w:rsidRPr="007116E6">
              <w:rPr>
                <w:rFonts w:asciiTheme="majorHAnsi" w:hAnsiTheme="majorHAnsi" w:cstheme="majorHAnsi"/>
                <w:szCs w:val="18"/>
                <w:lang w:eastAsia="fr-CA"/>
              </w:rPr>
              <w:t xml:space="preserve"> and market conduct rules (e.g. an auction participant must not manipulate or attempt to manipulate the auction) to those that apply in the GSH. </w:t>
            </w:r>
            <w:r w:rsidRPr="007116E6">
              <w:rPr>
                <w:rStyle w:val="FootnoteReference"/>
                <w:rFonts w:asciiTheme="majorHAnsi" w:hAnsiTheme="majorHAnsi" w:cstheme="majorHAnsi"/>
                <w:szCs w:val="18"/>
                <w:lang w:eastAsia="fr-CA"/>
              </w:rPr>
              <w:footnoteReference w:id="287"/>
            </w:r>
          </w:p>
          <w:p w14:paraId="4FB00F65" w14:textId="77777777" w:rsidR="00C50443" w:rsidRPr="007116E6" w:rsidRDefault="00C50443" w:rsidP="00C50443">
            <w:pPr>
              <w:pStyle w:val="TableBullet1"/>
              <w:keepNext/>
              <w:spacing w:line="259" w:lineRule="auto"/>
              <w:rPr>
                <w:rFonts w:asciiTheme="majorHAnsi" w:hAnsiTheme="majorHAnsi" w:cstheme="majorHAnsi"/>
                <w:szCs w:val="18"/>
              </w:rPr>
            </w:pPr>
            <w:r w:rsidRPr="00DA662D">
              <w:rPr>
                <w:rFonts w:asciiTheme="majorHAnsi" w:hAnsiTheme="majorHAnsi" w:cstheme="majorHAnsi"/>
                <w:b/>
                <w:szCs w:val="18"/>
              </w:rPr>
              <w:t>Shippers</w:t>
            </w:r>
            <w:r>
              <w:rPr>
                <w:rFonts w:asciiTheme="majorHAnsi" w:hAnsiTheme="majorHAnsi" w:cstheme="majorHAnsi"/>
                <w:szCs w:val="18"/>
              </w:rPr>
              <w:t xml:space="preserve"> using an auction facility </w:t>
            </w:r>
            <w:r w:rsidRPr="007116E6">
              <w:rPr>
                <w:rFonts w:asciiTheme="majorHAnsi" w:hAnsiTheme="majorHAnsi" w:cstheme="majorHAnsi"/>
                <w:szCs w:val="18"/>
              </w:rPr>
              <w:t xml:space="preserve">are prohibited from </w:t>
            </w:r>
            <w:r w:rsidRPr="007116E6">
              <w:rPr>
                <w:rFonts w:asciiTheme="majorHAnsi" w:hAnsiTheme="majorHAnsi" w:cstheme="majorHAnsi"/>
                <w:szCs w:val="18"/>
                <w:lang w:eastAsia="fr-CA"/>
              </w:rPr>
              <w:t>making a nomination or renomination that is false, misleading or likely to mislead.</w:t>
            </w:r>
            <w:r w:rsidRPr="007116E6">
              <w:rPr>
                <w:rStyle w:val="FootnoteReference"/>
                <w:rFonts w:asciiTheme="majorHAnsi" w:hAnsiTheme="majorHAnsi" w:cstheme="majorHAnsi"/>
                <w:szCs w:val="18"/>
                <w:lang w:eastAsia="fr-CA"/>
              </w:rPr>
              <w:footnoteReference w:id="288"/>
            </w:r>
            <w:r w:rsidRPr="007116E6">
              <w:rPr>
                <w:rFonts w:asciiTheme="majorHAnsi" w:hAnsiTheme="majorHAnsi" w:cstheme="majorHAnsi"/>
                <w:szCs w:val="18"/>
                <w:lang w:eastAsia="fr-CA"/>
              </w:rPr>
              <w:t xml:space="preserve"> </w:t>
            </w:r>
          </w:p>
          <w:p w14:paraId="304B8509" w14:textId="77777777" w:rsidR="00C50443" w:rsidRPr="007116E6" w:rsidRDefault="00A90607" w:rsidP="00C50443">
            <w:pPr>
              <w:pStyle w:val="TableBullet1"/>
              <w:keepNext/>
              <w:spacing w:line="259" w:lineRule="auto"/>
              <w:rPr>
                <w:rFonts w:asciiTheme="majorHAnsi" w:hAnsiTheme="majorHAnsi" w:cstheme="majorHAnsi"/>
                <w:szCs w:val="18"/>
              </w:rPr>
            </w:pPr>
            <w:r>
              <w:rPr>
                <w:rFonts w:asciiTheme="majorHAnsi" w:hAnsiTheme="majorHAnsi" w:cstheme="majorHAnsi"/>
                <w:b/>
                <w:szCs w:val="18"/>
              </w:rPr>
              <w:t>Transportation s</w:t>
            </w:r>
            <w:r w:rsidR="00C50443" w:rsidRPr="00DA662D">
              <w:rPr>
                <w:rFonts w:asciiTheme="majorHAnsi" w:hAnsiTheme="majorHAnsi" w:cstheme="majorHAnsi"/>
                <w:b/>
                <w:szCs w:val="18"/>
              </w:rPr>
              <w:t>ervice providers</w:t>
            </w:r>
            <w:r w:rsidR="00C50443" w:rsidRPr="007116E6">
              <w:rPr>
                <w:rFonts w:asciiTheme="majorHAnsi" w:hAnsiTheme="majorHAnsi" w:cstheme="majorHAnsi"/>
                <w:szCs w:val="18"/>
              </w:rPr>
              <w:t xml:space="preserve"> are prohibited from bidding (directly or indirectly) in the auction for capacity on their own facility</w:t>
            </w:r>
            <w:r>
              <w:rPr>
                <w:rFonts w:asciiTheme="majorHAnsi" w:hAnsiTheme="majorHAnsi" w:cstheme="majorHAnsi"/>
                <w:szCs w:val="18"/>
              </w:rPr>
              <w:t>,</w:t>
            </w:r>
            <w:r w:rsidR="00C50443" w:rsidRPr="007116E6">
              <w:rPr>
                <w:rFonts w:asciiTheme="majorHAnsi" w:hAnsiTheme="majorHAnsi" w:cstheme="majorHAnsi"/>
                <w:szCs w:val="18"/>
              </w:rPr>
              <w:t xml:space="preserve"> or engaging in conduct with the intent of distorting or manipulating prices.</w:t>
            </w:r>
            <w:r w:rsidR="00C50443" w:rsidRPr="007116E6">
              <w:rPr>
                <w:rStyle w:val="FootnoteReference"/>
                <w:rFonts w:asciiTheme="majorHAnsi" w:hAnsiTheme="majorHAnsi" w:cstheme="majorHAnsi"/>
                <w:szCs w:val="18"/>
              </w:rPr>
              <w:footnoteReference w:id="289"/>
            </w:r>
          </w:p>
        </w:tc>
      </w:tr>
      <w:tr w:rsidR="00C50443" w:rsidRPr="007116E6" w14:paraId="301B7353" w14:textId="77777777" w:rsidTr="006E65D8">
        <w:trPr>
          <w:cnfStyle w:val="000000010000" w:firstRow="0" w:lastRow="0" w:firstColumn="0" w:lastColumn="0" w:oddVBand="0" w:evenVBand="0" w:oddHBand="0" w:evenHBand="1" w:firstRowFirstColumn="0" w:firstRowLastColumn="0" w:lastRowFirstColumn="0" w:lastRowLastColumn="0"/>
          <w:trHeight w:val="1784"/>
        </w:trPr>
        <w:tc>
          <w:tcPr>
            <w:tcW w:w="1844" w:type="dxa"/>
            <w:gridSpan w:val="2"/>
          </w:tcPr>
          <w:p w14:paraId="71CF3D46" w14:textId="77777777" w:rsidR="00C50443" w:rsidRPr="007116E6" w:rsidRDefault="00C50443" w:rsidP="00C50443">
            <w:pPr>
              <w:pStyle w:val="BodyText"/>
              <w:keepNext/>
              <w:spacing w:before="60" w:after="60" w:line="259" w:lineRule="auto"/>
              <w:rPr>
                <w:rFonts w:asciiTheme="majorHAnsi" w:hAnsiTheme="majorHAnsi" w:cstheme="majorHAnsi"/>
                <w:b/>
                <w:szCs w:val="18"/>
              </w:rPr>
            </w:pPr>
            <w:r w:rsidRPr="007116E6">
              <w:rPr>
                <w:rFonts w:asciiTheme="majorHAnsi" w:hAnsiTheme="majorHAnsi" w:cstheme="majorHAnsi"/>
                <w:b/>
                <w:szCs w:val="18"/>
              </w:rPr>
              <w:t xml:space="preserve">Monitoring of market conduct </w:t>
            </w:r>
          </w:p>
        </w:tc>
        <w:tc>
          <w:tcPr>
            <w:tcW w:w="12615" w:type="dxa"/>
          </w:tcPr>
          <w:p w14:paraId="366E9374" w14:textId="77777777" w:rsidR="00C50443" w:rsidRPr="007116E6" w:rsidRDefault="00C50443" w:rsidP="00C50443">
            <w:pPr>
              <w:pStyle w:val="TableBullet1"/>
              <w:keepNext/>
              <w:numPr>
                <w:ilvl w:val="0"/>
                <w:numId w:val="0"/>
              </w:numPr>
              <w:spacing w:line="259" w:lineRule="auto"/>
              <w:ind w:left="85"/>
              <w:rPr>
                <w:rFonts w:asciiTheme="majorHAnsi" w:hAnsiTheme="majorHAnsi" w:cstheme="majorHAnsi"/>
                <w:szCs w:val="18"/>
              </w:rPr>
            </w:pPr>
            <w:r w:rsidRPr="007116E6">
              <w:rPr>
                <w:rFonts w:asciiTheme="majorHAnsi" w:hAnsiTheme="majorHAnsi" w:cstheme="majorHAnsi"/>
                <w:szCs w:val="18"/>
              </w:rPr>
              <w:t xml:space="preserve">The AER will be responsible for monitoring day-ahead nominations, renominations and activity in the auction to ensure that </w:t>
            </w:r>
            <w:r w:rsidR="00DA16AB">
              <w:rPr>
                <w:rFonts w:asciiTheme="majorHAnsi" w:hAnsiTheme="majorHAnsi" w:cstheme="majorHAnsi"/>
                <w:szCs w:val="18"/>
              </w:rPr>
              <w:t xml:space="preserve">transportation </w:t>
            </w:r>
            <w:r w:rsidRPr="007116E6">
              <w:rPr>
                <w:rFonts w:asciiTheme="majorHAnsi" w:hAnsiTheme="majorHAnsi" w:cstheme="majorHAnsi"/>
                <w:szCs w:val="18"/>
              </w:rPr>
              <w:t>service providers, auction participants and shippers comply with these rules.</w:t>
            </w:r>
            <w:r w:rsidRPr="007116E6">
              <w:rPr>
                <w:rStyle w:val="FootnoteReference"/>
                <w:rFonts w:asciiTheme="majorHAnsi" w:hAnsiTheme="majorHAnsi" w:cstheme="majorHAnsi"/>
                <w:szCs w:val="18"/>
              </w:rPr>
              <w:footnoteReference w:id="290"/>
            </w:r>
            <w:r w:rsidRPr="007116E6">
              <w:rPr>
                <w:rFonts w:asciiTheme="majorHAnsi" w:hAnsiTheme="majorHAnsi" w:cstheme="majorHAnsi"/>
                <w:szCs w:val="18"/>
              </w:rPr>
              <w:t xml:space="preserve"> To enable the AER to effectively monitor compliance with these provisions:</w:t>
            </w:r>
            <w:r w:rsidRPr="007116E6">
              <w:rPr>
                <w:rStyle w:val="FootnoteReference"/>
                <w:rFonts w:asciiTheme="majorHAnsi" w:hAnsiTheme="majorHAnsi" w:cstheme="majorHAnsi"/>
                <w:szCs w:val="18"/>
              </w:rPr>
              <w:t xml:space="preserve"> </w:t>
            </w:r>
            <w:r w:rsidRPr="007116E6">
              <w:rPr>
                <w:rStyle w:val="FootnoteReference"/>
                <w:rFonts w:asciiTheme="majorHAnsi" w:hAnsiTheme="majorHAnsi" w:cstheme="majorHAnsi"/>
                <w:szCs w:val="18"/>
              </w:rPr>
              <w:footnoteReference w:id="291"/>
            </w:r>
            <w:r w:rsidRPr="007116E6">
              <w:rPr>
                <w:rFonts w:asciiTheme="majorHAnsi" w:hAnsiTheme="majorHAnsi" w:cstheme="majorHAnsi"/>
                <w:szCs w:val="18"/>
              </w:rPr>
              <w:t xml:space="preserve"> </w:t>
            </w:r>
          </w:p>
          <w:p w14:paraId="4B1B87B5" w14:textId="77777777" w:rsidR="00C50443" w:rsidRPr="007116E6" w:rsidRDefault="00C50443" w:rsidP="00C50443">
            <w:pPr>
              <w:pStyle w:val="TableBullet1"/>
              <w:keepNext/>
              <w:spacing w:line="259" w:lineRule="auto"/>
              <w:rPr>
                <w:rFonts w:asciiTheme="majorHAnsi" w:hAnsiTheme="majorHAnsi" w:cstheme="majorHAnsi"/>
                <w:szCs w:val="18"/>
              </w:rPr>
            </w:pPr>
            <w:r w:rsidRPr="007116E6">
              <w:rPr>
                <w:rFonts w:asciiTheme="majorHAnsi" w:hAnsiTheme="majorHAnsi" w:cstheme="majorHAnsi"/>
                <w:szCs w:val="18"/>
              </w:rPr>
              <w:t xml:space="preserve">auction facility operators will be required to make records of day-ahead nominations, renominations (including the time the renomination was made) and scheduled quantities for each service </w:t>
            </w:r>
            <w:r w:rsidR="003472C8" w:rsidRPr="007116E6">
              <w:rPr>
                <w:rFonts w:asciiTheme="majorHAnsi" w:hAnsiTheme="majorHAnsi" w:cstheme="majorHAnsi"/>
                <w:szCs w:val="18"/>
              </w:rPr>
              <w:t xml:space="preserve">and maintain </w:t>
            </w:r>
            <w:r w:rsidR="003472C8">
              <w:rPr>
                <w:rFonts w:asciiTheme="majorHAnsi" w:hAnsiTheme="majorHAnsi" w:cstheme="majorHAnsi"/>
                <w:szCs w:val="18"/>
              </w:rPr>
              <w:t xml:space="preserve">the records </w:t>
            </w:r>
            <w:r w:rsidRPr="007116E6">
              <w:rPr>
                <w:rFonts w:asciiTheme="majorHAnsi" w:hAnsiTheme="majorHAnsi" w:cstheme="majorHAnsi"/>
                <w:szCs w:val="18"/>
              </w:rPr>
              <w:t xml:space="preserve">for a period of 5 years after the gas day; and </w:t>
            </w:r>
          </w:p>
          <w:p w14:paraId="7A31F7ED" w14:textId="77777777" w:rsidR="00C50443" w:rsidRPr="007116E6" w:rsidRDefault="00C50443" w:rsidP="00C50443">
            <w:pPr>
              <w:pStyle w:val="TableBullet1"/>
              <w:keepNext/>
              <w:spacing w:line="259" w:lineRule="auto"/>
              <w:rPr>
                <w:rFonts w:asciiTheme="majorHAnsi" w:hAnsiTheme="majorHAnsi" w:cstheme="majorHAnsi"/>
                <w:szCs w:val="18"/>
              </w:rPr>
            </w:pPr>
            <w:r w:rsidRPr="007116E6">
              <w:rPr>
                <w:rFonts w:asciiTheme="majorHAnsi" w:hAnsiTheme="majorHAnsi" w:cstheme="majorHAnsi"/>
                <w:szCs w:val="18"/>
              </w:rPr>
              <w:t>shippers using an auction facility that make a material renomination on a gas day (i.e. a renomination that results in their original nomination varying by more than 10%) in relation to a firm transportation service (including transitional firm services) or an auction service will be required to</w:t>
            </w:r>
            <w:r>
              <w:rPr>
                <w:rFonts w:asciiTheme="majorHAnsi" w:hAnsiTheme="majorHAnsi" w:cstheme="majorHAnsi"/>
                <w:szCs w:val="18"/>
              </w:rPr>
              <w:t>:</w:t>
            </w:r>
            <w:r w:rsidRPr="007116E6">
              <w:rPr>
                <w:rFonts w:asciiTheme="majorHAnsi" w:hAnsiTheme="majorHAnsi" w:cstheme="majorHAnsi"/>
                <w:szCs w:val="18"/>
              </w:rPr>
              <w:t xml:space="preserve"> </w:t>
            </w:r>
          </w:p>
          <w:p w14:paraId="6A0142BF" w14:textId="77777777" w:rsidR="00C50443" w:rsidRPr="007116E6" w:rsidRDefault="00C50443" w:rsidP="00C50443">
            <w:pPr>
              <w:pStyle w:val="TableBullet2"/>
              <w:keepNext/>
              <w:spacing w:line="259" w:lineRule="auto"/>
              <w:rPr>
                <w:rFonts w:asciiTheme="majorHAnsi" w:hAnsiTheme="majorHAnsi" w:cstheme="majorHAnsi"/>
                <w:szCs w:val="18"/>
              </w:rPr>
            </w:pPr>
            <w:r w:rsidRPr="007116E6">
              <w:rPr>
                <w:rFonts w:asciiTheme="majorHAnsi" w:hAnsiTheme="majorHAnsi" w:cstheme="majorHAnsi"/>
                <w:szCs w:val="18"/>
              </w:rPr>
              <w:t xml:space="preserve">make a contemporaneous record of the material conditions and circumstances giving rise to the renomination, the reasons for making the renomination (which must be verifiable and specific), the time at which the event giving rise to the renomination occurred and the time at which the shipper first became aware of the event; and </w:t>
            </w:r>
          </w:p>
          <w:p w14:paraId="4D6A78C5" w14:textId="77777777" w:rsidR="00C50443" w:rsidRPr="007116E6" w:rsidRDefault="00C50443" w:rsidP="00C50443">
            <w:pPr>
              <w:pStyle w:val="TableBullet2"/>
              <w:keepNext/>
              <w:spacing w:line="259" w:lineRule="auto"/>
              <w:rPr>
                <w:rFonts w:asciiTheme="majorHAnsi" w:hAnsiTheme="majorHAnsi" w:cstheme="majorHAnsi"/>
                <w:szCs w:val="18"/>
              </w:rPr>
            </w:pPr>
            <w:r w:rsidRPr="007116E6">
              <w:rPr>
                <w:rFonts w:asciiTheme="majorHAnsi" w:hAnsiTheme="majorHAnsi" w:cstheme="majorHAnsi"/>
                <w:szCs w:val="18"/>
              </w:rPr>
              <w:t xml:space="preserve">maintain the records for a period of 5 years after the gas day. </w:t>
            </w:r>
          </w:p>
          <w:p w14:paraId="08A8002D" w14:textId="77777777" w:rsidR="00C50443" w:rsidRPr="007116E6" w:rsidRDefault="00C50443" w:rsidP="00C50443">
            <w:pPr>
              <w:pStyle w:val="TableBullet1"/>
              <w:keepNext/>
              <w:numPr>
                <w:ilvl w:val="0"/>
                <w:numId w:val="0"/>
              </w:numPr>
              <w:spacing w:line="259" w:lineRule="auto"/>
              <w:ind w:left="85"/>
              <w:rPr>
                <w:rFonts w:asciiTheme="majorHAnsi" w:hAnsiTheme="majorHAnsi" w:cstheme="majorHAnsi"/>
                <w:szCs w:val="18"/>
                <w:lang w:eastAsia="fr-CA"/>
              </w:rPr>
            </w:pPr>
            <w:r w:rsidRPr="007116E6">
              <w:rPr>
                <w:rFonts w:asciiTheme="majorHAnsi" w:hAnsiTheme="majorHAnsi" w:cstheme="majorHAnsi"/>
                <w:szCs w:val="18"/>
              </w:rPr>
              <w:t xml:space="preserve">These records must be made and maintained in accordance with the </w:t>
            </w:r>
            <w:r w:rsidR="00A90607">
              <w:rPr>
                <w:rFonts w:asciiTheme="majorHAnsi" w:hAnsiTheme="majorHAnsi" w:cstheme="majorHAnsi"/>
                <w:szCs w:val="18"/>
              </w:rPr>
              <w:t>r</w:t>
            </w:r>
            <w:r w:rsidRPr="007116E6">
              <w:rPr>
                <w:rFonts w:asciiTheme="majorHAnsi" w:hAnsiTheme="majorHAnsi" w:cstheme="majorHAnsi"/>
                <w:szCs w:val="18"/>
              </w:rPr>
              <w:t>ecord</w:t>
            </w:r>
            <w:r w:rsidR="00A90607">
              <w:rPr>
                <w:rFonts w:asciiTheme="majorHAnsi" w:hAnsiTheme="majorHAnsi" w:cstheme="majorHAnsi"/>
                <w:szCs w:val="18"/>
              </w:rPr>
              <w:t xml:space="preserve"> keeping</w:t>
            </w:r>
            <w:r w:rsidRPr="007116E6">
              <w:rPr>
                <w:rFonts w:asciiTheme="majorHAnsi" w:hAnsiTheme="majorHAnsi" w:cstheme="majorHAnsi"/>
                <w:szCs w:val="18"/>
              </w:rPr>
              <w:t xml:space="preserve"> </w:t>
            </w:r>
            <w:r w:rsidR="00A90607">
              <w:rPr>
                <w:rFonts w:asciiTheme="majorHAnsi" w:hAnsiTheme="majorHAnsi" w:cstheme="majorHAnsi"/>
                <w:szCs w:val="18"/>
              </w:rPr>
              <w:t>g</w:t>
            </w:r>
            <w:r w:rsidRPr="007116E6">
              <w:rPr>
                <w:rFonts w:asciiTheme="majorHAnsi" w:hAnsiTheme="majorHAnsi" w:cstheme="majorHAnsi"/>
                <w:szCs w:val="18"/>
              </w:rPr>
              <w:t>uidelines that the AER will be responsible for developing.</w:t>
            </w:r>
            <w:r w:rsidR="00A90607">
              <w:rPr>
                <w:rStyle w:val="FootnoteReference"/>
                <w:rFonts w:asciiTheme="majorHAnsi" w:hAnsiTheme="majorHAnsi" w:cstheme="majorHAnsi"/>
                <w:szCs w:val="18"/>
              </w:rPr>
              <w:footnoteReference w:id="292"/>
            </w:r>
          </w:p>
        </w:tc>
      </w:tr>
    </w:tbl>
    <w:p w14:paraId="2823FABD" w14:textId="77777777" w:rsidR="00A12CCF" w:rsidRPr="00282F43" w:rsidRDefault="00A12CCF" w:rsidP="00A12CCF">
      <w:pPr>
        <w:pStyle w:val="BodyText"/>
        <w:sectPr w:rsidR="00A12CCF" w:rsidRPr="00282F43" w:rsidSect="001250A3">
          <w:headerReference w:type="default" r:id="rId50"/>
          <w:footerReference w:type="default" r:id="rId51"/>
          <w:pgSz w:w="16839" w:h="11907" w:orient="landscape"/>
          <w:pgMar w:top="1701" w:right="1418" w:bottom="851" w:left="1701" w:header="567" w:footer="397" w:gutter="0"/>
          <w:cols w:space="720"/>
          <w:docGrid w:linePitch="299"/>
        </w:sectPr>
      </w:pPr>
    </w:p>
    <w:p w14:paraId="0756F85C" w14:textId="77777777" w:rsidR="00330F39" w:rsidRPr="00A97620" w:rsidRDefault="00330F39" w:rsidP="00330F39">
      <w:pPr>
        <w:pStyle w:val="Heading2"/>
      </w:pPr>
      <w:bookmarkStart w:id="86" w:name="_Toc530546473"/>
      <w:r w:rsidRPr="00A97620">
        <w:lastRenderedPageBreak/>
        <w:t>Legal and regulatory framework</w:t>
      </w:r>
      <w:bookmarkEnd w:id="86"/>
      <w:r w:rsidRPr="00A97620">
        <w:t xml:space="preserve"> </w:t>
      </w:r>
    </w:p>
    <w:p w14:paraId="2E8290C7" w14:textId="77777777" w:rsidR="00330F39" w:rsidRDefault="00A12CCF" w:rsidP="00C50443">
      <w:pPr>
        <w:pStyle w:val="BodyText"/>
        <w:spacing w:line="252" w:lineRule="auto"/>
      </w:pPr>
      <w:r w:rsidRPr="008F7A39">
        <w:t xml:space="preserve">To implement the day-ahead auction, a number of amendments </w:t>
      </w:r>
      <w:r>
        <w:t xml:space="preserve">have been </w:t>
      </w:r>
      <w:r w:rsidRPr="008F7A39">
        <w:t>made to the NGL, the NGR</w:t>
      </w:r>
      <w:r w:rsidR="00C50443">
        <w:t xml:space="preserve"> and </w:t>
      </w:r>
      <w:r w:rsidRPr="008F7A39">
        <w:t>the Regulations</w:t>
      </w:r>
      <w:r>
        <w:t xml:space="preserve">. </w:t>
      </w:r>
      <w:r w:rsidR="00C50443">
        <w:t xml:space="preserve">Further detail on the amendments that have been made is </w:t>
      </w:r>
      <w:r w:rsidR="00330F39">
        <w:t xml:space="preserve">provided below. </w:t>
      </w:r>
    </w:p>
    <w:p w14:paraId="61F8F456" w14:textId="77777777" w:rsidR="00156D33" w:rsidRDefault="00DB668D" w:rsidP="00330F39">
      <w:pPr>
        <w:pStyle w:val="Heading3"/>
      </w:pPr>
      <w:r>
        <w:t>C</w:t>
      </w:r>
      <w:r w:rsidR="00156D33">
        <w:t>hanges to the NGL</w:t>
      </w:r>
    </w:p>
    <w:p w14:paraId="26C2837A" w14:textId="77777777" w:rsidR="00156D33" w:rsidRDefault="00DB668D" w:rsidP="00156D33">
      <w:pPr>
        <w:pStyle w:val="BodyText"/>
      </w:pPr>
      <w:r>
        <w:t xml:space="preserve">The </w:t>
      </w:r>
      <w:r w:rsidR="00156D33">
        <w:t>NGL</w:t>
      </w:r>
      <w:r w:rsidR="00DC24C8">
        <w:t xml:space="preserve"> </w:t>
      </w:r>
      <w:r w:rsidR="00C50443">
        <w:t>has been amended to</w:t>
      </w:r>
      <w:r w:rsidR="00156D33">
        <w:t>:</w:t>
      </w:r>
    </w:p>
    <w:p w14:paraId="0F3A98F2" w14:textId="77777777" w:rsidR="00156D33" w:rsidRDefault="00E572FF" w:rsidP="00786BF3">
      <w:pPr>
        <w:pStyle w:val="ListBullet"/>
        <w:numPr>
          <w:ilvl w:val="0"/>
          <w:numId w:val="25"/>
        </w:numPr>
        <w:ind w:left="357" w:hanging="357"/>
      </w:pPr>
      <w:r>
        <w:t>E</w:t>
      </w:r>
      <w:r w:rsidR="00156D33">
        <w:t>xtend the subject matter of the NGR</w:t>
      </w:r>
      <w:r w:rsidR="00156D33">
        <w:rPr>
          <w:rStyle w:val="FootnoteReference"/>
        </w:rPr>
        <w:footnoteReference w:id="293"/>
      </w:r>
      <w:r w:rsidR="00156D33">
        <w:t xml:space="preserve"> and the scope of the AEMC’s rule making functions</w:t>
      </w:r>
      <w:r w:rsidR="00156D33">
        <w:rPr>
          <w:rStyle w:val="FootnoteReference"/>
        </w:rPr>
        <w:footnoteReference w:id="294"/>
      </w:r>
      <w:r w:rsidR="00156D33">
        <w:t xml:space="preserve"> to include the day-ahead auction</w:t>
      </w:r>
      <w:r>
        <w:t>.</w:t>
      </w:r>
      <w:r w:rsidR="00156D33">
        <w:t xml:space="preserve"> </w:t>
      </w:r>
    </w:p>
    <w:p w14:paraId="560A232D" w14:textId="77777777" w:rsidR="00156D33" w:rsidRDefault="00E572FF" w:rsidP="00786BF3">
      <w:pPr>
        <w:pStyle w:val="ListBullet"/>
        <w:numPr>
          <w:ilvl w:val="0"/>
          <w:numId w:val="25"/>
        </w:numPr>
        <w:ind w:left="357" w:hanging="357"/>
      </w:pPr>
      <w:r>
        <w:t>S</w:t>
      </w:r>
      <w:r w:rsidR="00156D33">
        <w:t xml:space="preserve">pecify the new functions and powers of AEMO in relation to the day-ahead auction, which </w:t>
      </w:r>
      <w:r w:rsidR="00156D33">
        <w:rPr>
          <w:lang w:eastAsia="fr-CA"/>
        </w:rPr>
        <w:t>include:</w:t>
      </w:r>
      <w:r w:rsidR="00156D33">
        <w:rPr>
          <w:rStyle w:val="FootnoteReference"/>
        </w:rPr>
        <w:footnoteReference w:id="295"/>
      </w:r>
      <w:r w:rsidR="00156D33">
        <w:rPr>
          <w:lang w:eastAsia="fr-CA"/>
        </w:rPr>
        <w:t xml:space="preserve"> </w:t>
      </w:r>
    </w:p>
    <w:p w14:paraId="5DF45614" w14:textId="77777777" w:rsidR="00156D33" w:rsidRDefault="00156D33" w:rsidP="00156D33">
      <w:pPr>
        <w:pStyle w:val="ListBullet2"/>
        <w:ind w:left="714" w:hanging="357"/>
      </w:pPr>
      <w:r>
        <w:rPr>
          <w:lang w:eastAsia="fr-CA"/>
        </w:rPr>
        <w:t>establishing, operating and administering the auction</w:t>
      </w:r>
      <w:r w:rsidR="001F6E9D">
        <w:rPr>
          <w:lang w:eastAsia="fr-CA"/>
        </w:rPr>
        <w:t xml:space="preserve"> and, subject to provisions in the NGR and the CT&amp;A Procedures, suspending an auction</w:t>
      </w:r>
      <w:r>
        <w:rPr>
          <w:lang w:eastAsia="fr-CA"/>
        </w:rPr>
        <w:t>;</w:t>
      </w:r>
    </w:p>
    <w:p w14:paraId="01972A37" w14:textId="77777777" w:rsidR="00156D33" w:rsidRDefault="00156D33" w:rsidP="00156D33">
      <w:pPr>
        <w:pStyle w:val="ListBullet2"/>
        <w:ind w:left="714" w:hanging="357"/>
      </w:pPr>
      <w:r>
        <w:rPr>
          <w:lang w:eastAsia="fr-CA"/>
        </w:rPr>
        <w:t xml:space="preserve">making and administering </w:t>
      </w:r>
      <w:r w:rsidR="005E6B9C">
        <w:rPr>
          <w:lang w:eastAsia="fr-CA"/>
        </w:rPr>
        <w:t>auction agreement</w:t>
      </w:r>
      <w:r>
        <w:rPr>
          <w:lang w:eastAsia="fr-CA"/>
        </w:rPr>
        <w:t>s;</w:t>
      </w:r>
      <w:r w:rsidR="00E572FF">
        <w:rPr>
          <w:lang w:eastAsia="fr-CA"/>
        </w:rPr>
        <w:t xml:space="preserve"> and</w:t>
      </w:r>
      <w:r>
        <w:rPr>
          <w:lang w:eastAsia="fr-CA"/>
        </w:rPr>
        <w:t xml:space="preserve"> </w:t>
      </w:r>
    </w:p>
    <w:p w14:paraId="1F3B3781" w14:textId="77777777" w:rsidR="00156D33" w:rsidRDefault="00156D33" w:rsidP="00156D33">
      <w:pPr>
        <w:pStyle w:val="ListBullet2"/>
        <w:ind w:left="714" w:hanging="357"/>
      </w:pPr>
      <w:r>
        <w:rPr>
          <w:lang w:eastAsia="fr-CA"/>
        </w:rPr>
        <w:t xml:space="preserve">making, amending or revoking the </w:t>
      </w:r>
      <w:r w:rsidR="00201550">
        <w:rPr>
          <w:lang w:eastAsia="fr-CA"/>
        </w:rPr>
        <w:t>CT&amp;A Procedures</w:t>
      </w:r>
      <w:r w:rsidR="00E572FF">
        <w:rPr>
          <w:lang w:eastAsia="fr-CA"/>
        </w:rPr>
        <w:t>, which will govern the operation and administration of the auction.</w:t>
      </w:r>
    </w:p>
    <w:p w14:paraId="3DCD1A32" w14:textId="77777777" w:rsidR="004E6D24" w:rsidRPr="00A97620" w:rsidRDefault="00E572FF" w:rsidP="004E6D24">
      <w:pPr>
        <w:pStyle w:val="ListBullet"/>
        <w:numPr>
          <w:ilvl w:val="0"/>
          <w:numId w:val="25"/>
        </w:numPr>
        <w:ind w:left="357" w:hanging="357"/>
      </w:pPr>
      <w:r w:rsidRPr="00A97620">
        <w:t>I</w:t>
      </w:r>
      <w:r w:rsidR="00156D33" w:rsidRPr="00A97620">
        <w:t xml:space="preserve">mpose an obligation on </w:t>
      </w:r>
      <w:r w:rsidR="00DA16AB">
        <w:t xml:space="preserve">transportation </w:t>
      </w:r>
      <w:r w:rsidR="00156D33" w:rsidRPr="00A97620">
        <w:t>service providers, shippers and auction participants to provide AEMO with the information it requires to operate and administer the auction and prohibit the provision of information these parties know is false or misleading</w:t>
      </w:r>
      <w:r w:rsidRPr="00A97620">
        <w:t>.</w:t>
      </w:r>
      <w:r w:rsidR="00156D33" w:rsidRPr="00A97620">
        <w:rPr>
          <w:rStyle w:val="FootnoteReference"/>
        </w:rPr>
        <w:footnoteReference w:id="296"/>
      </w:r>
      <w:r w:rsidR="004E6D24" w:rsidRPr="00A97620">
        <w:t xml:space="preserve"> If a person provides </w:t>
      </w:r>
      <w:r w:rsidR="001F6E9D">
        <w:t xml:space="preserve">such </w:t>
      </w:r>
      <w:r w:rsidR="004E6D24" w:rsidRPr="00A97620">
        <w:t xml:space="preserve">information to AEMO then </w:t>
      </w:r>
      <w:r w:rsidR="00A97620" w:rsidRPr="00A97620">
        <w:t xml:space="preserve">they </w:t>
      </w:r>
      <w:r w:rsidR="004E6D24" w:rsidRPr="00A97620">
        <w:t>will not incur any civil monetary liability for an act or omission in preparing or giving that information, unless the act or omission is done or made in bad faith or through negligence</w:t>
      </w:r>
      <w:r w:rsidR="00A97620" w:rsidRPr="00A97620">
        <w:t>.</w:t>
      </w:r>
      <w:r w:rsidR="004E6D24" w:rsidRPr="00A97620">
        <w:rPr>
          <w:rStyle w:val="FootnoteReference"/>
        </w:rPr>
        <w:footnoteReference w:id="297"/>
      </w:r>
    </w:p>
    <w:p w14:paraId="0072B657" w14:textId="77777777" w:rsidR="00A97620" w:rsidRPr="00A97620" w:rsidRDefault="00E572FF" w:rsidP="00A97620">
      <w:pPr>
        <w:pStyle w:val="ListBullet"/>
        <w:numPr>
          <w:ilvl w:val="0"/>
          <w:numId w:val="25"/>
        </w:numPr>
        <w:ind w:left="357" w:hanging="357"/>
      </w:pPr>
      <w:r w:rsidRPr="00A97620">
        <w:t>P</w:t>
      </w:r>
      <w:r w:rsidR="00156D33" w:rsidRPr="00A97620">
        <w:t xml:space="preserve">rohibit shippers from providing </w:t>
      </w:r>
      <w:r w:rsidR="00DA16AB">
        <w:t xml:space="preserve">transportation </w:t>
      </w:r>
      <w:r w:rsidR="00156D33" w:rsidRPr="00A97620">
        <w:t>service providers with information that is required for the operation and administration of the auction that they know is false or misleading</w:t>
      </w:r>
      <w:r w:rsidR="004E6D24" w:rsidRPr="00A97620">
        <w:t>.</w:t>
      </w:r>
      <w:r w:rsidR="00156D33" w:rsidRPr="00A97620">
        <w:rPr>
          <w:rStyle w:val="FootnoteReference"/>
        </w:rPr>
        <w:footnoteReference w:id="298"/>
      </w:r>
      <w:r w:rsidR="00156D33" w:rsidRPr="00A97620">
        <w:t xml:space="preserve"> </w:t>
      </w:r>
    </w:p>
    <w:p w14:paraId="4BC9CC05" w14:textId="77777777" w:rsidR="004E6D24" w:rsidRPr="00A97620" w:rsidRDefault="004E6D24" w:rsidP="00A97620">
      <w:pPr>
        <w:pStyle w:val="ListBullet"/>
        <w:numPr>
          <w:ilvl w:val="0"/>
          <w:numId w:val="25"/>
        </w:numPr>
        <w:ind w:left="357" w:hanging="357"/>
      </w:pPr>
      <w:r w:rsidRPr="00A97620">
        <w:t xml:space="preserve">Provide </w:t>
      </w:r>
      <w:r w:rsidR="00DA16AB">
        <w:t xml:space="preserve">transportation </w:t>
      </w:r>
      <w:r w:rsidR="00A97620" w:rsidRPr="00A97620">
        <w:t xml:space="preserve">service providers with a </w:t>
      </w:r>
      <w:r w:rsidRPr="00A97620">
        <w:t xml:space="preserve">transitional </w:t>
      </w:r>
      <w:r w:rsidR="00A97620" w:rsidRPr="00A97620">
        <w:t xml:space="preserve">immunity </w:t>
      </w:r>
      <w:r w:rsidRPr="00A97620">
        <w:t xml:space="preserve">from civil monetary liabilities </w:t>
      </w:r>
      <w:r w:rsidR="00A97620" w:rsidRPr="00A97620">
        <w:t>that may otherwise be payable to a shipper because</w:t>
      </w:r>
      <w:r w:rsidRPr="00A97620">
        <w:t>:</w:t>
      </w:r>
    </w:p>
    <w:p w14:paraId="17A4C04D" w14:textId="77777777" w:rsidR="004E6D24" w:rsidRPr="00A97620" w:rsidRDefault="00A97620" w:rsidP="00A97620">
      <w:pPr>
        <w:pStyle w:val="ListBullet"/>
        <w:numPr>
          <w:ilvl w:val="1"/>
          <w:numId w:val="25"/>
        </w:numPr>
        <w:ind w:left="714" w:hanging="357"/>
      </w:pPr>
      <w:r w:rsidRPr="00A97620">
        <w:t xml:space="preserve">the </w:t>
      </w:r>
      <w:r w:rsidR="00DA16AB">
        <w:t xml:space="preserve">transportation </w:t>
      </w:r>
      <w:r w:rsidR="004E6D24" w:rsidRPr="00A97620">
        <w:t>service provider supplies transportation services to another person by means of capacity sold through the auction in breach of an exclusivity right,</w:t>
      </w:r>
      <w:r w:rsidRPr="00A97620">
        <w:rPr>
          <w:rStyle w:val="FootnoteReference"/>
        </w:rPr>
        <w:footnoteReference w:id="299"/>
      </w:r>
      <w:r w:rsidR="004E6D24" w:rsidRPr="00A97620">
        <w:t xml:space="preserve"> where the sale is required by the NGR;</w:t>
      </w:r>
      <w:r w:rsidRPr="00A97620">
        <w:rPr>
          <w:rStyle w:val="FootnoteReference"/>
        </w:rPr>
        <w:footnoteReference w:id="300"/>
      </w:r>
      <w:r w:rsidRPr="00A97620">
        <w:t xml:space="preserve"> and</w:t>
      </w:r>
    </w:p>
    <w:p w14:paraId="2671F8CE" w14:textId="77777777" w:rsidR="003801AA" w:rsidRDefault="00A97620" w:rsidP="00A97620">
      <w:pPr>
        <w:pStyle w:val="ListBullet"/>
        <w:numPr>
          <w:ilvl w:val="1"/>
          <w:numId w:val="25"/>
        </w:numPr>
        <w:ind w:left="714" w:hanging="357"/>
      </w:pPr>
      <w:r w:rsidRPr="00A97620">
        <w:lastRenderedPageBreak/>
        <w:t xml:space="preserve">the </w:t>
      </w:r>
      <w:r w:rsidR="00DA16AB">
        <w:t xml:space="preserve">transportation </w:t>
      </w:r>
      <w:r w:rsidRPr="00A97620">
        <w:t xml:space="preserve">service provider gives </w:t>
      </w:r>
      <w:r w:rsidR="003801AA" w:rsidRPr="00A97620">
        <w:t xml:space="preserve">effect to the auction priority principles </w:t>
      </w:r>
      <w:r w:rsidRPr="00A97620">
        <w:t>(including the requirement that the scheduling process does not result in lower tier services being scheduled earlier than the auction service) set out in the NGR or Code</w:t>
      </w:r>
      <w:r w:rsidR="003801AA" w:rsidRPr="00A97620">
        <w:t>.</w:t>
      </w:r>
      <w:r w:rsidR="003801AA" w:rsidRPr="00A97620">
        <w:rPr>
          <w:rStyle w:val="FootnoteReference"/>
        </w:rPr>
        <w:footnoteReference w:id="301"/>
      </w:r>
    </w:p>
    <w:p w14:paraId="7D62BE77" w14:textId="77777777" w:rsidR="001F6E9D" w:rsidRPr="00A97620" w:rsidRDefault="001F6E9D" w:rsidP="001F6E9D">
      <w:pPr>
        <w:pStyle w:val="ListBullet"/>
        <w:numPr>
          <w:ilvl w:val="0"/>
          <w:numId w:val="0"/>
        </w:numPr>
        <w:ind w:left="357"/>
      </w:pPr>
      <w:r>
        <w:t>These transitional immunities only apply to contracts entered into before the commencement of the amendments to the NGL.</w:t>
      </w:r>
    </w:p>
    <w:p w14:paraId="5031CDF2" w14:textId="77777777" w:rsidR="00156D33" w:rsidRDefault="00DB668D" w:rsidP="00330F39">
      <w:pPr>
        <w:pStyle w:val="Heading3"/>
      </w:pPr>
      <w:r>
        <w:t>C</w:t>
      </w:r>
      <w:r w:rsidR="00156D33">
        <w:t xml:space="preserve">hanges to the NGR </w:t>
      </w:r>
    </w:p>
    <w:p w14:paraId="21B69A5A" w14:textId="77777777" w:rsidR="00156D33" w:rsidRDefault="00C71A73" w:rsidP="00156D33">
      <w:pPr>
        <w:pStyle w:val="BodyText"/>
      </w:pPr>
      <w:r>
        <w:t xml:space="preserve">In keeping with the amendments that have been made to the NGL and the final </w:t>
      </w:r>
      <w:r w:rsidR="00B71783">
        <w:t xml:space="preserve">design of the day-ahead auction, the NGR has been amended to include </w:t>
      </w:r>
      <w:r>
        <w:t xml:space="preserve">a new </w:t>
      </w:r>
      <w:r w:rsidR="00B71783" w:rsidRPr="00B71783">
        <w:rPr>
          <w:b/>
        </w:rPr>
        <w:t>Part 25 (Capacity Auction)</w:t>
      </w:r>
      <w:r w:rsidR="001F6E9D">
        <w:t>. A</w:t>
      </w:r>
      <w:r w:rsidR="00957949">
        <w:t>mongst other things</w:t>
      </w:r>
      <w:r w:rsidR="001F6E9D">
        <w:t>, Part 25 of the NGR</w:t>
      </w:r>
      <w:r w:rsidR="00156D33" w:rsidRPr="00EA1D5D">
        <w:t xml:space="preserve">: </w:t>
      </w:r>
    </w:p>
    <w:p w14:paraId="754C3593" w14:textId="77777777" w:rsidR="00156D33" w:rsidRDefault="00B71783" w:rsidP="00786BF3">
      <w:pPr>
        <w:pStyle w:val="ListBullet"/>
        <w:numPr>
          <w:ilvl w:val="0"/>
          <w:numId w:val="25"/>
        </w:numPr>
        <w:ind w:left="357" w:hanging="357"/>
      </w:pPr>
      <w:r>
        <w:t>S</w:t>
      </w:r>
      <w:r w:rsidR="00156D33">
        <w:t>et</w:t>
      </w:r>
      <w:r>
        <w:t>s</w:t>
      </w:r>
      <w:r w:rsidR="00156D33">
        <w:t xml:space="preserve"> out the objective of the auction, which is to “improve the efficiency with which transportation capacity is allocated and foster the development of a more liquid secondary market for transportation capacity”</w:t>
      </w:r>
      <w:r>
        <w:t>.</w:t>
      </w:r>
      <w:r w:rsidR="00156D33">
        <w:rPr>
          <w:rStyle w:val="FootnoteReference"/>
        </w:rPr>
        <w:footnoteReference w:id="302"/>
      </w:r>
    </w:p>
    <w:p w14:paraId="07B0422A" w14:textId="77777777" w:rsidR="001F6E9D" w:rsidRDefault="00B71783" w:rsidP="000048BA">
      <w:pPr>
        <w:pStyle w:val="ListBullet"/>
        <w:numPr>
          <w:ilvl w:val="0"/>
          <w:numId w:val="25"/>
        </w:numPr>
        <w:ind w:left="357" w:hanging="357"/>
      </w:pPr>
      <w:r>
        <w:t>P</w:t>
      </w:r>
      <w:r w:rsidR="00156D33">
        <w:t>rovide</w:t>
      </w:r>
      <w:r>
        <w:t>s</w:t>
      </w:r>
      <w:r w:rsidR="00156D33">
        <w:t xml:space="preserve"> for the establishment, operation and administration of the auction by AEMO</w:t>
      </w:r>
      <w:r>
        <w:rPr>
          <w:rStyle w:val="FootnoteReference"/>
        </w:rPr>
        <w:footnoteReference w:id="303"/>
      </w:r>
      <w:r>
        <w:t xml:space="preserve"> </w:t>
      </w:r>
      <w:r w:rsidR="001F6E9D">
        <w:t>and the scope of the fees recoverable by AEMO.</w:t>
      </w:r>
      <w:r w:rsidR="001F6E9D">
        <w:rPr>
          <w:rStyle w:val="FootnoteReference"/>
        </w:rPr>
        <w:footnoteReference w:id="304"/>
      </w:r>
    </w:p>
    <w:p w14:paraId="0FE6FF2E" w14:textId="77777777" w:rsidR="001F6E9D" w:rsidRDefault="001F6E9D" w:rsidP="000048BA">
      <w:pPr>
        <w:pStyle w:val="ListBullet"/>
        <w:numPr>
          <w:ilvl w:val="0"/>
          <w:numId w:val="25"/>
        </w:numPr>
        <w:ind w:left="357" w:hanging="357"/>
      </w:pPr>
      <w:r>
        <w:t>S</w:t>
      </w:r>
      <w:r w:rsidR="00156D33">
        <w:t>et</w:t>
      </w:r>
      <w:r w:rsidR="00B71783">
        <w:t>s</w:t>
      </w:r>
      <w:r w:rsidR="00156D33">
        <w:t xml:space="preserve"> out the scope of the </w:t>
      </w:r>
      <w:r w:rsidR="00201550">
        <w:t>CT&amp;A Procedures</w:t>
      </w:r>
      <w:r w:rsidR="00156D33">
        <w:t xml:space="preserve"> </w:t>
      </w:r>
      <w:r>
        <w:t xml:space="preserve">as it relates to the day-ahead auction </w:t>
      </w:r>
      <w:r w:rsidR="00156D33">
        <w:t xml:space="preserve">and the standard form </w:t>
      </w:r>
      <w:r w:rsidR="005E6B9C">
        <w:t>auction agreement</w:t>
      </w:r>
      <w:r w:rsidR="00156D33">
        <w:t xml:space="preserve"> </w:t>
      </w:r>
      <w:r>
        <w:t xml:space="preserve">that </w:t>
      </w:r>
      <w:r w:rsidR="00156D33">
        <w:t xml:space="preserve">AEMO </w:t>
      </w:r>
      <w:r>
        <w:t xml:space="preserve">is </w:t>
      </w:r>
      <w:r w:rsidR="00156D33">
        <w:t>required to develop</w:t>
      </w:r>
      <w:r>
        <w:t>.</w:t>
      </w:r>
      <w:r w:rsidR="00B71783">
        <w:rPr>
          <w:rStyle w:val="FootnoteReference"/>
        </w:rPr>
        <w:footnoteReference w:id="305"/>
      </w:r>
      <w:r w:rsidR="00B71783">
        <w:t xml:space="preserve"> </w:t>
      </w:r>
    </w:p>
    <w:p w14:paraId="2BD84AD9" w14:textId="77777777" w:rsidR="001F6E9D" w:rsidRDefault="00B71783" w:rsidP="00786BF3">
      <w:pPr>
        <w:pStyle w:val="ListBullet"/>
        <w:numPr>
          <w:ilvl w:val="0"/>
          <w:numId w:val="25"/>
        </w:numPr>
        <w:ind w:left="357" w:hanging="357"/>
      </w:pPr>
      <w:r>
        <w:t>S</w:t>
      </w:r>
      <w:r w:rsidR="00156D33">
        <w:t>pecif</w:t>
      </w:r>
      <w:r>
        <w:t>ies</w:t>
      </w:r>
      <w:r w:rsidR="00156D33">
        <w:t xml:space="preserve"> the </w:t>
      </w:r>
      <w:r>
        <w:t xml:space="preserve">auction </w:t>
      </w:r>
      <w:r w:rsidR="00156D33">
        <w:t xml:space="preserve">services </w:t>
      </w:r>
      <w:r w:rsidR="001F6E9D">
        <w:t>(i.e. the forward haul auction service, backhaul auction service and compression auction</w:t>
      </w:r>
      <w:r w:rsidR="003472C8">
        <w:t xml:space="preserve"> service</w:t>
      </w:r>
      <w:r w:rsidR="001F6E9D">
        <w:t>).</w:t>
      </w:r>
    </w:p>
    <w:p w14:paraId="23BC3715" w14:textId="77777777" w:rsidR="00156D33" w:rsidRDefault="001F6E9D" w:rsidP="00786BF3">
      <w:pPr>
        <w:pStyle w:val="ListBullet"/>
        <w:numPr>
          <w:ilvl w:val="0"/>
          <w:numId w:val="25"/>
        </w:numPr>
        <w:ind w:left="357" w:hanging="357"/>
      </w:pPr>
      <w:r>
        <w:t xml:space="preserve">Sets out </w:t>
      </w:r>
      <w:r w:rsidR="00156D33">
        <w:t xml:space="preserve">the </w:t>
      </w:r>
      <w:r w:rsidR="00FA395A">
        <w:t xml:space="preserve">scheduling and </w:t>
      </w:r>
      <w:r w:rsidR="00156D33">
        <w:t xml:space="preserve">priority principles that auction facility operators </w:t>
      </w:r>
      <w:r w:rsidR="00FA395A">
        <w:t xml:space="preserve">will be required to </w:t>
      </w:r>
      <w:r w:rsidR="00156D33">
        <w:t xml:space="preserve">give effect to </w:t>
      </w:r>
      <w:r w:rsidR="001C0945">
        <w:t>(</w:t>
      </w:r>
      <w:r w:rsidR="00156D33">
        <w:t>if it is operationally and technically feasible to do so</w:t>
      </w:r>
      <w:r w:rsidR="004504F1">
        <w:t xml:space="preserve"> in accordance with good industry practice</w:t>
      </w:r>
      <w:r w:rsidR="001C0945">
        <w:t>)</w:t>
      </w:r>
      <w:r w:rsidR="00FA395A">
        <w:t>.</w:t>
      </w:r>
      <w:r w:rsidR="004504F1" w:rsidRPr="004504F1">
        <w:rPr>
          <w:rStyle w:val="FootnoteReference"/>
        </w:rPr>
        <w:t xml:space="preserve"> </w:t>
      </w:r>
      <w:r w:rsidR="004504F1">
        <w:rPr>
          <w:rStyle w:val="FootnoteReference"/>
        </w:rPr>
        <w:footnoteReference w:id="306"/>
      </w:r>
    </w:p>
    <w:p w14:paraId="0699E8B7" w14:textId="77777777" w:rsidR="00156D33" w:rsidRDefault="001F6E9D" w:rsidP="00786BF3">
      <w:pPr>
        <w:pStyle w:val="ListBullet"/>
        <w:numPr>
          <w:ilvl w:val="0"/>
          <w:numId w:val="25"/>
        </w:numPr>
        <w:ind w:left="357" w:hanging="357"/>
      </w:pPr>
      <w:r>
        <w:t>Specifies</w:t>
      </w:r>
      <w:r w:rsidR="00156D33">
        <w:t xml:space="preserve"> the auction design principles AEMO must give effect to when establishing and operating the auction and the auction quantity limit</w:t>
      </w:r>
      <w:r w:rsidR="00FA395A">
        <w:t>s</w:t>
      </w:r>
      <w:r w:rsidR="00156D33">
        <w:t xml:space="preserve"> that must </w:t>
      </w:r>
      <w:r w:rsidR="00FA395A">
        <w:t xml:space="preserve">be determined for each gas day </w:t>
      </w:r>
      <w:r>
        <w:t xml:space="preserve">by auction facility operators </w:t>
      </w:r>
      <w:r w:rsidR="00FA395A">
        <w:t xml:space="preserve">in accordance with the </w:t>
      </w:r>
      <w:r w:rsidR="00156D33">
        <w:t xml:space="preserve">methodology </w:t>
      </w:r>
      <w:r w:rsidR="00FA395A">
        <w:t>set out in the CT&amp;A Procedures.</w:t>
      </w:r>
      <w:r w:rsidR="00156D33">
        <w:rPr>
          <w:rStyle w:val="FootnoteReference"/>
        </w:rPr>
        <w:footnoteReference w:id="307"/>
      </w:r>
    </w:p>
    <w:p w14:paraId="59815DEA" w14:textId="77777777" w:rsidR="00156D33" w:rsidRDefault="001F6E9D" w:rsidP="00786BF3">
      <w:pPr>
        <w:pStyle w:val="ListBullet"/>
        <w:numPr>
          <w:ilvl w:val="0"/>
          <w:numId w:val="25"/>
        </w:numPr>
        <w:ind w:left="357" w:hanging="357"/>
      </w:pPr>
      <w:r>
        <w:t>Sets out</w:t>
      </w:r>
      <w:r w:rsidR="00FA395A">
        <w:t xml:space="preserve"> </w:t>
      </w:r>
      <w:r w:rsidR="00156D33">
        <w:t xml:space="preserve">the obligations </w:t>
      </w:r>
      <w:r w:rsidR="00D37183">
        <w:t xml:space="preserve">of </w:t>
      </w:r>
      <w:r w:rsidR="00156D33">
        <w:t>auction facility operators to provide information to AEMO and to give effect to the auction results</w:t>
      </w:r>
      <w:r w:rsidR="00FA395A">
        <w:t>.</w:t>
      </w:r>
      <w:r w:rsidR="00156D33">
        <w:rPr>
          <w:rStyle w:val="FootnoteReference"/>
        </w:rPr>
        <w:footnoteReference w:id="308"/>
      </w:r>
    </w:p>
    <w:p w14:paraId="52FCC501" w14:textId="77777777" w:rsidR="00156D33" w:rsidRDefault="001F6E9D" w:rsidP="00786BF3">
      <w:pPr>
        <w:pStyle w:val="ListBullet"/>
        <w:numPr>
          <w:ilvl w:val="0"/>
          <w:numId w:val="25"/>
        </w:numPr>
        <w:ind w:left="357" w:hanging="357"/>
      </w:pPr>
      <w:r>
        <w:t xml:space="preserve">Specifies </w:t>
      </w:r>
      <w:r w:rsidR="00FA395A">
        <w:t xml:space="preserve">the </w:t>
      </w:r>
      <w:r w:rsidR="00156D33">
        <w:t xml:space="preserve">standard that will apply to any information that </w:t>
      </w:r>
      <w:r w:rsidR="004504F1">
        <w:t xml:space="preserve">a </w:t>
      </w:r>
      <w:r w:rsidR="00FA395A">
        <w:t xml:space="preserve">shipper </w:t>
      </w:r>
      <w:r w:rsidR="004504F1">
        <w:t xml:space="preserve">or </w:t>
      </w:r>
      <w:r w:rsidR="00DA16AB">
        <w:t xml:space="preserve">transportation </w:t>
      </w:r>
      <w:r w:rsidR="004504F1">
        <w:t>service provider</w:t>
      </w:r>
      <w:r w:rsidR="00156D33">
        <w:t xml:space="preserve"> is required to provide to AEMO or the AER</w:t>
      </w:r>
      <w:r>
        <w:t>, which is referred to as the ‘Part 24 information standard’</w:t>
      </w:r>
      <w:r w:rsidR="00FA395A">
        <w:t>.</w:t>
      </w:r>
      <w:r w:rsidR="00156D33">
        <w:rPr>
          <w:rStyle w:val="FootnoteReference"/>
        </w:rPr>
        <w:footnoteReference w:id="309"/>
      </w:r>
    </w:p>
    <w:p w14:paraId="461E9FE3" w14:textId="77777777" w:rsidR="00156D33" w:rsidRDefault="00FA395A" w:rsidP="00786BF3">
      <w:pPr>
        <w:pStyle w:val="ListBullet"/>
        <w:numPr>
          <w:ilvl w:val="0"/>
          <w:numId w:val="25"/>
        </w:numPr>
        <w:ind w:left="357" w:hanging="357"/>
      </w:pPr>
      <w:r>
        <w:t>S</w:t>
      </w:r>
      <w:r w:rsidR="00156D33">
        <w:t>et</w:t>
      </w:r>
      <w:r w:rsidR="001F6E9D">
        <w:t>s</w:t>
      </w:r>
      <w:r w:rsidR="00156D33">
        <w:t xml:space="preserve"> out the market conduct </w:t>
      </w:r>
      <w:r w:rsidR="00957949">
        <w:t xml:space="preserve">rules </w:t>
      </w:r>
      <w:r w:rsidR="00156D33">
        <w:t>that will apply to auction participants</w:t>
      </w:r>
      <w:r w:rsidR="00B60C6E">
        <w:t>,</w:t>
      </w:r>
      <w:r>
        <w:t xml:space="preserve"> </w:t>
      </w:r>
      <w:r w:rsidR="001F6E9D">
        <w:t xml:space="preserve">transportation </w:t>
      </w:r>
      <w:r>
        <w:t xml:space="preserve">service providers </w:t>
      </w:r>
      <w:r w:rsidR="00B60C6E">
        <w:t xml:space="preserve">and </w:t>
      </w:r>
      <w:r w:rsidR="001F142E">
        <w:t xml:space="preserve">users of </w:t>
      </w:r>
      <w:r w:rsidR="00B60C6E">
        <w:t xml:space="preserve">auction facilities (including the prohibition on shippers </w:t>
      </w:r>
      <w:r w:rsidR="00B60C6E">
        <w:lastRenderedPageBreak/>
        <w:t>making nominations or renominations that are false or misleading (or likely to mislead)</w:t>
      </w:r>
      <w:r w:rsidR="00957949">
        <w:t>)</w:t>
      </w:r>
      <w:r w:rsidR="00B60C6E">
        <w:t xml:space="preserve"> </w:t>
      </w:r>
      <w:r w:rsidR="00156D33">
        <w:t xml:space="preserve">and the AER’s role in monitoring compliance with these </w:t>
      </w:r>
      <w:r>
        <w:t>rules.</w:t>
      </w:r>
      <w:r w:rsidR="00156D33">
        <w:rPr>
          <w:rStyle w:val="FootnoteReference"/>
        </w:rPr>
        <w:footnoteReference w:id="310"/>
      </w:r>
    </w:p>
    <w:p w14:paraId="1FE8B038" w14:textId="77777777" w:rsidR="00156D33" w:rsidRDefault="00B60C6E" w:rsidP="00957949">
      <w:pPr>
        <w:pStyle w:val="ListBullet"/>
        <w:numPr>
          <w:ilvl w:val="0"/>
          <w:numId w:val="25"/>
        </w:numPr>
        <w:ind w:left="357" w:hanging="357"/>
      </w:pPr>
      <w:r>
        <w:t>R</w:t>
      </w:r>
      <w:r w:rsidR="00156D33">
        <w:t>equire</w:t>
      </w:r>
      <w:r w:rsidR="001F6E9D">
        <w:t>s</w:t>
      </w:r>
      <w:r>
        <w:t xml:space="preserve"> auction facility operators </w:t>
      </w:r>
      <w:r w:rsidR="00957949">
        <w:t xml:space="preserve">and users of auction facilities </w:t>
      </w:r>
      <w:r>
        <w:t xml:space="preserve">to make and maintain </w:t>
      </w:r>
      <w:r w:rsidR="00957949">
        <w:t xml:space="preserve">records on </w:t>
      </w:r>
      <w:r>
        <w:t>nomination</w:t>
      </w:r>
      <w:r w:rsidR="00957949">
        <w:t xml:space="preserve">s and/or </w:t>
      </w:r>
      <w:r>
        <w:t>renomination</w:t>
      </w:r>
      <w:r w:rsidR="00957949">
        <w:t>s</w:t>
      </w:r>
      <w:r>
        <w:t xml:space="preserve"> in accordance with </w:t>
      </w:r>
      <w:r w:rsidR="00957949">
        <w:t>the NGR and the N</w:t>
      </w:r>
      <w:r w:rsidR="00957949" w:rsidRPr="007116E6">
        <w:rPr>
          <w:rFonts w:asciiTheme="majorHAnsi" w:hAnsiTheme="majorHAnsi" w:cstheme="majorHAnsi"/>
          <w:szCs w:val="18"/>
        </w:rPr>
        <w:t xml:space="preserve">ominations and Scheduling Records Guidelines and the Renomination Records </w:t>
      </w:r>
      <w:r w:rsidR="00957949">
        <w:t>Guidelines issued by the AER.</w:t>
      </w:r>
      <w:r w:rsidR="00156D33">
        <w:rPr>
          <w:rStyle w:val="FootnoteReference"/>
        </w:rPr>
        <w:footnoteReference w:id="311"/>
      </w:r>
      <w:r w:rsidR="00156D33">
        <w:t xml:space="preserve"> </w:t>
      </w:r>
    </w:p>
    <w:p w14:paraId="3CBD0546" w14:textId="77777777" w:rsidR="00156D33" w:rsidRDefault="00957949" w:rsidP="00786BF3">
      <w:pPr>
        <w:pStyle w:val="ListBullet"/>
        <w:numPr>
          <w:ilvl w:val="0"/>
          <w:numId w:val="25"/>
        </w:numPr>
        <w:ind w:left="357" w:hanging="357"/>
      </w:pPr>
      <w:r>
        <w:t>P</w:t>
      </w:r>
      <w:r w:rsidR="00156D33">
        <w:t>rovide</w:t>
      </w:r>
      <w:r w:rsidR="001F6E9D">
        <w:t>s</w:t>
      </w:r>
      <w:r w:rsidR="00156D33">
        <w:t xml:space="preserve"> for </w:t>
      </w:r>
      <w:r>
        <w:t xml:space="preserve">auction participants to pay AEMO for use of the auction services and the </w:t>
      </w:r>
      <w:r w:rsidR="00156D33">
        <w:t>payment of auction revenues to auction facility operators.</w:t>
      </w:r>
      <w:r w:rsidR="00156D33">
        <w:rPr>
          <w:rStyle w:val="FootnoteReference"/>
        </w:rPr>
        <w:footnoteReference w:id="312"/>
      </w:r>
    </w:p>
    <w:p w14:paraId="3A80195C" w14:textId="77777777" w:rsidR="00156D33" w:rsidRPr="001C7A93" w:rsidRDefault="00156D33" w:rsidP="00156D33">
      <w:pPr>
        <w:pStyle w:val="BodyText"/>
      </w:pPr>
      <w:r>
        <w:t xml:space="preserve">To deal with some of the transitional issues associated with the </w:t>
      </w:r>
      <w:r w:rsidR="00957949">
        <w:t xml:space="preserve">day-ahead </w:t>
      </w:r>
      <w:r>
        <w:t xml:space="preserve">auction, a number of transitional rules </w:t>
      </w:r>
      <w:r w:rsidR="000048BA">
        <w:t xml:space="preserve">have been included in </w:t>
      </w:r>
      <w:r>
        <w:t>Schedule 5</w:t>
      </w:r>
      <w:r w:rsidR="000048BA">
        <w:t xml:space="preserve"> of the NGR</w:t>
      </w:r>
      <w:r w:rsidR="00A02967">
        <w:t xml:space="preserve"> (Parts 4 and 5). </w:t>
      </w:r>
      <w:r w:rsidR="00A02967" w:rsidRPr="001C7A93">
        <w:t>These transitional rules</w:t>
      </w:r>
      <w:r w:rsidRPr="001C7A93">
        <w:t>:</w:t>
      </w:r>
    </w:p>
    <w:p w14:paraId="5F59AA79" w14:textId="77777777" w:rsidR="00A02967" w:rsidRPr="001C7A93" w:rsidRDefault="001F142E" w:rsidP="0035077C">
      <w:pPr>
        <w:pStyle w:val="ListBullet"/>
        <w:numPr>
          <w:ilvl w:val="0"/>
          <w:numId w:val="24"/>
        </w:numPr>
        <w:ind w:left="357" w:hanging="357"/>
      </w:pPr>
      <w:r>
        <w:t xml:space="preserve">Specify </w:t>
      </w:r>
      <w:r w:rsidR="00A02967" w:rsidRPr="001C7A93">
        <w:t>the commencement date</w:t>
      </w:r>
      <w:r>
        <w:t>s</w:t>
      </w:r>
      <w:r w:rsidR="00A02967" w:rsidRPr="001C7A93">
        <w:t xml:space="preserve"> for </w:t>
      </w:r>
      <w:r w:rsidR="00D37183">
        <w:t xml:space="preserve">some obligations in </w:t>
      </w:r>
      <w:r w:rsidR="00A02967" w:rsidRPr="001C7A93">
        <w:t>Part 25 of the NGR</w:t>
      </w:r>
      <w:r>
        <w:rPr>
          <w:rStyle w:val="FootnoteReference"/>
        </w:rPr>
        <w:footnoteReference w:id="313"/>
      </w:r>
      <w:r w:rsidR="00A02967" w:rsidRPr="001C7A93">
        <w:t xml:space="preserve"> and the day-ahead auction.</w:t>
      </w:r>
      <w:r>
        <w:rPr>
          <w:rStyle w:val="FootnoteReference"/>
        </w:rPr>
        <w:footnoteReference w:id="314"/>
      </w:r>
      <w:r w:rsidRPr="001F142E">
        <w:rPr>
          <w:vertAlign w:val="superscript"/>
        </w:rPr>
        <w:t>,</w:t>
      </w:r>
      <w:r w:rsidR="00A02967" w:rsidRPr="001C7A93">
        <w:rPr>
          <w:rStyle w:val="FootnoteReference"/>
        </w:rPr>
        <w:footnoteReference w:id="315"/>
      </w:r>
    </w:p>
    <w:p w14:paraId="0DEDCBD0" w14:textId="77777777" w:rsidR="00156D33" w:rsidRPr="001C7A93" w:rsidRDefault="00A02967" w:rsidP="0035077C">
      <w:pPr>
        <w:pStyle w:val="ListBullet"/>
        <w:numPr>
          <w:ilvl w:val="0"/>
          <w:numId w:val="24"/>
        </w:numPr>
        <w:ind w:left="357" w:hanging="357"/>
      </w:pPr>
      <w:r w:rsidRPr="001C7A93">
        <w:t xml:space="preserve">Provide for transportation services </w:t>
      </w:r>
      <w:r w:rsidR="009E1086" w:rsidRPr="001C7A93">
        <w:t xml:space="preserve">that meet the transitional firm service criteria (see Table 7.1) to be treated as transitional firm services for up to </w:t>
      </w:r>
      <w:r w:rsidR="00156D33" w:rsidRPr="001C7A93">
        <w:t>two years</w:t>
      </w:r>
      <w:r w:rsidR="009E1086" w:rsidRPr="001C7A93">
        <w:t xml:space="preserve"> and set out the process for classifying services as transitional firm services and the AER’s role in monitoring compliance with the conditions of use of these services.</w:t>
      </w:r>
      <w:r w:rsidR="00156D33" w:rsidRPr="001C7A93">
        <w:rPr>
          <w:rStyle w:val="FootnoteReference"/>
        </w:rPr>
        <w:footnoteReference w:id="316"/>
      </w:r>
    </w:p>
    <w:p w14:paraId="76B09498" w14:textId="77777777" w:rsidR="00156D33" w:rsidRPr="001C7A93" w:rsidRDefault="009E1086" w:rsidP="0035077C">
      <w:pPr>
        <w:pStyle w:val="ListBullet"/>
        <w:numPr>
          <w:ilvl w:val="0"/>
          <w:numId w:val="24"/>
        </w:numPr>
        <w:ind w:left="357" w:hanging="357"/>
      </w:pPr>
      <w:r w:rsidRPr="001C7A93">
        <w:t>Set out t</w:t>
      </w:r>
      <w:r w:rsidR="00156D33" w:rsidRPr="001C7A93">
        <w:t>he commencement date for the obligation that shippers and auction facility operators will have to keep records of nominations and/or renominations</w:t>
      </w:r>
      <w:r w:rsidRPr="001C7A93">
        <w:rPr>
          <w:rStyle w:val="FootnoteReference"/>
        </w:rPr>
        <w:footnoteReference w:id="317"/>
      </w:r>
      <w:r w:rsidR="00156D33" w:rsidRPr="001C7A93">
        <w:t xml:space="preserve"> and the date by which the AER will be required to develop and publish initial guideline</w:t>
      </w:r>
      <w:r w:rsidRPr="001C7A93">
        <w:t>s.</w:t>
      </w:r>
      <w:r w:rsidR="00156D33" w:rsidRPr="001C7A93">
        <w:rPr>
          <w:rStyle w:val="FootnoteReference"/>
        </w:rPr>
        <w:footnoteReference w:id="318"/>
      </w:r>
      <w:r w:rsidR="00B24217" w:rsidRPr="001C7A93">
        <w:t xml:space="preserve"> </w:t>
      </w:r>
    </w:p>
    <w:p w14:paraId="6F418799" w14:textId="77777777" w:rsidR="00156D33" w:rsidRPr="001C7A93" w:rsidRDefault="009E1086" w:rsidP="0035077C">
      <w:pPr>
        <w:pStyle w:val="ListBullet"/>
        <w:numPr>
          <w:ilvl w:val="0"/>
          <w:numId w:val="24"/>
        </w:numPr>
        <w:ind w:left="357" w:hanging="357"/>
      </w:pPr>
      <w:r w:rsidRPr="001C7A93">
        <w:t xml:space="preserve">Specify </w:t>
      </w:r>
      <w:r w:rsidR="00B24217" w:rsidRPr="001C7A93">
        <w:t>t</w:t>
      </w:r>
      <w:r w:rsidR="00156D33" w:rsidRPr="001C7A93">
        <w:t>he reporting obligations</w:t>
      </w:r>
      <w:r w:rsidRPr="001C7A93">
        <w:t xml:space="preserve"> </w:t>
      </w:r>
      <w:r w:rsidR="00156D33" w:rsidRPr="001C7A93">
        <w:t xml:space="preserve">that </w:t>
      </w:r>
      <w:r w:rsidRPr="001C7A93">
        <w:t xml:space="preserve">the operators of </w:t>
      </w:r>
      <w:r w:rsidR="001F142E">
        <w:t xml:space="preserve">Part 24 </w:t>
      </w:r>
      <w:r w:rsidR="00156D33" w:rsidRPr="001C7A93">
        <w:t xml:space="preserve">compression </w:t>
      </w:r>
      <w:r w:rsidRPr="001C7A93">
        <w:t xml:space="preserve">facilities </w:t>
      </w:r>
      <w:r w:rsidR="00156D33" w:rsidRPr="001C7A93">
        <w:t>will be required to comply with</w:t>
      </w:r>
      <w:r w:rsidRPr="001C7A93">
        <w:t xml:space="preserve"> from </w:t>
      </w:r>
      <w:r w:rsidR="00156D33" w:rsidRPr="001C7A93">
        <w:t>1 February 2019</w:t>
      </w:r>
      <w:r w:rsidRPr="001C7A93">
        <w:t xml:space="preserve"> (see Chapter 8 for more detail)</w:t>
      </w:r>
      <w:r w:rsidR="00156D33" w:rsidRPr="001C7A93">
        <w:t>.</w:t>
      </w:r>
      <w:r w:rsidR="00156D33" w:rsidRPr="001C7A93">
        <w:rPr>
          <w:rStyle w:val="FootnoteReference"/>
        </w:rPr>
        <w:footnoteReference w:id="319"/>
      </w:r>
    </w:p>
    <w:p w14:paraId="3FFBE681" w14:textId="77777777" w:rsidR="00156D33" w:rsidRDefault="00156D33" w:rsidP="00156D33">
      <w:pPr>
        <w:pStyle w:val="BodyText"/>
      </w:pPr>
      <w:r w:rsidRPr="001C7A93">
        <w:rPr>
          <w:rFonts w:asciiTheme="majorHAnsi" w:hAnsiTheme="majorHAnsi" w:cstheme="majorHAnsi"/>
          <w:szCs w:val="18"/>
          <w:lang w:eastAsia="fr-CA"/>
        </w:rPr>
        <w:t xml:space="preserve">In relation to the latter of these transitional rules, the reporting obligation </w:t>
      </w:r>
      <w:r w:rsidR="00D37183">
        <w:rPr>
          <w:rFonts w:asciiTheme="majorHAnsi" w:hAnsiTheme="majorHAnsi" w:cstheme="majorHAnsi"/>
          <w:szCs w:val="18"/>
          <w:lang w:eastAsia="fr-CA"/>
        </w:rPr>
        <w:t xml:space="preserve">for </w:t>
      </w:r>
      <w:r w:rsidR="00D37183">
        <w:t xml:space="preserve">Part 24 </w:t>
      </w:r>
      <w:r w:rsidR="00D37183" w:rsidRPr="001C7A93">
        <w:t xml:space="preserve">compression facilities </w:t>
      </w:r>
      <w:r w:rsidRPr="001C7A93">
        <w:rPr>
          <w:rFonts w:asciiTheme="majorHAnsi" w:hAnsiTheme="majorHAnsi" w:cstheme="majorHAnsi"/>
          <w:szCs w:val="18"/>
          <w:lang w:eastAsia="fr-CA"/>
        </w:rPr>
        <w:t xml:space="preserve">has been included in the Part 25 transitional rules rather than Part 18 because a separate amendment to the NGL is currently being progressed that will expand the scope of the </w:t>
      </w:r>
      <w:r w:rsidR="001F142E">
        <w:rPr>
          <w:rFonts w:asciiTheme="majorHAnsi" w:hAnsiTheme="majorHAnsi" w:cstheme="majorHAnsi"/>
          <w:szCs w:val="18"/>
          <w:lang w:eastAsia="fr-CA"/>
        </w:rPr>
        <w:t>Bulletin Board</w:t>
      </w:r>
      <w:r w:rsidR="009E1086">
        <w:rPr>
          <w:rFonts w:asciiTheme="majorHAnsi" w:hAnsiTheme="majorHAnsi" w:cstheme="majorHAnsi"/>
          <w:szCs w:val="18"/>
          <w:lang w:eastAsia="fr-CA"/>
        </w:rPr>
        <w:t xml:space="preserve"> </w:t>
      </w:r>
      <w:r>
        <w:rPr>
          <w:rFonts w:asciiTheme="majorHAnsi" w:hAnsiTheme="majorHAnsi" w:cstheme="majorHAnsi"/>
          <w:szCs w:val="18"/>
          <w:lang w:eastAsia="fr-CA"/>
        </w:rPr>
        <w:t xml:space="preserve">reporting </w:t>
      </w:r>
      <w:r w:rsidR="009E1086">
        <w:rPr>
          <w:rFonts w:asciiTheme="majorHAnsi" w:hAnsiTheme="majorHAnsi" w:cstheme="majorHAnsi"/>
          <w:szCs w:val="18"/>
          <w:lang w:eastAsia="fr-CA"/>
        </w:rPr>
        <w:t xml:space="preserve">framework </w:t>
      </w:r>
      <w:r>
        <w:rPr>
          <w:rFonts w:asciiTheme="majorHAnsi" w:hAnsiTheme="majorHAnsi" w:cstheme="majorHAnsi"/>
          <w:szCs w:val="18"/>
          <w:lang w:eastAsia="fr-CA"/>
        </w:rPr>
        <w:t xml:space="preserve">to include compressors. </w:t>
      </w:r>
      <w:r w:rsidR="000048BA">
        <w:rPr>
          <w:rFonts w:asciiTheme="majorHAnsi" w:hAnsiTheme="majorHAnsi" w:cstheme="majorHAnsi"/>
          <w:szCs w:val="18"/>
          <w:lang w:eastAsia="fr-CA"/>
        </w:rPr>
        <w:t xml:space="preserve">Once </w:t>
      </w:r>
      <w:r>
        <w:rPr>
          <w:rFonts w:asciiTheme="majorHAnsi" w:hAnsiTheme="majorHAnsi" w:cstheme="majorHAnsi"/>
          <w:szCs w:val="18"/>
          <w:lang w:eastAsia="fr-CA"/>
        </w:rPr>
        <w:t xml:space="preserve">this amendment </w:t>
      </w:r>
      <w:r w:rsidR="000048BA">
        <w:rPr>
          <w:rFonts w:asciiTheme="majorHAnsi" w:hAnsiTheme="majorHAnsi" w:cstheme="majorHAnsi"/>
          <w:szCs w:val="18"/>
          <w:lang w:eastAsia="fr-CA"/>
        </w:rPr>
        <w:t xml:space="preserve">to the NGL </w:t>
      </w:r>
      <w:r>
        <w:rPr>
          <w:rFonts w:asciiTheme="majorHAnsi" w:hAnsiTheme="majorHAnsi" w:cstheme="majorHAnsi"/>
          <w:szCs w:val="18"/>
          <w:lang w:eastAsia="fr-CA"/>
        </w:rPr>
        <w:t>is made</w:t>
      </w:r>
      <w:r w:rsidR="000048BA">
        <w:rPr>
          <w:rFonts w:asciiTheme="majorHAnsi" w:hAnsiTheme="majorHAnsi" w:cstheme="majorHAnsi"/>
          <w:szCs w:val="18"/>
          <w:lang w:eastAsia="fr-CA"/>
        </w:rPr>
        <w:t xml:space="preserve"> and Part 18 of the NGR is amended to include stand-alone compression facilities</w:t>
      </w:r>
      <w:r w:rsidR="009E1086">
        <w:rPr>
          <w:rFonts w:asciiTheme="majorHAnsi" w:hAnsiTheme="majorHAnsi" w:cstheme="majorHAnsi"/>
          <w:szCs w:val="18"/>
          <w:lang w:eastAsia="fr-CA"/>
        </w:rPr>
        <w:t>,</w:t>
      </w:r>
      <w:r w:rsidR="000048BA">
        <w:rPr>
          <w:rFonts w:asciiTheme="majorHAnsi" w:hAnsiTheme="majorHAnsi" w:cstheme="majorHAnsi"/>
          <w:szCs w:val="18"/>
          <w:lang w:eastAsia="fr-CA"/>
        </w:rPr>
        <w:t xml:space="preserve"> </w:t>
      </w:r>
      <w:r>
        <w:rPr>
          <w:rFonts w:asciiTheme="majorHAnsi" w:hAnsiTheme="majorHAnsi" w:cstheme="majorHAnsi"/>
          <w:szCs w:val="18"/>
          <w:lang w:eastAsia="fr-CA"/>
        </w:rPr>
        <w:t>this transitional rule will lapse.</w:t>
      </w:r>
    </w:p>
    <w:p w14:paraId="3DC6A853" w14:textId="77777777" w:rsidR="00156D33" w:rsidRDefault="00156D33" w:rsidP="001F142E">
      <w:pPr>
        <w:pStyle w:val="BodyText"/>
      </w:pPr>
      <w:r>
        <w:lastRenderedPageBreak/>
        <w:t xml:space="preserve">The provisions in Part 25 and the transitional rules </w:t>
      </w:r>
      <w:r w:rsidR="001F142E">
        <w:t xml:space="preserve">outlined above </w:t>
      </w:r>
      <w:r>
        <w:t>should be read in conjunction with</w:t>
      </w:r>
      <w:r w:rsidR="001F142E">
        <w:t xml:space="preserve"> </w:t>
      </w:r>
      <w:r w:rsidRPr="008A05A8">
        <w:rPr>
          <w:b/>
        </w:rPr>
        <w:t xml:space="preserve">Part 24 (Facilitating capacity trades and the capacity auction) </w:t>
      </w:r>
      <w:r>
        <w:t>of the NGR, which, amongst other things sets out:</w:t>
      </w:r>
    </w:p>
    <w:p w14:paraId="09343A3E" w14:textId="77777777" w:rsidR="00156D33" w:rsidRDefault="00131C6A" w:rsidP="001F142E">
      <w:pPr>
        <w:pStyle w:val="ListBullet"/>
      </w:pPr>
      <w:r>
        <w:t>t</w:t>
      </w:r>
      <w:r w:rsidR="00156D33">
        <w:t>he circumstances in which an exemption from the auction can be obtained (</w:t>
      </w:r>
      <w:r w:rsidR="00AA51A6">
        <w:t>see Chapter 4 for more detail)</w:t>
      </w:r>
      <w:r>
        <w:t>;</w:t>
      </w:r>
      <w:r w:rsidR="00156D33">
        <w:rPr>
          <w:rStyle w:val="FootnoteReference"/>
        </w:rPr>
        <w:footnoteReference w:id="320"/>
      </w:r>
      <w:r w:rsidR="00156D33">
        <w:t xml:space="preserve"> </w:t>
      </w:r>
    </w:p>
    <w:p w14:paraId="33AB17F1" w14:textId="77777777" w:rsidR="00156D33" w:rsidRDefault="00131C6A" w:rsidP="001F142E">
      <w:pPr>
        <w:pStyle w:val="ListBullet"/>
      </w:pPr>
      <w:r>
        <w:t xml:space="preserve">the </w:t>
      </w:r>
      <w:r w:rsidR="00156D33">
        <w:t>auction related matters that must be dealt with in the Code</w:t>
      </w:r>
      <w:r w:rsidR="00156D33">
        <w:rPr>
          <w:rStyle w:val="FootnoteReference"/>
        </w:rPr>
        <w:footnoteReference w:id="321"/>
      </w:r>
      <w:r w:rsidR="00156D33">
        <w:t xml:space="preserve"> and the obligation that</w:t>
      </w:r>
      <w:r w:rsidR="001F142E">
        <w:t xml:space="preserve"> transportation</w:t>
      </w:r>
      <w:r w:rsidR="00156D33">
        <w:t xml:space="preserve"> service providers have to ensure their facility specific terms </w:t>
      </w:r>
      <w:r>
        <w:t>give effect to</w:t>
      </w:r>
      <w:r w:rsidR="00156D33">
        <w:t xml:space="preserve"> the auction service priority principles</w:t>
      </w:r>
      <w:r w:rsidR="001F142E">
        <w:t xml:space="preserve"> (including scheduling requirements)</w:t>
      </w:r>
      <w:r>
        <w:t>;</w:t>
      </w:r>
      <w:r w:rsidR="00156D33">
        <w:rPr>
          <w:rStyle w:val="FootnoteReference"/>
        </w:rPr>
        <w:footnoteReference w:id="322"/>
      </w:r>
      <w:r>
        <w:t xml:space="preserve"> and</w:t>
      </w:r>
    </w:p>
    <w:p w14:paraId="45C253F7" w14:textId="77777777" w:rsidR="00156D33" w:rsidRDefault="00131C6A" w:rsidP="001F142E">
      <w:pPr>
        <w:pStyle w:val="ListBullet"/>
      </w:pPr>
      <w:r>
        <w:t>a</w:t>
      </w:r>
      <w:r w:rsidR="00156D33">
        <w:t xml:space="preserve"> number of matters to be dealt with in the </w:t>
      </w:r>
      <w:r w:rsidR="00201550">
        <w:t>CT&amp;A Procedures</w:t>
      </w:r>
      <w:r w:rsidR="00156D33">
        <w:t>, including:</w:t>
      </w:r>
      <w:r w:rsidR="00156D33">
        <w:rPr>
          <w:rStyle w:val="FootnoteReference"/>
        </w:rPr>
        <w:t xml:space="preserve"> </w:t>
      </w:r>
      <w:r w:rsidR="00156D33">
        <w:rPr>
          <w:rStyle w:val="FootnoteReference"/>
        </w:rPr>
        <w:footnoteReference w:id="323"/>
      </w:r>
      <w:r w:rsidR="00156D33">
        <w:t xml:space="preserve"> </w:t>
      </w:r>
    </w:p>
    <w:p w14:paraId="4B1BF549" w14:textId="77777777" w:rsidR="00156D33" w:rsidRDefault="00156D33" w:rsidP="001F142E">
      <w:pPr>
        <w:pStyle w:val="ListBullet2"/>
      </w:pPr>
      <w:r>
        <w:t>the pro</w:t>
      </w:r>
      <w:r w:rsidR="00D37183">
        <w:t xml:space="preserve">vision of information to AEMO about </w:t>
      </w:r>
      <w:r>
        <w:t>the facility agreements to be used to give effect to capacity procured through the auction;</w:t>
      </w:r>
      <w:r>
        <w:rPr>
          <w:rStyle w:val="FootnoteReference"/>
        </w:rPr>
        <w:t xml:space="preserve"> </w:t>
      </w:r>
    </w:p>
    <w:p w14:paraId="0A9DC119" w14:textId="77777777" w:rsidR="00156D33" w:rsidRDefault="00156D33" w:rsidP="001F142E">
      <w:pPr>
        <w:pStyle w:val="ListBullet2"/>
      </w:pPr>
      <w:r>
        <w:t xml:space="preserve">the process for determining the zones, pipeline segments and service points that will be used in the auction; and </w:t>
      </w:r>
    </w:p>
    <w:p w14:paraId="61058BCF" w14:textId="77777777" w:rsidR="00156D33" w:rsidRDefault="00156D33" w:rsidP="001F142E">
      <w:pPr>
        <w:pStyle w:val="ListBullet2"/>
      </w:pPr>
      <w:r>
        <w:t xml:space="preserve">the arrangements that will apply to capacity procured through the auction at a DWGM </w:t>
      </w:r>
      <w:r w:rsidR="00222D33">
        <w:t xml:space="preserve">and STTM </w:t>
      </w:r>
      <w:r>
        <w:t>interface point.</w:t>
      </w:r>
    </w:p>
    <w:p w14:paraId="2CD17917" w14:textId="77777777" w:rsidR="00156D33" w:rsidRDefault="001F142E" w:rsidP="001F142E">
      <w:pPr>
        <w:pStyle w:val="BodyText"/>
      </w:pPr>
      <w:r>
        <w:t>Part 25 of the NGR should also be read in conjunction with t</w:t>
      </w:r>
      <w:r w:rsidR="00156D33">
        <w:t xml:space="preserve">he proposed amendments to </w:t>
      </w:r>
      <w:r w:rsidR="00156D33" w:rsidRPr="008A05A8">
        <w:rPr>
          <w:b/>
        </w:rPr>
        <w:t>Part 18 (Natural Gas Services Bulletin Board)</w:t>
      </w:r>
      <w:r w:rsidR="00156D33">
        <w:t xml:space="preserve"> of the NGR and the transitional rules associated with this part of the NGR, which require: </w:t>
      </w:r>
    </w:p>
    <w:p w14:paraId="7B1F289D" w14:textId="77777777" w:rsidR="00156D33" w:rsidRPr="008A05A8" w:rsidRDefault="002863FD" w:rsidP="00AF2D13">
      <w:pPr>
        <w:pStyle w:val="ListBullet2"/>
        <w:ind w:left="714" w:hanging="357"/>
      </w:pPr>
      <w:r>
        <w:t xml:space="preserve">transportation </w:t>
      </w:r>
      <w:r w:rsidR="00222D33">
        <w:t>s</w:t>
      </w:r>
      <w:r w:rsidR="00156D33">
        <w:t>ervice providers to provide AEMO with information on the nameplate rating</w:t>
      </w:r>
      <w:r w:rsidR="00222D33">
        <w:t xml:space="preserve"> and</w:t>
      </w:r>
      <w:r w:rsidR="00156D33">
        <w:t xml:space="preserve"> </w:t>
      </w:r>
      <w:r w:rsidR="00156D33" w:rsidRPr="008A05A8">
        <w:t>short-term and medium-term capacity outlook for each receipt and delivery point</w:t>
      </w:r>
      <w:r w:rsidR="000048BA" w:rsidRPr="008A05A8">
        <w:t xml:space="preserve"> for publication on the </w:t>
      </w:r>
      <w:r>
        <w:t>Bulletin Board</w:t>
      </w:r>
      <w:r w:rsidR="000048BA" w:rsidRPr="008A05A8">
        <w:t>;</w:t>
      </w:r>
      <w:r w:rsidR="00156D33" w:rsidRPr="008A05A8">
        <w:rPr>
          <w:rStyle w:val="FootnoteReference"/>
        </w:rPr>
        <w:footnoteReference w:id="324"/>
      </w:r>
      <w:r w:rsidR="000048BA" w:rsidRPr="008A05A8">
        <w:rPr>
          <w:vertAlign w:val="superscript"/>
        </w:rPr>
        <w:t>,</w:t>
      </w:r>
      <w:r w:rsidR="000048BA" w:rsidRPr="008A05A8">
        <w:rPr>
          <w:rStyle w:val="FootnoteReference"/>
        </w:rPr>
        <w:footnoteReference w:id="325"/>
      </w:r>
      <w:r w:rsidR="00156D33" w:rsidRPr="008A05A8">
        <w:t xml:space="preserve"> </w:t>
      </w:r>
    </w:p>
    <w:p w14:paraId="75661740" w14:textId="77777777" w:rsidR="00156D33" w:rsidRPr="008A05A8" w:rsidRDefault="00222D33" w:rsidP="00AF2D13">
      <w:pPr>
        <w:pStyle w:val="ListBullet2"/>
        <w:ind w:left="714" w:hanging="357"/>
      </w:pPr>
      <w:r w:rsidRPr="008A05A8">
        <w:t>r</w:t>
      </w:r>
      <w:r w:rsidR="00156D33" w:rsidRPr="008A05A8">
        <w:t xml:space="preserve">emote transportation facilities that would otherwise be excluded from the </w:t>
      </w:r>
      <w:r w:rsidR="002863FD">
        <w:t>Bulletin Board</w:t>
      </w:r>
      <w:r w:rsidR="000048BA" w:rsidRPr="008A05A8">
        <w:t xml:space="preserve"> </w:t>
      </w:r>
      <w:r w:rsidR="00156D33" w:rsidRPr="008A05A8">
        <w:t xml:space="preserve">reporting obligations but </w:t>
      </w:r>
      <w:r w:rsidR="0011427B">
        <w:t>do not qualify for</w:t>
      </w:r>
      <w:r w:rsidR="0011427B" w:rsidRPr="008A05A8" w:rsidDel="0011427B">
        <w:t xml:space="preserve"> </w:t>
      </w:r>
      <w:r w:rsidR="00156D33" w:rsidRPr="008A05A8">
        <w:t>an exemption under Part 24 of the NGR, to be subject to the reporting obligations</w:t>
      </w:r>
      <w:r w:rsidR="00DF3A9B" w:rsidRPr="008A05A8">
        <w:t>;</w:t>
      </w:r>
      <w:r w:rsidR="00156D33" w:rsidRPr="008A05A8">
        <w:rPr>
          <w:rStyle w:val="FootnoteReference"/>
        </w:rPr>
        <w:footnoteReference w:id="326"/>
      </w:r>
      <w:r w:rsidR="000048BA" w:rsidRPr="008A05A8">
        <w:rPr>
          <w:vertAlign w:val="superscript"/>
        </w:rPr>
        <w:t>,</w:t>
      </w:r>
      <w:r w:rsidR="000048BA" w:rsidRPr="008A05A8">
        <w:rPr>
          <w:rStyle w:val="FootnoteReference"/>
        </w:rPr>
        <w:footnoteReference w:id="327"/>
      </w:r>
      <w:r w:rsidRPr="008A05A8">
        <w:t xml:space="preserve"> </w:t>
      </w:r>
    </w:p>
    <w:p w14:paraId="6896FB24" w14:textId="77777777" w:rsidR="001C0945" w:rsidRDefault="000048BA" w:rsidP="00AF2D13">
      <w:pPr>
        <w:pStyle w:val="ListBullet2"/>
        <w:ind w:left="714" w:hanging="357"/>
      </w:pPr>
      <w:r w:rsidRPr="008A05A8">
        <w:t xml:space="preserve">auction facility operators to provide AEMO with </w:t>
      </w:r>
      <w:r w:rsidR="001C0945">
        <w:t xml:space="preserve">the following </w:t>
      </w:r>
      <w:r w:rsidRPr="008A05A8">
        <w:t xml:space="preserve">information </w:t>
      </w:r>
      <w:r w:rsidR="001C0945" w:rsidRPr="008A05A8">
        <w:rPr>
          <w:rFonts w:asciiTheme="majorHAnsi" w:hAnsiTheme="majorHAnsi" w:cstheme="majorHAnsi"/>
        </w:rPr>
        <w:t xml:space="preserve">for publication on the </w:t>
      </w:r>
      <w:r w:rsidR="001C0945">
        <w:rPr>
          <w:rFonts w:asciiTheme="majorHAnsi" w:hAnsiTheme="majorHAnsi" w:cstheme="majorHAnsi"/>
        </w:rPr>
        <w:t>Bulletin Board</w:t>
      </w:r>
      <w:r w:rsidR="006E65D8">
        <w:rPr>
          <w:rFonts w:asciiTheme="majorHAnsi" w:hAnsiTheme="majorHAnsi" w:cstheme="majorHAnsi"/>
        </w:rPr>
        <w:t xml:space="preserve"> if there is a curtailment (including a curtailment due to a renomination)</w:t>
      </w:r>
      <w:r w:rsidR="001C0945">
        <w:rPr>
          <w:rFonts w:asciiTheme="majorHAnsi" w:hAnsiTheme="majorHAnsi" w:cstheme="majorHAnsi"/>
        </w:rPr>
        <w:t>:</w:t>
      </w:r>
      <w:r w:rsidR="001C0945" w:rsidRPr="008A05A8">
        <w:t xml:space="preserve"> </w:t>
      </w:r>
    </w:p>
    <w:p w14:paraId="032D8EE4" w14:textId="77777777" w:rsidR="006E65D8" w:rsidRDefault="006E65D8" w:rsidP="006E65D8">
      <w:pPr>
        <w:pStyle w:val="ListBullet3"/>
        <w:numPr>
          <w:ilvl w:val="0"/>
          <w:numId w:val="59"/>
        </w:numPr>
      </w:pPr>
      <w:r>
        <w:t>notice of the curtailment and the auction service affected;</w:t>
      </w:r>
      <w:r w:rsidR="000048BA" w:rsidRPr="008A05A8">
        <w:t xml:space="preserve"> </w:t>
      </w:r>
    </w:p>
    <w:p w14:paraId="05CF6925" w14:textId="77777777" w:rsidR="006E65D8" w:rsidRDefault="006E65D8" w:rsidP="006E65D8">
      <w:pPr>
        <w:pStyle w:val="ListBullet3"/>
        <w:numPr>
          <w:ilvl w:val="0"/>
          <w:numId w:val="59"/>
        </w:numPr>
      </w:pPr>
      <w:r>
        <w:t xml:space="preserve">a brief description of the cause of the </w:t>
      </w:r>
      <w:r w:rsidR="00DF3A9B" w:rsidRPr="008A05A8">
        <w:t>curtailment</w:t>
      </w:r>
      <w:r>
        <w:t>;</w:t>
      </w:r>
      <w:r w:rsidR="000048BA" w:rsidRPr="008A05A8">
        <w:t xml:space="preserve"> and </w:t>
      </w:r>
    </w:p>
    <w:p w14:paraId="01015949" w14:textId="77777777" w:rsidR="000048BA" w:rsidRPr="008A05A8" w:rsidRDefault="000048BA" w:rsidP="006E65D8">
      <w:pPr>
        <w:pStyle w:val="ListBullet3"/>
        <w:numPr>
          <w:ilvl w:val="0"/>
          <w:numId w:val="59"/>
        </w:numPr>
      </w:pPr>
      <w:r w:rsidRPr="008A05A8">
        <w:lastRenderedPageBreak/>
        <w:t xml:space="preserve">whether </w:t>
      </w:r>
      <w:r w:rsidR="006E65D8">
        <w:t xml:space="preserve">the curtailed quantity of the auction service </w:t>
      </w:r>
      <w:r w:rsidRPr="008A05A8">
        <w:t>is material</w:t>
      </w:r>
      <w:r w:rsidR="00DF3A9B" w:rsidRPr="008A05A8">
        <w:t>;</w:t>
      </w:r>
      <w:r w:rsidRPr="008A05A8">
        <w:rPr>
          <w:rStyle w:val="FootnoteReference"/>
          <w:rFonts w:asciiTheme="majorHAnsi" w:hAnsiTheme="majorHAnsi" w:cstheme="majorHAnsi"/>
        </w:rPr>
        <w:footnoteReference w:id="328"/>
      </w:r>
      <w:r w:rsidRPr="008A05A8">
        <w:t xml:space="preserve"> </w:t>
      </w:r>
      <w:r w:rsidR="008A05A8" w:rsidRPr="008A05A8">
        <w:t>and</w:t>
      </w:r>
    </w:p>
    <w:p w14:paraId="2BCAE967" w14:textId="77777777" w:rsidR="00156D33" w:rsidRDefault="00156D33" w:rsidP="00AF2D13">
      <w:pPr>
        <w:pStyle w:val="ListBullet2"/>
        <w:ind w:left="714" w:hanging="357"/>
      </w:pPr>
      <w:r w:rsidRPr="008A05A8">
        <w:t xml:space="preserve">AEMO to publish the auction information specified in the </w:t>
      </w:r>
      <w:r w:rsidR="00201550" w:rsidRPr="008A05A8">
        <w:t>CT&amp;A Procedures</w:t>
      </w:r>
      <w:r w:rsidRPr="008A05A8">
        <w:t xml:space="preserve"> (e.g. auction results and auction quantity limits) on the Bulletin Board.</w:t>
      </w:r>
      <w:r w:rsidRPr="008A05A8">
        <w:rPr>
          <w:rStyle w:val="FootnoteReference"/>
        </w:rPr>
        <w:footnoteReference w:id="329"/>
      </w:r>
      <w:r w:rsidRPr="008A05A8">
        <w:t xml:space="preserve"> </w:t>
      </w:r>
    </w:p>
    <w:p w14:paraId="2268DF3A" w14:textId="77777777" w:rsidR="00156D33" w:rsidRDefault="00173BB2" w:rsidP="001C7A93">
      <w:pPr>
        <w:pStyle w:val="Heading3"/>
      </w:pPr>
      <w:r>
        <w:t>C</w:t>
      </w:r>
      <w:r w:rsidR="00156D33">
        <w:t xml:space="preserve">hanges to the Regulations </w:t>
      </w:r>
    </w:p>
    <w:p w14:paraId="2C48851B" w14:textId="77777777" w:rsidR="00156D33" w:rsidRDefault="00173BB2" w:rsidP="001C7A93">
      <w:pPr>
        <w:pStyle w:val="BodyText"/>
        <w:keepNext/>
      </w:pPr>
      <w:r>
        <w:t>The</w:t>
      </w:r>
      <w:r w:rsidR="00156D33">
        <w:t xml:space="preserve"> Regulations </w:t>
      </w:r>
      <w:r w:rsidR="00862169">
        <w:t xml:space="preserve">have been amended to </w:t>
      </w:r>
      <w:r w:rsidR="00156D33">
        <w:t>specify:</w:t>
      </w:r>
    </w:p>
    <w:p w14:paraId="75273482" w14:textId="77777777" w:rsidR="00497877" w:rsidRDefault="00497877" w:rsidP="00497877">
      <w:pPr>
        <w:pStyle w:val="ListBullet"/>
        <w:numPr>
          <w:ilvl w:val="0"/>
          <w:numId w:val="25"/>
        </w:numPr>
        <w:ind w:left="357" w:hanging="357"/>
      </w:pPr>
      <w:r>
        <w:t>the maximum civil monetary liabilities that will apply to parties providing capacity auction information to AEMO for acts or omissions in preparing or giving that information that are done or made in bad faith or through negligence</w:t>
      </w:r>
      <w:r w:rsidR="00A90607">
        <w:t>, which is set out in regulation 10;</w:t>
      </w:r>
      <w:r>
        <w:rPr>
          <w:rStyle w:val="FootnoteReference"/>
        </w:rPr>
        <w:footnoteReference w:id="330"/>
      </w:r>
      <w:r w:rsidRPr="00173BB2">
        <w:t xml:space="preserve"> and</w:t>
      </w:r>
    </w:p>
    <w:p w14:paraId="7C1663A9" w14:textId="5F8B98EF" w:rsidR="00862169" w:rsidRDefault="00A90607" w:rsidP="00CB791A">
      <w:pPr>
        <w:pStyle w:val="ListBullet"/>
        <w:numPr>
          <w:ilvl w:val="0"/>
          <w:numId w:val="25"/>
        </w:numPr>
        <w:ind w:left="357" w:hanging="357"/>
      </w:pPr>
      <w:r>
        <w:t xml:space="preserve">the </w:t>
      </w:r>
      <w:r w:rsidR="00CB791A">
        <w:t xml:space="preserve">day-ahead </w:t>
      </w:r>
      <w:r w:rsidR="00497877">
        <w:t xml:space="preserve">auction </w:t>
      </w:r>
      <w:r w:rsidR="00156D33">
        <w:t xml:space="preserve">provisions in the NGL and NGR that </w:t>
      </w:r>
      <w:r w:rsidR="00497877">
        <w:t xml:space="preserve">are </w:t>
      </w:r>
      <w:r w:rsidR="00156D33">
        <w:t>classified as civil penalty or conduct provisions</w:t>
      </w:r>
      <w:r w:rsidR="00A526B3">
        <w:t xml:space="preserve"> (see </w:t>
      </w:r>
      <w:r w:rsidR="00CB791A">
        <w:fldChar w:fldCharType="begin"/>
      </w:r>
      <w:r w:rsidR="00CB791A">
        <w:instrText xml:space="preserve"> REF _Ref522438777 \h </w:instrText>
      </w:r>
      <w:r w:rsidR="00CB791A">
        <w:fldChar w:fldCharType="separate"/>
      </w:r>
      <w:r w:rsidR="0026074F">
        <w:t xml:space="preserve">Table </w:t>
      </w:r>
      <w:r w:rsidR="0026074F">
        <w:rPr>
          <w:noProof/>
        </w:rPr>
        <w:t>7</w:t>
      </w:r>
      <w:r w:rsidR="0026074F">
        <w:t>.</w:t>
      </w:r>
      <w:r w:rsidR="0026074F">
        <w:rPr>
          <w:noProof/>
        </w:rPr>
        <w:t>2</w:t>
      </w:r>
      <w:r w:rsidR="00CB791A">
        <w:fldChar w:fldCharType="end"/>
      </w:r>
      <w:r w:rsidR="00A526B3">
        <w:t xml:space="preserve"> for a list of these provisions)</w:t>
      </w:r>
      <w:r>
        <w:t>, which are set out in schedules 3 and 4 of the Regulations.</w:t>
      </w:r>
      <w:r w:rsidR="00CB791A">
        <w:t xml:space="preserve"> </w:t>
      </w:r>
    </w:p>
    <w:p w14:paraId="01FA395E" w14:textId="3A19BF2E" w:rsidR="00862169" w:rsidRDefault="00862169" w:rsidP="00862169">
      <w:pPr>
        <w:pStyle w:val="Caption"/>
        <w:spacing w:after="0"/>
      </w:pPr>
      <w:bookmarkStart w:id="87" w:name="_Ref522438777"/>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7</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2</w:t>
      </w:r>
      <w:r w:rsidR="002B13EB">
        <w:rPr>
          <w:noProof/>
        </w:rPr>
        <w:fldChar w:fldCharType="end"/>
      </w:r>
      <w:bookmarkEnd w:id="87"/>
      <w:r>
        <w:t xml:space="preserve">: Civil penalty and conduct provisions </w:t>
      </w:r>
    </w:p>
    <w:tbl>
      <w:tblPr>
        <w:tblStyle w:val="TableGrid"/>
        <w:tblW w:w="5001" w:type="pct"/>
        <w:tblLook w:val="04A0" w:firstRow="1" w:lastRow="0" w:firstColumn="1" w:lastColumn="0" w:noHBand="0" w:noVBand="1"/>
      </w:tblPr>
      <w:tblGrid>
        <w:gridCol w:w="1134"/>
        <w:gridCol w:w="5529"/>
        <w:gridCol w:w="2127"/>
      </w:tblGrid>
      <w:tr w:rsidR="00A526B3" w14:paraId="7B8EEE1B" w14:textId="77777777" w:rsidTr="00A526B3">
        <w:trPr>
          <w:cnfStyle w:val="100000000000" w:firstRow="1" w:lastRow="0" w:firstColumn="0" w:lastColumn="0" w:oddVBand="0" w:evenVBand="0" w:oddHBand="0" w:evenHBand="0" w:firstRowFirstColumn="0" w:firstRowLastColumn="0" w:lastRowFirstColumn="0" w:lastRowLastColumn="0"/>
          <w:cantSplit/>
          <w:tblHeader/>
        </w:trPr>
        <w:tc>
          <w:tcPr>
            <w:tcW w:w="1134" w:type="dxa"/>
            <w:tcBorders>
              <w:bottom w:val="single" w:sz="4" w:space="0" w:color="auto"/>
            </w:tcBorders>
            <w:shd w:val="clear" w:color="auto" w:fill="0099CC"/>
            <w:hideMark/>
          </w:tcPr>
          <w:p w14:paraId="77777F12" w14:textId="77777777" w:rsidR="00A526B3" w:rsidRDefault="00A526B3" w:rsidP="00862169">
            <w:pPr>
              <w:pStyle w:val="TableHeading"/>
              <w:spacing w:before="40" w:after="40"/>
              <w:rPr>
                <w:b w:val="0"/>
              </w:rPr>
            </w:pPr>
            <w:r>
              <w:t>Provision</w:t>
            </w:r>
          </w:p>
        </w:tc>
        <w:tc>
          <w:tcPr>
            <w:tcW w:w="5529" w:type="dxa"/>
            <w:tcBorders>
              <w:bottom w:val="single" w:sz="4" w:space="0" w:color="auto"/>
            </w:tcBorders>
            <w:shd w:val="clear" w:color="auto" w:fill="0099CC"/>
          </w:tcPr>
          <w:p w14:paraId="3E52D106" w14:textId="77777777" w:rsidR="00A526B3" w:rsidRDefault="00A526B3" w:rsidP="00862169">
            <w:pPr>
              <w:pStyle w:val="TableHeading"/>
              <w:spacing w:before="40" w:after="40"/>
            </w:pPr>
            <w:r>
              <w:t>Summary of provision</w:t>
            </w:r>
          </w:p>
        </w:tc>
        <w:tc>
          <w:tcPr>
            <w:tcW w:w="2127" w:type="dxa"/>
            <w:tcBorders>
              <w:bottom w:val="single" w:sz="4" w:space="0" w:color="auto"/>
            </w:tcBorders>
            <w:shd w:val="clear" w:color="auto" w:fill="0099CC"/>
            <w:hideMark/>
          </w:tcPr>
          <w:p w14:paraId="0A29AAED" w14:textId="77777777" w:rsidR="00A526B3" w:rsidRDefault="00A526B3" w:rsidP="00862169">
            <w:pPr>
              <w:pStyle w:val="TableHeading"/>
              <w:spacing w:before="40" w:after="40"/>
            </w:pPr>
            <w:r>
              <w:t>Type of penalty</w:t>
            </w:r>
          </w:p>
        </w:tc>
      </w:tr>
      <w:tr w:rsidR="00862169" w:rsidRPr="00886B5E" w14:paraId="12EFBF19" w14:textId="77777777" w:rsidTr="00FC5B30">
        <w:trPr>
          <w:cantSplit/>
        </w:trPr>
        <w:tc>
          <w:tcPr>
            <w:tcW w:w="8790" w:type="dxa"/>
            <w:gridSpan w:val="3"/>
            <w:shd w:val="clear" w:color="auto" w:fill="65697F" w:themeFill="background2" w:themeFillShade="80"/>
          </w:tcPr>
          <w:p w14:paraId="355181DD" w14:textId="77777777" w:rsidR="00862169" w:rsidRPr="00886B5E" w:rsidRDefault="00862169" w:rsidP="00862169">
            <w:pPr>
              <w:pStyle w:val="TableBodyText"/>
              <w:spacing w:before="40" w:after="40"/>
              <w:jc w:val="center"/>
              <w:rPr>
                <w:b/>
                <w:color w:val="FFFFFF" w:themeColor="background1"/>
              </w:rPr>
            </w:pPr>
            <w:r w:rsidRPr="00886B5E">
              <w:rPr>
                <w:b/>
                <w:color w:val="FFFFFF" w:themeColor="background1"/>
              </w:rPr>
              <w:t>NGL</w:t>
            </w:r>
          </w:p>
        </w:tc>
      </w:tr>
      <w:tr w:rsidR="00A526B3" w14:paraId="2C29D757"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tcBorders>
              <w:bottom w:val="single" w:sz="4" w:space="0" w:color="auto"/>
            </w:tcBorders>
            <w:shd w:val="clear" w:color="auto" w:fill="FFFFFF" w:themeFill="background1"/>
            <w:hideMark/>
          </w:tcPr>
          <w:p w14:paraId="1282E452" w14:textId="77777777" w:rsidR="00A526B3" w:rsidRDefault="00EC31D2" w:rsidP="00862169">
            <w:pPr>
              <w:pStyle w:val="TableBodyText"/>
              <w:spacing w:before="40" w:after="40"/>
            </w:pPr>
            <w:r>
              <w:t>Section</w:t>
            </w:r>
            <w:r w:rsidR="00A526B3">
              <w:t xml:space="preserve"> 91FEE </w:t>
            </w:r>
          </w:p>
        </w:tc>
        <w:tc>
          <w:tcPr>
            <w:tcW w:w="5529" w:type="dxa"/>
            <w:tcBorders>
              <w:bottom w:val="single" w:sz="4" w:space="0" w:color="auto"/>
            </w:tcBorders>
            <w:shd w:val="clear" w:color="auto" w:fill="FFFFFF" w:themeFill="background1"/>
          </w:tcPr>
          <w:p w14:paraId="427DE725" w14:textId="77777777" w:rsidR="00A526B3" w:rsidRDefault="00A526B3" w:rsidP="00862169">
            <w:pPr>
              <w:pStyle w:val="TableBodyText"/>
              <w:spacing w:before="40" w:after="40"/>
            </w:pPr>
            <w:r>
              <w:t xml:space="preserve">A </w:t>
            </w:r>
            <w:r w:rsidR="00A90607">
              <w:t xml:space="preserve">transportation </w:t>
            </w:r>
            <w:r>
              <w:t>service provider, auction participant and shipper that has possession or control of information that relates to and is necessary for the operation and administration of the auction by AEMO</w:t>
            </w:r>
            <w:r w:rsidR="00A90607">
              <w:t>,</w:t>
            </w:r>
            <w:r>
              <w:t xml:space="preserve"> or the performance of any other capacity auction function of AEMO must provide that information to AEMO if required to do so by the NGR or Procedures</w:t>
            </w:r>
          </w:p>
        </w:tc>
        <w:tc>
          <w:tcPr>
            <w:tcW w:w="2127" w:type="dxa"/>
            <w:tcBorders>
              <w:bottom w:val="single" w:sz="4" w:space="0" w:color="auto"/>
            </w:tcBorders>
            <w:shd w:val="clear" w:color="auto" w:fill="FFFFFF" w:themeFill="background1"/>
            <w:hideMark/>
          </w:tcPr>
          <w:p w14:paraId="7319499C" w14:textId="77777777" w:rsidR="00A526B3" w:rsidRDefault="00A526B3" w:rsidP="00862169">
            <w:pPr>
              <w:pStyle w:val="TableBodyText"/>
              <w:spacing w:before="40" w:after="40"/>
            </w:pPr>
            <w:r>
              <w:t>Civil penalty</w:t>
            </w:r>
          </w:p>
        </w:tc>
      </w:tr>
      <w:tr w:rsidR="007B0EEF" w:rsidRPr="00886B5E" w14:paraId="42370AD5" w14:textId="77777777" w:rsidTr="00FC5B30">
        <w:trPr>
          <w:cantSplit/>
        </w:trPr>
        <w:tc>
          <w:tcPr>
            <w:tcW w:w="8790" w:type="dxa"/>
            <w:gridSpan w:val="3"/>
            <w:shd w:val="clear" w:color="auto" w:fill="65697F" w:themeFill="background2" w:themeFillShade="80"/>
          </w:tcPr>
          <w:p w14:paraId="5C36ED36" w14:textId="77777777" w:rsidR="007B0EEF" w:rsidRPr="00886B5E" w:rsidRDefault="007B0EEF" w:rsidP="00862169">
            <w:pPr>
              <w:pStyle w:val="TableBodyText"/>
              <w:spacing w:before="40" w:after="40"/>
              <w:jc w:val="center"/>
              <w:rPr>
                <w:b/>
                <w:color w:val="FFFFFF" w:themeColor="background1"/>
              </w:rPr>
            </w:pPr>
            <w:r w:rsidRPr="00886B5E">
              <w:rPr>
                <w:b/>
                <w:color w:val="FFFFFF" w:themeColor="background1"/>
              </w:rPr>
              <w:t>Part 25 of the NGR</w:t>
            </w:r>
          </w:p>
        </w:tc>
      </w:tr>
      <w:tr w:rsidR="00A526B3" w14:paraId="76BD200F"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hideMark/>
          </w:tcPr>
          <w:p w14:paraId="54A75B87" w14:textId="77777777" w:rsidR="00A526B3" w:rsidRPr="004F2763" w:rsidRDefault="00A526B3" w:rsidP="00862169">
            <w:pPr>
              <w:pStyle w:val="TableBodyText"/>
              <w:spacing w:before="40" w:after="40"/>
            </w:pPr>
            <w:r>
              <w:t>Rule 649(1)</w:t>
            </w:r>
          </w:p>
        </w:tc>
        <w:tc>
          <w:tcPr>
            <w:tcW w:w="5529" w:type="dxa"/>
          </w:tcPr>
          <w:p w14:paraId="336F3531" w14:textId="77777777" w:rsidR="00A526B3" w:rsidRPr="004F2763" w:rsidRDefault="00A526B3" w:rsidP="00862169">
            <w:pPr>
              <w:pStyle w:val="TableBodyText"/>
              <w:spacing w:before="40" w:after="40"/>
            </w:pPr>
            <w:r>
              <w:t>A</w:t>
            </w:r>
            <w:r w:rsidR="00A90607">
              <w:t xml:space="preserve"> transportation</w:t>
            </w:r>
            <w:r>
              <w:t xml:space="preserve"> service provider or shipper required by </w:t>
            </w:r>
            <w:r w:rsidRPr="004867E6">
              <w:t xml:space="preserve">Part </w:t>
            </w:r>
            <w:r>
              <w:t xml:space="preserve">25 </w:t>
            </w:r>
            <w:r w:rsidRPr="004867E6">
              <w:t xml:space="preserve">to </w:t>
            </w:r>
            <w:r>
              <w:t xml:space="preserve">make a record or give information or data </w:t>
            </w:r>
            <w:r w:rsidRPr="00411ECA">
              <w:t>to AEMO or the AER,</w:t>
            </w:r>
            <w:r>
              <w:t xml:space="preserve"> including resulting from calculations, must prepare and submit that information or data and perform those calculations in accordance with the Part 24 information standard</w:t>
            </w:r>
          </w:p>
        </w:tc>
        <w:tc>
          <w:tcPr>
            <w:tcW w:w="2127" w:type="dxa"/>
            <w:hideMark/>
          </w:tcPr>
          <w:p w14:paraId="4C5868E6" w14:textId="77777777" w:rsidR="00A526B3" w:rsidRDefault="00A526B3" w:rsidP="00862169">
            <w:pPr>
              <w:pStyle w:val="TableBodyText"/>
              <w:spacing w:before="40" w:after="40"/>
            </w:pPr>
            <w:r>
              <w:t>Civil penalty and conduct provision</w:t>
            </w:r>
          </w:p>
        </w:tc>
      </w:tr>
      <w:tr w:rsidR="00A526B3" w14:paraId="393EF709" w14:textId="77777777" w:rsidTr="00A526B3">
        <w:trPr>
          <w:cantSplit/>
        </w:trPr>
        <w:tc>
          <w:tcPr>
            <w:tcW w:w="1134" w:type="dxa"/>
          </w:tcPr>
          <w:p w14:paraId="5083DDDA" w14:textId="77777777" w:rsidR="00A526B3" w:rsidRPr="004F2763" w:rsidRDefault="00A526B3" w:rsidP="00862169">
            <w:pPr>
              <w:pStyle w:val="TableBodyText"/>
              <w:spacing w:before="40" w:after="40"/>
            </w:pPr>
            <w:r w:rsidRPr="004F2763">
              <w:t>Rule 649(</w:t>
            </w:r>
            <w:r>
              <w:t>2</w:t>
            </w:r>
            <w:r w:rsidRPr="004F2763">
              <w:t xml:space="preserve">) </w:t>
            </w:r>
          </w:p>
        </w:tc>
        <w:tc>
          <w:tcPr>
            <w:tcW w:w="5529" w:type="dxa"/>
          </w:tcPr>
          <w:p w14:paraId="6DE2DE84" w14:textId="77777777" w:rsidR="00A526B3" w:rsidRPr="004F2763" w:rsidRDefault="00A526B3" w:rsidP="00862169">
            <w:pPr>
              <w:pStyle w:val="TableBodyText"/>
              <w:spacing w:before="40" w:after="40"/>
            </w:pPr>
            <w:r>
              <w:t xml:space="preserve">A person required to update information or data provided to AEMO or the AER, must do so as soon as practicable and within time period in </w:t>
            </w:r>
            <w:r w:rsidR="00201550">
              <w:t>CT&amp;A Procedures</w:t>
            </w:r>
            <w:r>
              <w:t>, if circumstances arise requiring information or data to be updated</w:t>
            </w:r>
          </w:p>
        </w:tc>
        <w:tc>
          <w:tcPr>
            <w:tcW w:w="2127" w:type="dxa"/>
          </w:tcPr>
          <w:p w14:paraId="337F647E" w14:textId="77777777" w:rsidR="00A526B3" w:rsidRDefault="00A526B3" w:rsidP="00862169">
            <w:pPr>
              <w:pStyle w:val="TableBodyText"/>
              <w:spacing w:before="40" w:after="40"/>
            </w:pPr>
            <w:r>
              <w:t>Civil penalty</w:t>
            </w:r>
          </w:p>
        </w:tc>
      </w:tr>
      <w:tr w:rsidR="00A526B3" w14:paraId="382447D8"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hideMark/>
          </w:tcPr>
          <w:p w14:paraId="3F97F620" w14:textId="77777777" w:rsidR="00A526B3" w:rsidRPr="004F2763" w:rsidRDefault="00A526B3" w:rsidP="00862169">
            <w:pPr>
              <w:pStyle w:val="TableBodyText"/>
              <w:spacing w:before="40" w:after="40"/>
            </w:pPr>
            <w:r w:rsidRPr="004F2763">
              <w:t>Rule 650(2)</w:t>
            </w:r>
          </w:p>
        </w:tc>
        <w:tc>
          <w:tcPr>
            <w:tcW w:w="5529" w:type="dxa"/>
          </w:tcPr>
          <w:p w14:paraId="43CA0C02" w14:textId="77777777" w:rsidR="00A526B3" w:rsidRPr="004F2763" w:rsidRDefault="00A526B3" w:rsidP="00862169">
            <w:pPr>
              <w:pStyle w:val="TableBodyText"/>
              <w:spacing w:before="40" w:after="40"/>
            </w:pPr>
            <w:r>
              <w:t xml:space="preserve">Auction facility operators must ensure the terms and conditions of use of an auction service and the scheduling process give effect to the </w:t>
            </w:r>
            <w:r w:rsidRPr="004F2763">
              <w:t>auction service priority principles</w:t>
            </w:r>
          </w:p>
        </w:tc>
        <w:tc>
          <w:tcPr>
            <w:tcW w:w="2127" w:type="dxa"/>
            <w:hideMark/>
          </w:tcPr>
          <w:p w14:paraId="393B6F29" w14:textId="77777777" w:rsidR="00A526B3" w:rsidRDefault="00A526B3" w:rsidP="00862169">
            <w:pPr>
              <w:pStyle w:val="TableBodyText"/>
              <w:spacing w:before="40" w:after="40"/>
            </w:pPr>
            <w:r>
              <w:t>Civil penalty and conduct provision</w:t>
            </w:r>
          </w:p>
        </w:tc>
      </w:tr>
      <w:tr w:rsidR="00A526B3" w14:paraId="5D6EA079" w14:textId="77777777" w:rsidTr="00A526B3">
        <w:trPr>
          <w:cantSplit/>
        </w:trPr>
        <w:tc>
          <w:tcPr>
            <w:tcW w:w="1134" w:type="dxa"/>
            <w:hideMark/>
          </w:tcPr>
          <w:p w14:paraId="62E4FC0A" w14:textId="77777777" w:rsidR="00A526B3" w:rsidRPr="004F2763" w:rsidRDefault="00A526B3" w:rsidP="00862169">
            <w:pPr>
              <w:pStyle w:val="TableBodyText"/>
              <w:spacing w:before="40" w:after="40"/>
            </w:pPr>
            <w:r w:rsidRPr="004F2763">
              <w:t>Rule 650(3)</w:t>
            </w:r>
          </w:p>
        </w:tc>
        <w:tc>
          <w:tcPr>
            <w:tcW w:w="5529" w:type="dxa"/>
          </w:tcPr>
          <w:p w14:paraId="05A5EBEB" w14:textId="77777777" w:rsidR="00A526B3" w:rsidRPr="004F2763" w:rsidRDefault="00A526B3" w:rsidP="00862169">
            <w:pPr>
              <w:pStyle w:val="TableBodyText"/>
              <w:spacing w:before="40" w:after="40"/>
            </w:pPr>
            <w:r>
              <w:t>An auction facility operator’s s</w:t>
            </w:r>
            <w:r w:rsidRPr="004F2763">
              <w:t xml:space="preserve">cheduling process must not result in lower tier services being scheduled ahead </w:t>
            </w:r>
            <w:r>
              <w:t>of an</w:t>
            </w:r>
            <w:r w:rsidRPr="004F2763">
              <w:t xml:space="preserve"> auction service</w:t>
            </w:r>
          </w:p>
        </w:tc>
        <w:tc>
          <w:tcPr>
            <w:tcW w:w="2127" w:type="dxa"/>
            <w:hideMark/>
          </w:tcPr>
          <w:p w14:paraId="49585982" w14:textId="77777777" w:rsidR="00A526B3" w:rsidRDefault="00A526B3" w:rsidP="00862169">
            <w:pPr>
              <w:pStyle w:val="TableBodyText"/>
              <w:spacing w:before="40" w:after="40"/>
            </w:pPr>
            <w:r>
              <w:t>Civil penalty and conduct provision</w:t>
            </w:r>
          </w:p>
        </w:tc>
      </w:tr>
      <w:tr w:rsidR="00A526B3" w14:paraId="00512E4C"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hideMark/>
          </w:tcPr>
          <w:p w14:paraId="780F3066" w14:textId="77777777" w:rsidR="00A526B3" w:rsidRPr="004F2763" w:rsidRDefault="00A526B3" w:rsidP="00862169">
            <w:pPr>
              <w:pStyle w:val="TableBodyText"/>
              <w:spacing w:before="40" w:after="40"/>
            </w:pPr>
            <w:r w:rsidRPr="004F2763">
              <w:t xml:space="preserve">Rule 655(3) </w:t>
            </w:r>
          </w:p>
        </w:tc>
        <w:tc>
          <w:tcPr>
            <w:tcW w:w="5529" w:type="dxa"/>
          </w:tcPr>
          <w:p w14:paraId="79C0AF37" w14:textId="77777777" w:rsidR="00A526B3" w:rsidRPr="004F2763" w:rsidRDefault="00A526B3" w:rsidP="00862169">
            <w:pPr>
              <w:pStyle w:val="TableBodyText"/>
              <w:spacing w:before="40" w:after="40"/>
            </w:pPr>
            <w:r>
              <w:t>Auction f</w:t>
            </w:r>
            <w:r w:rsidRPr="004F2763">
              <w:t xml:space="preserve">acility operators </w:t>
            </w:r>
            <w:r>
              <w:t xml:space="preserve">must </w:t>
            </w:r>
            <w:r w:rsidRPr="004F2763">
              <w:t>give effect to auction results notified by AEMO</w:t>
            </w:r>
          </w:p>
        </w:tc>
        <w:tc>
          <w:tcPr>
            <w:tcW w:w="2127" w:type="dxa"/>
            <w:hideMark/>
          </w:tcPr>
          <w:p w14:paraId="700EBC0D" w14:textId="77777777" w:rsidR="00A526B3" w:rsidRDefault="00A526B3" w:rsidP="00862169">
            <w:pPr>
              <w:pStyle w:val="TableBodyText"/>
              <w:spacing w:before="40" w:after="40"/>
            </w:pPr>
            <w:r>
              <w:t>Civil penalty and conduct provision</w:t>
            </w:r>
          </w:p>
        </w:tc>
      </w:tr>
      <w:tr w:rsidR="00A526B3" w14:paraId="65137CA4" w14:textId="77777777" w:rsidTr="00A526B3">
        <w:trPr>
          <w:cantSplit/>
        </w:trPr>
        <w:tc>
          <w:tcPr>
            <w:tcW w:w="1134" w:type="dxa"/>
            <w:hideMark/>
          </w:tcPr>
          <w:p w14:paraId="4569B88E" w14:textId="77777777" w:rsidR="00A526B3" w:rsidRPr="004F2763" w:rsidRDefault="00A526B3" w:rsidP="00862169">
            <w:pPr>
              <w:pStyle w:val="TableBodyText"/>
              <w:spacing w:before="40" w:after="40"/>
            </w:pPr>
            <w:r w:rsidRPr="004F2763">
              <w:t>Rule 660(</w:t>
            </w:r>
            <w:r>
              <w:t>2</w:t>
            </w:r>
            <w:r w:rsidRPr="004F2763">
              <w:t xml:space="preserve">) </w:t>
            </w:r>
          </w:p>
        </w:tc>
        <w:tc>
          <w:tcPr>
            <w:tcW w:w="5529" w:type="dxa"/>
          </w:tcPr>
          <w:p w14:paraId="03D9FA1B" w14:textId="77777777" w:rsidR="00A526B3" w:rsidRPr="004F2763" w:rsidRDefault="00A526B3" w:rsidP="00862169">
            <w:pPr>
              <w:pStyle w:val="TableBodyText"/>
              <w:spacing w:before="40" w:after="40"/>
            </w:pPr>
            <w:r w:rsidRPr="004F2763">
              <w:t>Auction participant</w:t>
            </w:r>
            <w:r>
              <w:t>s must</w:t>
            </w:r>
            <w:r w:rsidRPr="004F2763">
              <w:t xml:space="preserve"> pay AEMO all amounts payable in the time and manner set out in the </w:t>
            </w:r>
            <w:r w:rsidR="00A90607">
              <w:t>a</w:t>
            </w:r>
            <w:r w:rsidRPr="004F2763">
              <w:t xml:space="preserve">uction </w:t>
            </w:r>
            <w:r w:rsidR="00A90607">
              <w:t>a</w:t>
            </w:r>
            <w:r w:rsidRPr="004F2763">
              <w:t>greement</w:t>
            </w:r>
          </w:p>
        </w:tc>
        <w:tc>
          <w:tcPr>
            <w:tcW w:w="2127" w:type="dxa"/>
            <w:hideMark/>
          </w:tcPr>
          <w:p w14:paraId="5C5C897E" w14:textId="77777777" w:rsidR="00A526B3" w:rsidRDefault="00A526B3" w:rsidP="00862169">
            <w:pPr>
              <w:pStyle w:val="TableBodyText"/>
              <w:spacing w:before="40" w:after="40"/>
            </w:pPr>
            <w:r>
              <w:t xml:space="preserve">Civil penalty </w:t>
            </w:r>
          </w:p>
        </w:tc>
      </w:tr>
      <w:tr w:rsidR="00A526B3" w14:paraId="38D2E351"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hideMark/>
          </w:tcPr>
          <w:p w14:paraId="37A17F90" w14:textId="77777777" w:rsidR="00A526B3" w:rsidRPr="004F2763" w:rsidRDefault="00A526B3" w:rsidP="00862169">
            <w:pPr>
              <w:pStyle w:val="TableBodyText"/>
              <w:spacing w:before="40" w:after="40"/>
            </w:pPr>
            <w:r w:rsidRPr="004F2763">
              <w:t>Rule 661</w:t>
            </w:r>
            <w:r>
              <w:t xml:space="preserve">(1) </w:t>
            </w:r>
          </w:p>
        </w:tc>
        <w:tc>
          <w:tcPr>
            <w:tcW w:w="5529" w:type="dxa"/>
          </w:tcPr>
          <w:p w14:paraId="49A784F0" w14:textId="77777777" w:rsidR="00A526B3" w:rsidRPr="004F2763" w:rsidRDefault="00A526B3" w:rsidP="00862169">
            <w:pPr>
              <w:pStyle w:val="TableBodyText"/>
              <w:spacing w:before="40" w:after="40"/>
            </w:pPr>
            <w:r w:rsidRPr="004F2763">
              <w:t xml:space="preserve">Auction participants must comply with </w:t>
            </w:r>
            <w:r>
              <w:t xml:space="preserve">general requirements in </w:t>
            </w:r>
            <w:r w:rsidRPr="004F2763">
              <w:t xml:space="preserve">market conduct </w:t>
            </w:r>
            <w:r>
              <w:t>and nomination rules</w:t>
            </w:r>
          </w:p>
        </w:tc>
        <w:tc>
          <w:tcPr>
            <w:tcW w:w="2127" w:type="dxa"/>
            <w:hideMark/>
          </w:tcPr>
          <w:p w14:paraId="3AA3CBEC" w14:textId="77777777" w:rsidR="00A526B3" w:rsidRDefault="00A526B3" w:rsidP="00862169">
            <w:pPr>
              <w:pStyle w:val="TableBodyText"/>
              <w:spacing w:before="40" w:after="40"/>
            </w:pPr>
            <w:r>
              <w:t>Civil penalty and conduct provision</w:t>
            </w:r>
          </w:p>
        </w:tc>
      </w:tr>
      <w:tr w:rsidR="00A526B3" w14:paraId="222C8BE1" w14:textId="77777777" w:rsidTr="00A526B3">
        <w:trPr>
          <w:cantSplit/>
        </w:trPr>
        <w:tc>
          <w:tcPr>
            <w:tcW w:w="1134" w:type="dxa"/>
          </w:tcPr>
          <w:p w14:paraId="0D677850" w14:textId="77777777" w:rsidR="00A526B3" w:rsidRPr="004F2763" w:rsidRDefault="00A526B3" w:rsidP="00862169">
            <w:pPr>
              <w:pStyle w:val="TableBodyText"/>
              <w:spacing w:before="40" w:after="40"/>
            </w:pPr>
            <w:r>
              <w:lastRenderedPageBreak/>
              <w:t>Rule 661(2)</w:t>
            </w:r>
          </w:p>
        </w:tc>
        <w:tc>
          <w:tcPr>
            <w:tcW w:w="5529" w:type="dxa"/>
          </w:tcPr>
          <w:p w14:paraId="557F5F64" w14:textId="77777777" w:rsidR="00A526B3" w:rsidRPr="004F2763" w:rsidRDefault="00A90607" w:rsidP="00862169">
            <w:pPr>
              <w:pStyle w:val="TableBodyText"/>
              <w:spacing w:before="40" w:after="40"/>
            </w:pPr>
            <w:r>
              <w:t>Transportation s</w:t>
            </w:r>
            <w:r w:rsidR="00A526B3">
              <w:t>ervice providers must not engage in any conduct with the intent of distorting or manipulating auction prices</w:t>
            </w:r>
          </w:p>
        </w:tc>
        <w:tc>
          <w:tcPr>
            <w:tcW w:w="2127" w:type="dxa"/>
          </w:tcPr>
          <w:p w14:paraId="127B605D" w14:textId="77777777" w:rsidR="00A526B3" w:rsidRDefault="00A526B3" w:rsidP="00862169">
            <w:pPr>
              <w:pStyle w:val="TableBodyText"/>
              <w:spacing w:before="40" w:after="40"/>
            </w:pPr>
            <w:r>
              <w:t>Civil penalty and conduct provision</w:t>
            </w:r>
          </w:p>
        </w:tc>
      </w:tr>
      <w:tr w:rsidR="00A526B3" w14:paraId="3B9C2CD5"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tcPr>
          <w:p w14:paraId="21FF0424" w14:textId="77777777" w:rsidR="00A526B3" w:rsidRPr="004F2763" w:rsidRDefault="00A526B3" w:rsidP="00862169">
            <w:pPr>
              <w:pStyle w:val="TableBodyText"/>
              <w:spacing w:before="40" w:after="40"/>
            </w:pPr>
            <w:r>
              <w:t xml:space="preserve">Rule 661(3) </w:t>
            </w:r>
          </w:p>
        </w:tc>
        <w:tc>
          <w:tcPr>
            <w:tcW w:w="5529" w:type="dxa"/>
          </w:tcPr>
          <w:p w14:paraId="4F4EA4E8" w14:textId="77777777" w:rsidR="00A526B3" w:rsidRPr="004F2763" w:rsidRDefault="00A90607" w:rsidP="00862169">
            <w:pPr>
              <w:pStyle w:val="TableBodyText"/>
              <w:spacing w:before="40" w:after="40"/>
            </w:pPr>
            <w:r>
              <w:t xml:space="preserve">Transportation service </w:t>
            </w:r>
            <w:r w:rsidR="00A526B3">
              <w:t xml:space="preserve">providers must not, in relation to an auction facility owned, operated or controlled by the </w:t>
            </w:r>
            <w:r>
              <w:t xml:space="preserve">transportation </w:t>
            </w:r>
            <w:r w:rsidR="00A526B3">
              <w:t xml:space="preserve">service provider, submit bids for capacity in the auction or arrange for another person to do so at a price determined by the </w:t>
            </w:r>
            <w:r>
              <w:t xml:space="preserve">transportation service </w:t>
            </w:r>
            <w:r w:rsidR="00A526B3">
              <w:t>provider</w:t>
            </w:r>
          </w:p>
        </w:tc>
        <w:tc>
          <w:tcPr>
            <w:tcW w:w="2127" w:type="dxa"/>
          </w:tcPr>
          <w:p w14:paraId="17192B3B" w14:textId="77777777" w:rsidR="00A526B3" w:rsidRDefault="00A526B3" w:rsidP="00862169">
            <w:pPr>
              <w:pStyle w:val="TableBodyText"/>
              <w:spacing w:before="40" w:after="40"/>
            </w:pPr>
            <w:r>
              <w:t>Civil penalty and conduct provision</w:t>
            </w:r>
          </w:p>
        </w:tc>
      </w:tr>
      <w:tr w:rsidR="00A526B3" w:rsidRPr="00D95D50" w14:paraId="2BD01450" w14:textId="77777777" w:rsidTr="00A526B3">
        <w:trPr>
          <w:cantSplit/>
        </w:trPr>
        <w:tc>
          <w:tcPr>
            <w:tcW w:w="1134" w:type="dxa"/>
            <w:hideMark/>
          </w:tcPr>
          <w:p w14:paraId="7170BC45" w14:textId="77777777" w:rsidR="00A526B3" w:rsidRPr="009F266E" w:rsidRDefault="00A526B3" w:rsidP="00862169">
            <w:pPr>
              <w:pStyle w:val="TableBodyText"/>
              <w:spacing w:before="40" w:after="40"/>
            </w:pPr>
            <w:r w:rsidRPr="009F266E">
              <w:t xml:space="preserve">Rule 662(1) </w:t>
            </w:r>
          </w:p>
        </w:tc>
        <w:tc>
          <w:tcPr>
            <w:tcW w:w="5529" w:type="dxa"/>
          </w:tcPr>
          <w:p w14:paraId="0CF39B8E" w14:textId="77777777" w:rsidR="00A526B3" w:rsidRPr="009F266E" w:rsidRDefault="00A526B3" w:rsidP="00862169">
            <w:pPr>
              <w:pStyle w:val="TableBodyText"/>
              <w:spacing w:before="40" w:after="40"/>
            </w:pPr>
            <w:r w:rsidRPr="009F266E">
              <w:t>Auction participants must not submit bids if they know they cannot perform their obligations under resulting transaction or with the intention of defaulting in its performance</w:t>
            </w:r>
          </w:p>
        </w:tc>
        <w:tc>
          <w:tcPr>
            <w:tcW w:w="2127" w:type="dxa"/>
            <w:hideMark/>
          </w:tcPr>
          <w:p w14:paraId="78A34D0E" w14:textId="77777777" w:rsidR="00A526B3" w:rsidRPr="009F266E" w:rsidRDefault="00A526B3" w:rsidP="00862169">
            <w:pPr>
              <w:pStyle w:val="TableBodyText"/>
              <w:spacing w:before="40" w:after="40"/>
            </w:pPr>
            <w:r w:rsidRPr="009F266E">
              <w:t>Civil penalty and conduct provision</w:t>
            </w:r>
          </w:p>
        </w:tc>
      </w:tr>
      <w:tr w:rsidR="00A526B3" w:rsidRPr="00D95D50" w14:paraId="345E5A7B"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tcPr>
          <w:p w14:paraId="68A80F36" w14:textId="77777777" w:rsidR="00A526B3" w:rsidRPr="009F266E" w:rsidRDefault="00A526B3" w:rsidP="00862169">
            <w:pPr>
              <w:pStyle w:val="TableBodyText"/>
              <w:spacing w:before="40" w:after="40"/>
            </w:pPr>
            <w:r w:rsidRPr="009F266E">
              <w:t xml:space="preserve">Rule 662(2) </w:t>
            </w:r>
          </w:p>
        </w:tc>
        <w:tc>
          <w:tcPr>
            <w:tcW w:w="5529" w:type="dxa"/>
          </w:tcPr>
          <w:p w14:paraId="125C75C5" w14:textId="77777777" w:rsidR="00A526B3" w:rsidRPr="009F266E" w:rsidRDefault="00A526B3" w:rsidP="00862169">
            <w:pPr>
              <w:pStyle w:val="TableBodyText"/>
              <w:spacing w:before="40" w:after="40"/>
            </w:pPr>
            <w:r w:rsidRPr="009F266E">
              <w:t xml:space="preserve">Auction participants must not intentionally or recklessly default in the performance of </w:t>
            </w:r>
            <w:r>
              <w:t xml:space="preserve">their </w:t>
            </w:r>
            <w:r w:rsidRPr="009F266E">
              <w:t>obligations under any transaction arising through the capacity auction</w:t>
            </w:r>
          </w:p>
        </w:tc>
        <w:tc>
          <w:tcPr>
            <w:tcW w:w="2127" w:type="dxa"/>
          </w:tcPr>
          <w:p w14:paraId="001EB04E" w14:textId="77777777" w:rsidR="00A526B3" w:rsidRPr="009F266E" w:rsidRDefault="00A526B3" w:rsidP="00862169">
            <w:pPr>
              <w:pStyle w:val="TableBodyText"/>
              <w:spacing w:before="40" w:after="40"/>
            </w:pPr>
            <w:r w:rsidRPr="009F266E">
              <w:t>Civil penalty and conduct provision</w:t>
            </w:r>
          </w:p>
        </w:tc>
      </w:tr>
      <w:tr w:rsidR="00A526B3" w14:paraId="39C9B65C" w14:textId="77777777" w:rsidTr="00A526B3">
        <w:trPr>
          <w:cantSplit/>
        </w:trPr>
        <w:tc>
          <w:tcPr>
            <w:tcW w:w="1134" w:type="dxa"/>
          </w:tcPr>
          <w:p w14:paraId="22C1F8BA" w14:textId="77777777" w:rsidR="00A526B3" w:rsidRPr="009F266E" w:rsidRDefault="00A526B3" w:rsidP="00862169">
            <w:pPr>
              <w:pStyle w:val="TableBodyText"/>
              <w:spacing w:before="40" w:after="40"/>
            </w:pPr>
            <w:r w:rsidRPr="009F266E">
              <w:t xml:space="preserve">Rule 662(3) </w:t>
            </w:r>
          </w:p>
        </w:tc>
        <w:tc>
          <w:tcPr>
            <w:tcW w:w="5529" w:type="dxa"/>
          </w:tcPr>
          <w:p w14:paraId="066FC9D8" w14:textId="77777777" w:rsidR="00A526B3" w:rsidRPr="009F266E" w:rsidRDefault="00A526B3" w:rsidP="00D37183">
            <w:pPr>
              <w:pStyle w:val="TableBodyText"/>
              <w:spacing w:before="40" w:after="40"/>
            </w:pPr>
            <w:r w:rsidRPr="009F266E">
              <w:t>Auction participants must not manipulate or attempt to manipulate the auction</w:t>
            </w:r>
          </w:p>
        </w:tc>
        <w:tc>
          <w:tcPr>
            <w:tcW w:w="2127" w:type="dxa"/>
          </w:tcPr>
          <w:p w14:paraId="099F27E2" w14:textId="77777777" w:rsidR="00A526B3" w:rsidRPr="009F266E" w:rsidRDefault="00A526B3" w:rsidP="00862169">
            <w:pPr>
              <w:pStyle w:val="TableBodyText"/>
              <w:spacing w:before="40" w:after="40"/>
            </w:pPr>
            <w:r w:rsidRPr="009F266E">
              <w:t>Civil penalty and conduct provision</w:t>
            </w:r>
          </w:p>
        </w:tc>
      </w:tr>
      <w:tr w:rsidR="00A526B3" w14:paraId="0F40FBFA"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hideMark/>
          </w:tcPr>
          <w:p w14:paraId="0A65B62D" w14:textId="77777777" w:rsidR="00A526B3" w:rsidRPr="001F3BF4" w:rsidRDefault="00A526B3" w:rsidP="00862169">
            <w:pPr>
              <w:pStyle w:val="TableBodyText"/>
              <w:spacing w:before="40" w:after="40"/>
            </w:pPr>
            <w:r w:rsidRPr="001F3BF4">
              <w:t xml:space="preserve">Rule 663(1), (2) and (3) </w:t>
            </w:r>
          </w:p>
        </w:tc>
        <w:tc>
          <w:tcPr>
            <w:tcW w:w="5529" w:type="dxa"/>
          </w:tcPr>
          <w:p w14:paraId="7B0A8C26" w14:textId="77777777" w:rsidR="00A526B3" w:rsidRPr="001F3BF4" w:rsidRDefault="003B1AB4" w:rsidP="00862169">
            <w:pPr>
              <w:pStyle w:val="TableBodyText"/>
              <w:spacing w:before="40" w:after="40"/>
            </w:pPr>
            <w:r>
              <w:t xml:space="preserve">Auction </w:t>
            </w:r>
            <w:r w:rsidR="00A526B3" w:rsidRPr="001F3BF4">
              <w:t>facility users must not make nominations or re-nominations that are false, misleading or likely to mislead</w:t>
            </w:r>
          </w:p>
        </w:tc>
        <w:tc>
          <w:tcPr>
            <w:tcW w:w="2127" w:type="dxa"/>
            <w:hideMark/>
          </w:tcPr>
          <w:p w14:paraId="5EAF89A9" w14:textId="77777777" w:rsidR="00A526B3" w:rsidRDefault="00A526B3" w:rsidP="00862169">
            <w:pPr>
              <w:pStyle w:val="TableBodyText"/>
              <w:spacing w:before="40" w:after="40"/>
            </w:pPr>
            <w:r>
              <w:t xml:space="preserve">Civil penalty </w:t>
            </w:r>
          </w:p>
        </w:tc>
      </w:tr>
      <w:tr w:rsidR="00A526B3" w14:paraId="18FD93A8" w14:textId="77777777" w:rsidTr="00A526B3">
        <w:trPr>
          <w:cantSplit/>
        </w:trPr>
        <w:tc>
          <w:tcPr>
            <w:tcW w:w="1134" w:type="dxa"/>
            <w:hideMark/>
          </w:tcPr>
          <w:p w14:paraId="4B0F68A8" w14:textId="77777777" w:rsidR="00A526B3" w:rsidRPr="001F3BF4" w:rsidRDefault="00A526B3" w:rsidP="00862169">
            <w:pPr>
              <w:pStyle w:val="TableBodyText"/>
              <w:spacing w:before="40" w:after="40"/>
            </w:pPr>
            <w:r w:rsidRPr="001F3BF4">
              <w:t xml:space="preserve">Rule 665(1) </w:t>
            </w:r>
          </w:p>
        </w:tc>
        <w:tc>
          <w:tcPr>
            <w:tcW w:w="5529" w:type="dxa"/>
          </w:tcPr>
          <w:p w14:paraId="292ECFC5" w14:textId="77777777" w:rsidR="00A526B3" w:rsidRPr="001F3BF4" w:rsidRDefault="00A526B3" w:rsidP="00862169">
            <w:pPr>
              <w:pStyle w:val="TableBodyText"/>
              <w:spacing w:before="40" w:after="40"/>
            </w:pPr>
            <w:r w:rsidRPr="001F3BF4">
              <w:t>Auction facility operators must keep and maintain nominations and scheduling records</w:t>
            </w:r>
          </w:p>
        </w:tc>
        <w:tc>
          <w:tcPr>
            <w:tcW w:w="2127" w:type="dxa"/>
            <w:hideMark/>
          </w:tcPr>
          <w:p w14:paraId="03E59123" w14:textId="77777777" w:rsidR="00A526B3" w:rsidRDefault="00A526B3" w:rsidP="00862169">
            <w:pPr>
              <w:pStyle w:val="TableBodyText"/>
              <w:spacing w:before="40" w:after="40"/>
            </w:pPr>
            <w:r>
              <w:t xml:space="preserve">Civil penalty </w:t>
            </w:r>
          </w:p>
        </w:tc>
      </w:tr>
      <w:tr w:rsidR="00A526B3" w14:paraId="2C4E6DE1"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tcPr>
          <w:p w14:paraId="53164063" w14:textId="77777777" w:rsidR="00A526B3" w:rsidRPr="001F3BF4" w:rsidRDefault="00A526B3" w:rsidP="00862169">
            <w:pPr>
              <w:pStyle w:val="TableBodyText"/>
              <w:spacing w:before="40" w:after="40"/>
            </w:pPr>
            <w:r w:rsidRPr="001F3BF4">
              <w:t>Rule 665(6)</w:t>
            </w:r>
          </w:p>
        </w:tc>
        <w:tc>
          <w:tcPr>
            <w:tcW w:w="5529" w:type="dxa"/>
          </w:tcPr>
          <w:p w14:paraId="17B10430" w14:textId="77777777" w:rsidR="00A526B3" w:rsidRPr="001F3BF4" w:rsidRDefault="00A526B3" w:rsidP="00862169">
            <w:pPr>
              <w:pStyle w:val="TableBodyText"/>
              <w:spacing w:before="40" w:after="40"/>
            </w:pPr>
            <w:r w:rsidRPr="001F3BF4">
              <w:t>Auction facility operators must provide nomination and scheduling records to the AER on request</w:t>
            </w:r>
          </w:p>
        </w:tc>
        <w:tc>
          <w:tcPr>
            <w:tcW w:w="2127" w:type="dxa"/>
          </w:tcPr>
          <w:p w14:paraId="7CFA6054" w14:textId="77777777" w:rsidR="00A526B3" w:rsidRDefault="00A526B3" w:rsidP="00862169">
            <w:pPr>
              <w:pStyle w:val="TableBodyText"/>
              <w:spacing w:before="40" w:after="40"/>
            </w:pPr>
            <w:r>
              <w:t xml:space="preserve">Civil penalty </w:t>
            </w:r>
          </w:p>
        </w:tc>
      </w:tr>
      <w:tr w:rsidR="00A526B3" w14:paraId="46504D94" w14:textId="77777777" w:rsidTr="00A526B3">
        <w:trPr>
          <w:cantSplit/>
        </w:trPr>
        <w:tc>
          <w:tcPr>
            <w:tcW w:w="1134" w:type="dxa"/>
            <w:hideMark/>
          </w:tcPr>
          <w:p w14:paraId="57DA11DA" w14:textId="77777777" w:rsidR="00A526B3" w:rsidRPr="001F3BF4" w:rsidRDefault="00A526B3" w:rsidP="00862169">
            <w:pPr>
              <w:pStyle w:val="TableBodyText"/>
              <w:spacing w:before="40" w:after="40"/>
            </w:pPr>
            <w:r w:rsidRPr="001F3BF4">
              <w:t>Rule 666(1) and (2)</w:t>
            </w:r>
          </w:p>
        </w:tc>
        <w:tc>
          <w:tcPr>
            <w:tcW w:w="5529" w:type="dxa"/>
          </w:tcPr>
          <w:p w14:paraId="63EBAC1D" w14:textId="77777777" w:rsidR="00A526B3" w:rsidRPr="001F3BF4" w:rsidRDefault="00A526B3" w:rsidP="00862169">
            <w:pPr>
              <w:pStyle w:val="TableBodyText"/>
              <w:spacing w:before="40" w:after="40"/>
            </w:pPr>
            <w:r w:rsidRPr="001F3BF4">
              <w:t>Transportation facility users that make a material renomination must keep a record of specified information</w:t>
            </w:r>
          </w:p>
        </w:tc>
        <w:tc>
          <w:tcPr>
            <w:tcW w:w="2127" w:type="dxa"/>
            <w:hideMark/>
          </w:tcPr>
          <w:p w14:paraId="6336BF28" w14:textId="77777777" w:rsidR="00A526B3" w:rsidRDefault="00A526B3" w:rsidP="00862169">
            <w:pPr>
              <w:pStyle w:val="TableBodyText"/>
              <w:spacing w:before="40" w:after="40"/>
            </w:pPr>
            <w:r>
              <w:t xml:space="preserve">Civil penalty </w:t>
            </w:r>
          </w:p>
        </w:tc>
      </w:tr>
      <w:tr w:rsidR="00A526B3" w14:paraId="1DC46EED"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tcBorders>
              <w:bottom w:val="single" w:sz="4" w:space="0" w:color="auto"/>
            </w:tcBorders>
          </w:tcPr>
          <w:p w14:paraId="11BCFDC3" w14:textId="77777777" w:rsidR="00A526B3" w:rsidRPr="004F2763" w:rsidRDefault="00A526B3" w:rsidP="00862169">
            <w:pPr>
              <w:pStyle w:val="TableBodyText"/>
              <w:spacing w:before="40" w:after="40"/>
            </w:pPr>
            <w:r w:rsidRPr="004F2763">
              <w:t>Rule 666(</w:t>
            </w:r>
            <w:r>
              <w:t>4</w:t>
            </w:r>
            <w:r w:rsidRPr="004F2763">
              <w:t>)</w:t>
            </w:r>
          </w:p>
        </w:tc>
        <w:tc>
          <w:tcPr>
            <w:tcW w:w="5529" w:type="dxa"/>
            <w:tcBorders>
              <w:bottom w:val="single" w:sz="4" w:space="0" w:color="auto"/>
            </w:tcBorders>
          </w:tcPr>
          <w:p w14:paraId="1A5FD0E6" w14:textId="77777777" w:rsidR="00A526B3" w:rsidRPr="004F2763" w:rsidRDefault="00A526B3" w:rsidP="00862169">
            <w:pPr>
              <w:pStyle w:val="TableBodyText"/>
              <w:spacing w:before="40" w:after="40"/>
            </w:pPr>
            <w:r w:rsidRPr="004F2763">
              <w:t xml:space="preserve">Transportation facility users </w:t>
            </w:r>
            <w:r>
              <w:t xml:space="preserve">must </w:t>
            </w:r>
            <w:r w:rsidRPr="004F2763">
              <w:t>provide any additional information requested by the AER</w:t>
            </w:r>
            <w:r>
              <w:t xml:space="preserve"> </w:t>
            </w:r>
            <w:r w:rsidRPr="004F2763">
              <w:t>to substantiate and verify the reasons for the renomination</w:t>
            </w:r>
          </w:p>
        </w:tc>
        <w:tc>
          <w:tcPr>
            <w:tcW w:w="2127" w:type="dxa"/>
            <w:tcBorders>
              <w:bottom w:val="single" w:sz="4" w:space="0" w:color="auto"/>
            </w:tcBorders>
          </w:tcPr>
          <w:p w14:paraId="68DDBDBA" w14:textId="77777777" w:rsidR="00A526B3" w:rsidRDefault="00A526B3" w:rsidP="00862169">
            <w:pPr>
              <w:pStyle w:val="TableBodyText"/>
              <w:spacing w:before="40" w:after="40"/>
            </w:pPr>
            <w:r>
              <w:t xml:space="preserve">Civil penalty </w:t>
            </w:r>
          </w:p>
        </w:tc>
      </w:tr>
      <w:tr w:rsidR="00A526B3" w14:paraId="1DCD640C" w14:textId="77777777" w:rsidTr="00A526B3">
        <w:trPr>
          <w:cantSplit/>
        </w:trPr>
        <w:tc>
          <w:tcPr>
            <w:tcW w:w="1134" w:type="dxa"/>
            <w:tcBorders>
              <w:bottom w:val="single" w:sz="4" w:space="0" w:color="auto"/>
            </w:tcBorders>
            <w:hideMark/>
          </w:tcPr>
          <w:p w14:paraId="13E03239" w14:textId="77777777" w:rsidR="00A526B3" w:rsidRPr="004F2763" w:rsidRDefault="00A526B3" w:rsidP="00862169">
            <w:pPr>
              <w:pStyle w:val="TableBodyText"/>
              <w:spacing w:before="40" w:after="40"/>
            </w:pPr>
            <w:r w:rsidRPr="004F2763">
              <w:t xml:space="preserve">Rule 672(4) </w:t>
            </w:r>
          </w:p>
        </w:tc>
        <w:tc>
          <w:tcPr>
            <w:tcW w:w="5529" w:type="dxa"/>
            <w:tcBorders>
              <w:bottom w:val="single" w:sz="4" w:space="0" w:color="auto"/>
            </w:tcBorders>
          </w:tcPr>
          <w:p w14:paraId="1AF36A0F" w14:textId="77777777" w:rsidR="00A526B3" w:rsidRPr="004F2763" w:rsidRDefault="00A526B3" w:rsidP="00862169">
            <w:pPr>
              <w:pStyle w:val="TableBodyText"/>
              <w:spacing w:before="40" w:after="40"/>
            </w:pPr>
            <w:r>
              <w:t>Auction f</w:t>
            </w:r>
            <w:r w:rsidRPr="004F2763">
              <w:t>acility operator must pay amount</w:t>
            </w:r>
            <w:r>
              <w:t>s</w:t>
            </w:r>
            <w:r w:rsidRPr="004F2763">
              <w:t xml:space="preserve"> payable to AEMO under a </w:t>
            </w:r>
            <w:r>
              <w:t xml:space="preserve">final statement or </w:t>
            </w:r>
            <w:r w:rsidRPr="004F2763">
              <w:t xml:space="preserve">revised statement by no later than 12 noon on </w:t>
            </w:r>
            <w:r w:rsidR="00D37183">
              <w:t xml:space="preserve">the </w:t>
            </w:r>
            <w:r w:rsidRPr="004F2763">
              <w:t>payment date</w:t>
            </w:r>
          </w:p>
        </w:tc>
        <w:tc>
          <w:tcPr>
            <w:tcW w:w="2127" w:type="dxa"/>
            <w:tcBorders>
              <w:bottom w:val="single" w:sz="4" w:space="0" w:color="auto"/>
            </w:tcBorders>
            <w:hideMark/>
          </w:tcPr>
          <w:p w14:paraId="07388184" w14:textId="77777777" w:rsidR="00A526B3" w:rsidRDefault="00A526B3" w:rsidP="00862169">
            <w:pPr>
              <w:pStyle w:val="TableBodyText"/>
              <w:spacing w:before="40" w:after="40"/>
            </w:pPr>
            <w:r>
              <w:t xml:space="preserve">Civil penalty and conduct provision </w:t>
            </w:r>
          </w:p>
        </w:tc>
      </w:tr>
      <w:tr w:rsidR="00A526B3" w14:paraId="2BB028B3"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tcBorders>
              <w:bottom w:val="single" w:sz="4" w:space="0" w:color="auto"/>
            </w:tcBorders>
            <w:hideMark/>
          </w:tcPr>
          <w:p w14:paraId="6B83D196" w14:textId="77777777" w:rsidR="00A526B3" w:rsidRPr="004F2763" w:rsidRDefault="00A526B3" w:rsidP="00862169">
            <w:pPr>
              <w:pStyle w:val="TableBodyText"/>
              <w:spacing w:before="40" w:after="40"/>
            </w:pPr>
            <w:r w:rsidRPr="004F2763">
              <w:t xml:space="preserve">Rule 674(1) </w:t>
            </w:r>
          </w:p>
        </w:tc>
        <w:tc>
          <w:tcPr>
            <w:tcW w:w="5529" w:type="dxa"/>
            <w:tcBorders>
              <w:bottom w:val="single" w:sz="4" w:space="0" w:color="auto"/>
            </w:tcBorders>
          </w:tcPr>
          <w:p w14:paraId="3B0C4E4B" w14:textId="77777777" w:rsidR="00A526B3" w:rsidRPr="004F2763" w:rsidRDefault="00A526B3" w:rsidP="00862169">
            <w:pPr>
              <w:pStyle w:val="TableBodyText"/>
              <w:spacing w:before="40" w:after="40"/>
            </w:pPr>
            <w:r w:rsidRPr="004F2763">
              <w:t>Persons required to pay AEMO an amount must pay interest on any unpaid monies at the default interest rate</w:t>
            </w:r>
          </w:p>
        </w:tc>
        <w:tc>
          <w:tcPr>
            <w:tcW w:w="2127" w:type="dxa"/>
            <w:tcBorders>
              <w:bottom w:val="single" w:sz="4" w:space="0" w:color="auto"/>
            </w:tcBorders>
            <w:hideMark/>
          </w:tcPr>
          <w:p w14:paraId="6224752D" w14:textId="77777777" w:rsidR="00A526B3" w:rsidRDefault="00A526B3" w:rsidP="00862169">
            <w:pPr>
              <w:pStyle w:val="TableBodyText"/>
              <w:spacing w:before="40" w:after="40"/>
            </w:pPr>
            <w:r>
              <w:t>Civil penalty and conduct provision</w:t>
            </w:r>
          </w:p>
        </w:tc>
      </w:tr>
      <w:tr w:rsidR="007B0EEF" w:rsidRPr="00886B5E" w14:paraId="0B7062EF" w14:textId="77777777" w:rsidTr="00FC5B30">
        <w:trPr>
          <w:cantSplit/>
          <w:trHeight w:val="399"/>
        </w:trPr>
        <w:tc>
          <w:tcPr>
            <w:tcW w:w="8790" w:type="dxa"/>
            <w:gridSpan w:val="3"/>
            <w:shd w:val="clear" w:color="auto" w:fill="65697F" w:themeFill="background2" w:themeFillShade="80"/>
          </w:tcPr>
          <w:p w14:paraId="20161D57" w14:textId="77777777" w:rsidR="007B0EEF" w:rsidRPr="00886B5E" w:rsidRDefault="007B0EEF" w:rsidP="00862169">
            <w:pPr>
              <w:pStyle w:val="TableBodyText"/>
              <w:spacing w:before="40" w:after="40"/>
              <w:jc w:val="center"/>
              <w:rPr>
                <w:b/>
                <w:color w:val="FFFFFF" w:themeColor="background1"/>
              </w:rPr>
            </w:pPr>
            <w:r w:rsidRPr="00886B5E">
              <w:rPr>
                <w:b/>
                <w:color w:val="FFFFFF" w:themeColor="background1"/>
              </w:rPr>
              <w:t>Transitional rules – Schedule 5 of NGR</w:t>
            </w:r>
          </w:p>
        </w:tc>
      </w:tr>
      <w:tr w:rsidR="00A526B3" w14:paraId="60399DA5"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tcPr>
          <w:p w14:paraId="71901382" w14:textId="77777777" w:rsidR="00A526B3" w:rsidRDefault="00A526B3" w:rsidP="00862169">
            <w:pPr>
              <w:pStyle w:val="TableBodyText"/>
              <w:spacing w:before="40" w:after="40"/>
            </w:pPr>
            <w:r>
              <w:t>Part 4, rule 4(5)</w:t>
            </w:r>
          </w:p>
        </w:tc>
        <w:tc>
          <w:tcPr>
            <w:tcW w:w="5529" w:type="dxa"/>
          </w:tcPr>
          <w:p w14:paraId="3F495445" w14:textId="77777777" w:rsidR="00A526B3" w:rsidRDefault="00A526B3" w:rsidP="00862169">
            <w:pPr>
              <w:pStyle w:val="TableBodyText"/>
              <w:spacing w:before="40" w:after="40"/>
            </w:pPr>
            <w:r>
              <w:t xml:space="preserve">Auction facility operators must maintain a record of matters relied upon when classifying a quantity as a transitional firm quantity for a gas day and provide </w:t>
            </w:r>
            <w:r w:rsidR="00D37183">
              <w:t xml:space="preserve">the record </w:t>
            </w:r>
            <w:r>
              <w:t>to the AER on request</w:t>
            </w:r>
          </w:p>
        </w:tc>
        <w:tc>
          <w:tcPr>
            <w:tcW w:w="2127" w:type="dxa"/>
          </w:tcPr>
          <w:p w14:paraId="7B32A039" w14:textId="77777777" w:rsidR="00A526B3" w:rsidRDefault="00A526B3" w:rsidP="00862169">
            <w:pPr>
              <w:pStyle w:val="TableBodyText"/>
              <w:spacing w:before="40" w:after="40"/>
            </w:pPr>
            <w:r>
              <w:t>Civil penalty</w:t>
            </w:r>
          </w:p>
        </w:tc>
      </w:tr>
      <w:tr w:rsidR="00A526B3" w:rsidRPr="00B43CF6" w14:paraId="7E304E03" w14:textId="77777777" w:rsidTr="00A526B3">
        <w:trPr>
          <w:cantSplit/>
        </w:trPr>
        <w:tc>
          <w:tcPr>
            <w:tcW w:w="1134" w:type="dxa"/>
          </w:tcPr>
          <w:p w14:paraId="1D61B55C" w14:textId="77777777" w:rsidR="00A526B3" w:rsidRPr="00B43CF6" w:rsidRDefault="00A526B3" w:rsidP="00862169">
            <w:pPr>
              <w:pStyle w:val="TableBodyText"/>
              <w:spacing w:before="40" w:after="40"/>
            </w:pPr>
            <w:r w:rsidRPr="00B43CF6">
              <w:t>Part 4, rule 5(2)</w:t>
            </w:r>
          </w:p>
        </w:tc>
        <w:tc>
          <w:tcPr>
            <w:tcW w:w="5529" w:type="dxa"/>
          </w:tcPr>
          <w:p w14:paraId="48774BE9" w14:textId="77777777" w:rsidR="00A526B3" w:rsidRPr="00B43CF6" w:rsidRDefault="00A526B3" w:rsidP="00862169">
            <w:pPr>
              <w:pStyle w:val="TableBodyText"/>
              <w:spacing w:before="40" w:after="40"/>
            </w:pPr>
            <w:r w:rsidRPr="00B43CF6">
              <w:t xml:space="preserve">If requested by the AER, </w:t>
            </w:r>
            <w:r>
              <w:t xml:space="preserve">an auction </w:t>
            </w:r>
            <w:r w:rsidRPr="00B43CF6">
              <w:t xml:space="preserve">facility operator must provide information concerning </w:t>
            </w:r>
            <w:r>
              <w:t xml:space="preserve">the proposed classification of a </w:t>
            </w:r>
            <w:r w:rsidRPr="00B43CF6">
              <w:t xml:space="preserve">transitional firm service as soon as practicable </w:t>
            </w:r>
            <w:r>
              <w:t>and within the time specified in the request, which must not be shorter</w:t>
            </w:r>
            <w:r w:rsidRPr="00B43CF6">
              <w:t xml:space="preserve"> than 10 business days after </w:t>
            </w:r>
            <w:r w:rsidR="003B1AB4">
              <w:t xml:space="preserve">the </w:t>
            </w:r>
            <w:r w:rsidRPr="00B43CF6">
              <w:t>request</w:t>
            </w:r>
          </w:p>
        </w:tc>
        <w:tc>
          <w:tcPr>
            <w:tcW w:w="2127" w:type="dxa"/>
          </w:tcPr>
          <w:p w14:paraId="23A7FA0B" w14:textId="77777777" w:rsidR="00A526B3" w:rsidRPr="00B43CF6" w:rsidRDefault="00A526B3" w:rsidP="00862169">
            <w:pPr>
              <w:pStyle w:val="TableBodyText"/>
              <w:spacing w:before="40" w:after="40"/>
            </w:pPr>
            <w:r w:rsidRPr="00B43CF6">
              <w:t xml:space="preserve">Civil penalty </w:t>
            </w:r>
          </w:p>
        </w:tc>
      </w:tr>
      <w:tr w:rsidR="00A526B3" w:rsidRPr="00B43CF6" w14:paraId="68AFBA7A" w14:textId="77777777" w:rsidTr="00A526B3">
        <w:trPr>
          <w:cnfStyle w:val="000000010000" w:firstRow="0" w:lastRow="0" w:firstColumn="0" w:lastColumn="0" w:oddVBand="0" w:evenVBand="0" w:oddHBand="0" w:evenHBand="1" w:firstRowFirstColumn="0" w:firstRowLastColumn="0" w:lastRowFirstColumn="0" w:lastRowLastColumn="0"/>
          <w:cantSplit/>
        </w:trPr>
        <w:tc>
          <w:tcPr>
            <w:tcW w:w="1134" w:type="dxa"/>
          </w:tcPr>
          <w:p w14:paraId="1E2DB703" w14:textId="77777777" w:rsidR="00A526B3" w:rsidRPr="00B43CF6" w:rsidRDefault="00A526B3" w:rsidP="00862169">
            <w:pPr>
              <w:pStyle w:val="TableBodyText"/>
              <w:spacing w:before="40" w:after="40"/>
            </w:pPr>
            <w:r w:rsidRPr="00B43CF6">
              <w:t>Part 4, rule 5(</w:t>
            </w:r>
            <w:r>
              <w:t>4</w:t>
            </w:r>
            <w:r w:rsidRPr="00B43CF6">
              <w:t>)</w:t>
            </w:r>
          </w:p>
        </w:tc>
        <w:tc>
          <w:tcPr>
            <w:tcW w:w="5529" w:type="dxa"/>
          </w:tcPr>
          <w:p w14:paraId="5AD2B38C" w14:textId="77777777" w:rsidR="00A526B3" w:rsidRPr="00B43CF6" w:rsidRDefault="00A526B3" w:rsidP="00862169">
            <w:pPr>
              <w:pStyle w:val="TableBodyText"/>
              <w:spacing w:before="40" w:after="40"/>
            </w:pPr>
            <w:r w:rsidRPr="00B43CF6">
              <w:t xml:space="preserve">If </w:t>
            </w:r>
            <w:r>
              <w:t xml:space="preserve">the AER is not satisfied a service satisfies the transitional firm classification criteria and issues a notice to the auction facility operator, the auction facility operator must not classify the service as a </w:t>
            </w:r>
            <w:r w:rsidRPr="00B43CF6">
              <w:t>transitional firm service</w:t>
            </w:r>
          </w:p>
        </w:tc>
        <w:tc>
          <w:tcPr>
            <w:tcW w:w="2127" w:type="dxa"/>
          </w:tcPr>
          <w:p w14:paraId="603EEA4F" w14:textId="77777777" w:rsidR="00A526B3" w:rsidRPr="00B43CF6" w:rsidRDefault="00A526B3" w:rsidP="00862169">
            <w:pPr>
              <w:pStyle w:val="TableBodyText"/>
              <w:spacing w:before="40" w:after="40"/>
            </w:pPr>
            <w:r w:rsidRPr="00B43CF6">
              <w:t xml:space="preserve">Civil penalty </w:t>
            </w:r>
          </w:p>
        </w:tc>
      </w:tr>
      <w:tr w:rsidR="00A526B3" w:rsidRPr="00B43CF6" w14:paraId="0D73C47B" w14:textId="77777777" w:rsidTr="00A526B3">
        <w:trPr>
          <w:cantSplit/>
        </w:trPr>
        <w:tc>
          <w:tcPr>
            <w:tcW w:w="1134" w:type="dxa"/>
          </w:tcPr>
          <w:p w14:paraId="3891DC19" w14:textId="77777777" w:rsidR="00A526B3" w:rsidRPr="00B43CF6" w:rsidRDefault="00A526B3" w:rsidP="00862169">
            <w:pPr>
              <w:pStyle w:val="TableBodyText"/>
              <w:spacing w:before="40" w:after="40"/>
            </w:pPr>
            <w:r w:rsidRPr="009F266E">
              <w:t xml:space="preserve">Part 4, rule 6(1) and (2) </w:t>
            </w:r>
          </w:p>
        </w:tc>
        <w:tc>
          <w:tcPr>
            <w:tcW w:w="5529" w:type="dxa"/>
          </w:tcPr>
          <w:p w14:paraId="4EB575A3" w14:textId="77777777" w:rsidR="00A526B3" w:rsidRPr="00B43CF6" w:rsidRDefault="00A526B3" w:rsidP="00862169">
            <w:pPr>
              <w:pStyle w:val="TableBodyText"/>
              <w:spacing w:before="40" w:after="40"/>
            </w:pPr>
            <w:r>
              <w:t>An auction f</w:t>
            </w:r>
            <w:r w:rsidRPr="009F266E">
              <w:t>acility</w:t>
            </w:r>
            <w:r w:rsidRPr="00B43CF6">
              <w:t xml:space="preserve"> operator who has classified a service as </w:t>
            </w:r>
            <w:r w:rsidR="003B1AB4">
              <w:t xml:space="preserve">a </w:t>
            </w:r>
            <w:r w:rsidRPr="00B43CF6">
              <w:t xml:space="preserve">transitional firm service must notify the AER of </w:t>
            </w:r>
            <w:r>
              <w:t xml:space="preserve">any </w:t>
            </w:r>
            <w:r w:rsidRPr="00B43CF6">
              <w:t>variation to relevant facility agreement within 5 business days of variation</w:t>
            </w:r>
          </w:p>
        </w:tc>
        <w:tc>
          <w:tcPr>
            <w:tcW w:w="2127" w:type="dxa"/>
          </w:tcPr>
          <w:p w14:paraId="226EBDCA" w14:textId="77777777" w:rsidR="00A526B3" w:rsidRPr="00B43CF6" w:rsidRDefault="00A526B3" w:rsidP="00862169">
            <w:pPr>
              <w:pStyle w:val="TableBodyText"/>
              <w:spacing w:before="40" w:after="40"/>
            </w:pPr>
            <w:r w:rsidRPr="00B43CF6">
              <w:t xml:space="preserve">Civil penalty </w:t>
            </w:r>
          </w:p>
        </w:tc>
      </w:tr>
    </w:tbl>
    <w:p w14:paraId="56552818" w14:textId="77777777" w:rsidR="007830BC" w:rsidRDefault="007830BC" w:rsidP="00156D33">
      <w:pPr>
        <w:pStyle w:val="BodyText"/>
      </w:pPr>
    </w:p>
    <w:p w14:paraId="1BF00294" w14:textId="77777777" w:rsidR="00200CAD" w:rsidRDefault="00200CAD" w:rsidP="00CF72C1">
      <w:pPr>
        <w:pStyle w:val="BodyText"/>
      </w:pPr>
      <w:r>
        <w:br w:type="page"/>
      </w:r>
    </w:p>
    <w:p w14:paraId="619FA3C8" w14:textId="77777777" w:rsidR="00B454FE" w:rsidRPr="001868BC" w:rsidRDefault="00B454FE" w:rsidP="00E82ED6">
      <w:pPr>
        <w:pStyle w:val="Heading1"/>
        <w:spacing w:after="120"/>
      </w:pPr>
      <w:bookmarkStart w:id="88" w:name="_Toc530546474"/>
      <w:r>
        <w:lastRenderedPageBreak/>
        <w:t>Reporting framework for secondary capacity trades and other transparency measures</w:t>
      </w:r>
      <w:bookmarkEnd w:id="88"/>
    </w:p>
    <w:p w14:paraId="445B1C74" w14:textId="77777777" w:rsidR="000204F6" w:rsidRDefault="000204F6" w:rsidP="00C14918">
      <w:pPr>
        <w:pStyle w:val="BodyText"/>
        <w:spacing w:before="120" w:line="252" w:lineRule="auto"/>
      </w:pPr>
      <w:r>
        <w:t>The capacity trading reform package provides for a range of transparency related measures, including:</w:t>
      </w:r>
    </w:p>
    <w:p w14:paraId="765F5E16" w14:textId="77777777" w:rsidR="000204F6" w:rsidRDefault="006B34E4" w:rsidP="00C14918">
      <w:pPr>
        <w:pStyle w:val="ListBullet"/>
        <w:spacing w:before="60" w:after="60" w:line="252" w:lineRule="auto"/>
        <w:ind w:left="357" w:hanging="357"/>
      </w:pPr>
      <w:r>
        <w:t xml:space="preserve">a </w:t>
      </w:r>
      <w:r w:rsidR="000204F6">
        <w:t>reporting framework for secondary capacity trades</w:t>
      </w:r>
      <w:r>
        <w:t xml:space="preserve"> that captures bilateral trades and trades conducted through the capacity trading platform</w:t>
      </w:r>
      <w:r w:rsidR="000204F6">
        <w:t xml:space="preserve">; </w:t>
      </w:r>
    </w:p>
    <w:p w14:paraId="43A96AED" w14:textId="77777777" w:rsidR="000204F6" w:rsidRDefault="000204F6" w:rsidP="00C14918">
      <w:pPr>
        <w:pStyle w:val="ListBullet"/>
        <w:spacing w:before="60" w:after="60" w:line="252" w:lineRule="auto"/>
        <w:ind w:left="357" w:hanging="357"/>
      </w:pPr>
      <w:r>
        <w:t>a requirement for AEMO to publish the auction results and other auction related information on the Bulletin Board</w:t>
      </w:r>
      <w:r w:rsidR="0079432A">
        <w:t xml:space="preserve"> (see Chapter 7)</w:t>
      </w:r>
      <w:r>
        <w:t xml:space="preserve">; </w:t>
      </w:r>
    </w:p>
    <w:p w14:paraId="5577E688" w14:textId="77777777" w:rsidR="000204F6" w:rsidRDefault="000204F6" w:rsidP="00C14918">
      <w:pPr>
        <w:pStyle w:val="ListBullet"/>
        <w:spacing w:before="60" w:after="60" w:line="252" w:lineRule="auto"/>
        <w:ind w:left="357" w:hanging="357"/>
      </w:pPr>
      <w:r>
        <w:t xml:space="preserve">a requirement for allocation agents </w:t>
      </w:r>
      <w:r w:rsidR="00F716AC">
        <w:t xml:space="preserve">on </w:t>
      </w:r>
      <w:r w:rsidR="0079432A">
        <w:t xml:space="preserve">Part 24 </w:t>
      </w:r>
      <w:r w:rsidR="00F716AC">
        <w:t xml:space="preserve">facilities and system injection and system withdrawal points in the DTS (excluding points at which the allocations are determined under Retail Market Procedures) </w:t>
      </w:r>
      <w:r>
        <w:t xml:space="preserve">to provide AEMO with information on allocation </w:t>
      </w:r>
      <w:r w:rsidR="00F716AC">
        <w:t>arrangements</w:t>
      </w:r>
      <w:r>
        <w:rPr>
          <w:rStyle w:val="FootnoteReference"/>
        </w:rPr>
        <w:footnoteReference w:id="331"/>
      </w:r>
      <w:r>
        <w:t xml:space="preserve"> for publication on the Bulletin Board; and</w:t>
      </w:r>
    </w:p>
    <w:p w14:paraId="73D3C07A" w14:textId="77777777" w:rsidR="000204F6" w:rsidRPr="001E0EEB" w:rsidRDefault="000204F6" w:rsidP="00C14918">
      <w:pPr>
        <w:pStyle w:val="ListBullet"/>
        <w:spacing w:before="60" w:after="60" w:line="252" w:lineRule="auto"/>
        <w:ind w:left="357" w:hanging="357"/>
      </w:pPr>
      <w:r>
        <w:t xml:space="preserve">a </w:t>
      </w:r>
      <w:r w:rsidRPr="001E0EEB">
        <w:t xml:space="preserve">number of </w:t>
      </w:r>
      <w:r w:rsidR="00F716AC">
        <w:t xml:space="preserve">other </w:t>
      </w:r>
      <w:r w:rsidRPr="001E0EEB">
        <w:t>amendments to the Bulletin Board reporting obligations that are required to enable users of the capacity trading platform and auction to understand the risks associated with products procured through these mechanisms, which include:</w:t>
      </w:r>
    </w:p>
    <w:p w14:paraId="1D8BF6B1" w14:textId="77777777" w:rsidR="000204F6" w:rsidRPr="001E0EEB" w:rsidRDefault="000204F6" w:rsidP="00C14918">
      <w:pPr>
        <w:pStyle w:val="ListBullet2"/>
        <w:spacing w:before="60" w:after="60" w:line="252" w:lineRule="auto"/>
        <w:ind w:left="714" w:hanging="357"/>
      </w:pPr>
      <w:r w:rsidRPr="001E0EEB">
        <w:t xml:space="preserve">extending the Bulletin Board reporting obligations to </w:t>
      </w:r>
      <w:r w:rsidR="00DA16AB">
        <w:t xml:space="preserve">transportation </w:t>
      </w:r>
      <w:r w:rsidRPr="001E0EEB">
        <w:t xml:space="preserve">service providers operating remote transportation facilities that </w:t>
      </w:r>
      <w:r w:rsidR="0011427B">
        <w:t>do not qualify for</w:t>
      </w:r>
      <w:r w:rsidR="0011427B" w:rsidRPr="001E0EEB" w:rsidDel="0011427B">
        <w:t xml:space="preserve"> </w:t>
      </w:r>
      <w:r w:rsidRPr="001E0EEB">
        <w:t xml:space="preserve">an exemption under Part 24 of the NGR; </w:t>
      </w:r>
    </w:p>
    <w:p w14:paraId="1D83AD35" w14:textId="77777777" w:rsidR="000204F6" w:rsidRPr="001E0EEB" w:rsidRDefault="000204F6" w:rsidP="00C14918">
      <w:pPr>
        <w:pStyle w:val="ListBullet2"/>
        <w:spacing w:before="60" w:after="60" w:line="252" w:lineRule="auto"/>
        <w:ind w:left="714" w:hanging="357"/>
      </w:pPr>
      <w:r w:rsidRPr="001E0EEB">
        <w:t xml:space="preserve">a requirement for </w:t>
      </w:r>
      <w:r w:rsidR="00DA16AB">
        <w:t xml:space="preserve">transportation </w:t>
      </w:r>
      <w:r w:rsidRPr="001E0EEB">
        <w:t>service providers to provide a greater level of information on the capacity and use of receipt and delivery points; and</w:t>
      </w:r>
    </w:p>
    <w:p w14:paraId="5F9899FA" w14:textId="77777777" w:rsidR="000204F6" w:rsidRDefault="000204F6" w:rsidP="00C14918">
      <w:pPr>
        <w:pStyle w:val="ListBullet2"/>
        <w:spacing w:before="60" w:after="60" w:line="252" w:lineRule="auto"/>
        <w:ind w:left="714" w:hanging="357"/>
      </w:pPr>
      <w:r w:rsidRPr="001E0EEB">
        <w:t xml:space="preserve">a requirement for </w:t>
      </w:r>
      <w:r w:rsidR="006B34E4">
        <w:t xml:space="preserve">Part 24 </w:t>
      </w:r>
      <w:r w:rsidRPr="001E0EEB">
        <w:t>compression</w:t>
      </w:r>
      <w:r w:rsidR="00D51280">
        <w:t xml:space="preserve"> </w:t>
      </w:r>
      <w:r w:rsidR="00F716AC">
        <w:t>facility operators</w:t>
      </w:r>
      <w:r w:rsidRPr="001E0EEB">
        <w:t xml:space="preserve"> to </w:t>
      </w:r>
      <w:r w:rsidR="006B34E4">
        <w:t xml:space="preserve">report </w:t>
      </w:r>
      <w:r w:rsidR="00F716AC">
        <w:t xml:space="preserve">a range of operational </w:t>
      </w:r>
      <w:r w:rsidRPr="001E0EEB">
        <w:t>information.</w:t>
      </w:r>
    </w:p>
    <w:p w14:paraId="7C57EFD9" w14:textId="77777777" w:rsidR="00F716AC" w:rsidRDefault="00F716AC" w:rsidP="00C14918">
      <w:pPr>
        <w:pStyle w:val="BodyText"/>
        <w:spacing w:line="252" w:lineRule="auto"/>
      </w:pPr>
      <w:r w:rsidRPr="00CC2079">
        <w:rPr>
          <w:rFonts w:cs="Arial"/>
        </w:rPr>
        <w:t xml:space="preserve">This element of the </w:t>
      </w:r>
      <w:r>
        <w:rPr>
          <w:rFonts w:cs="Arial"/>
        </w:rPr>
        <w:t xml:space="preserve">reform package is expected </w:t>
      </w:r>
      <w:r w:rsidR="00D37183">
        <w:rPr>
          <w:rFonts w:cs="Arial"/>
        </w:rPr>
        <w:t xml:space="preserve">to </w:t>
      </w:r>
      <w:r w:rsidRPr="00CC2079">
        <w:t>aid the price discovery process, reduce search and transaction costs</w:t>
      </w:r>
      <w:r>
        <w:t>, reduce barriers to trade</w:t>
      </w:r>
      <w:r w:rsidRPr="00CC2079">
        <w:t xml:space="preserve"> and allow shippers to make more informed decisions about their use of capacity</w:t>
      </w:r>
      <w:r>
        <w:t xml:space="preserve"> and service points.</w:t>
      </w:r>
    </w:p>
    <w:p w14:paraId="5499447A" w14:textId="77777777" w:rsidR="00F172F9" w:rsidRDefault="00F172F9" w:rsidP="00C14918">
      <w:pPr>
        <w:pStyle w:val="BodyText"/>
        <w:spacing w:line="252" w:lineRule="auto"/>
      </w:pPr>
      <w:r>
        <w:t>Further detail on these transparency measures is provided below, along with an overview of the changes that have been made to the NGL, NGR and Regulations to give effect to this element of the reform package.</w:t>
      </w:r>
    </w:p>
    <w:p w14:paraId="16E4E4D9" w14:textId="77777777" w:rsidR="00F172F9" w:rsidRPr="00086528" w:rsidRDefault="00F172F9" w:rsidP="00C14918">
      <w:pPr>
        <w:pStyle w:val="Heading2"/>
        <w:spacing w:before="240" w:after="120" w:line="252" w:lineRule="auto"/>
      </w:pPr>
      <w:bookmarkStart w:id="89" w:name="_Toc530546475"/>
      <w:r>
        <w:t>Overview of transparency measures</w:t>
      </w:r>
      <w:bookmarkEnd w:id="89"/>
    </w:p>
    <w:p w14:paraId="662C1B37" w14:textId="06259DDA" w:rsidR="00C14918" w:rsidRDefault="0036561B" w:rsidP="00C14918">
      <w:pPr>
        <w:pStyle w:val="BodyText"/>
        <w:spacing w:line="252" w:lineRule="auto"/>
        <w:rPr>
          <w:i/>
        </w:rPr>
      </w:pPr>
      <w:r>
        <w:fldChar w:fldCharType="begin"/>
      </w:r>
      <w:r>
        <w:instrText xml:space="preserve"> REF _Ref508864311 \h </w:instrText>
      </w:r>
      <w:r>
        <w:fldChar w:fldCharType="separate"/>
      </w:r>
      <w:r w:rsidR="0026074F">
        <w:t xml:space="preserve">Table </w:t>
      </w:r>
      <w:r w:rsidR="0026074F">
        <w:rPr>
          <w:noProof/>
        </w:rPr>
        <w:t>8</w:t>
      </w:r>
      <w:r w:rsidR="0026074F">
        <w:t>.</w:t>
      </w:r>
      <w:r w:rsidR="0026074F">
        <w:rPr>
          <w:noProof/>
        </w:rPr>
        <w:t>1</w:t>
      </w:r>
      <w:r>
        <w:fldChar w:fldCharType="end"/>
      </w:r>
      <w:r>
        <w:t xml:space="preserve"> provides a summary of the key features of the transparency measures</w:t>
      </w:r>
      <w:r w:rsidR="006B34E4">
        <w:t xml:space="preserve"> outlined above</w:t>
      </w:r>
      <w:r>
        <w:t xml:space="preserve">.  </w:t>
      </w:r>
      <w:r w:rsidR="006B34E4">
        <w:t>This table should be read in conjunction with GMRG’s final recommendations on the design of the capacity trading reform package</w:t>
      </w:r>
      <w:r w:rsidR="00E82ED6">
        <w:t>, which provides further detail on the rationale for including these measures in the reform package</w:t>
      </w:r>
      <w:r w:rsidR="006B34E4" w:rsidRPr="006B34E4">
        <w:rPr>
          <w:i/>
        </w:rPr>
        <w:t>.</w:t>
      </w:r>
      <w:r w:rsidR="006B34E4">
        <w:rPr>
          <w:rStyle w:val="FootnoteReference"/>
          <w:i/>
        </w:rPr>
        <w:footnoteReference w:id="332"/>
      </w:r>
      <w:r w:rsidR="006B34E4">
        <w:rPr>
          <w:i/>
        </w:rPr>
        <w:t xml:space="preserve"> </w:t>
      </w:r>
    </w:p>
    <w:p w14:paraId="451D0AA3" w14:textId="77777777" w:rsidR="0036561B" w:rsidRDefault="006B34E4" w:rsidP="00C14918">
      <w:pPr>
        <w:pStyle w:val="BodyText"/>
        <w:spacing w:line="252" w:lineRule="auto"/>
      </w:pPr>
      <w:r w:rsidRPr="006B34E4">
        <w:t>As noted</w:t>
      </w:r>
      <w:r>
        <w:t xml:space="preserve"> in Chapter 1, the only </w:t>
      </w:r>
      <w:r w:rsidR="00E82ED6">
        <w:t xml:space="preserve">substantive change </w:t>
      </w:r>
      <w:r>
        <w:t xml:space="preserve">that has been made to </w:t>
      </w:r>
      <w:r w:rsidR="00E82ED6">
        <w:t xml:space="preserve">the final recommendations is that the reporting requirements for allocation arrangements has been expanded to require more information to be provided on the requirements to join and leave these arrangements. </w:t>
      </w:r>
    </w:p>
    <w:p w14:paraId="062DDA26" w14:textId="77777777" w:rsidR="00C23976" w:rsidRDefault="00C23976" w:rsidP="00C14918">
      <w:pPr>
        <w:pStyle w:val="BodyText"/>
        <w:spacing w:line="252" w:lineRule="auto"/>
        <w:sectPr w:rsidR="00C23976" w:rsidSect="001250A3">
          <w:headerReference w:type="default" r:id="rId52"/>
          <w:footerReference w:type="default" r:id="rId53"/>
          <w:pgSz w:w="11907" w:h="16840" w:code="9"/>
          <w:pgMar w:top="1701" w:right="1418" w:bottom="851" w:left="1701" w:header="425" w:footer="397" w:gutter="0"/>
          <w:cols w:space="708"/>
          <w:docGrid w:linePitch="360"/>
        </w:sectPr>
      </w:pPr>
    </w:p>
    <w:p w14:paraId="2816897F" w14:textId="3605D27C" w:rsidR="00C23976" w:rsidRDefault="00C23976" w:rsidP="00C23976">
      <w:pPr>
        <w:pStyle w:val="Caption"/>
        <w:spacing w:before="0" w:after="0"/>
      </w:pPr>
      <w:bookmarkStart w:id="90" w:name="_Ref508864311"/>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8</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bookmarkEnd w:id="90"/>
      <w:r>
        <w:t xml:space="preserve">: </w:t>
      </w:r>
      <w:r w:rsidR="000204F6">
        <w:t>Final design of the reporting framework for secondary capacity trades and other transparency measures</w:t>
      </w:r>
    </w:p>
    <w:tbl>
      <w:tblPr>
        <w:tblW w:w="5118" w:type="pct"/>
        <w:tblCellMar>
          <w:left w:w="0" w:type="dxa"/>
          <w:right w:w="0" w:type="dxa"/>
        </w:tblCellMar>
        <w:tblLook w:val="0420" w:firstRow="1" w:lastRow="0" w:firstColumn="0" w:lastColumn="0" w:noHBand="0" w:noVBand="1"/>
      </w:tblPr>
      <w:tblGrid>
        <w:gridCol w:w="1691"/>
        <w:gridCol w:w="12332"/>
      </w:tblGrid>
      <w:tr w:rsidR="00A76F4F" w:rsidRPr="00C37D44" w14:paraId="764CCAB2" w14:textId="77777777" w:rsidTr="005A552A">
        <w:trPr>
          <w:trHeight w:val="19"/>
          <w:tblHeader/>
        </w:trPr>
        <w:tc>
          <w:tcPr>
            <w:tcW w:w="603" w:type="pct"/>
            <w:tcBorders>
              <w:top w:val="single" w:sz="4" w:space="0" w:color="auto"/>
              <w:left w:val="single" w:sz="8" w:space="0" w:color="FFFFFF"/>
              <w:bottom w:val="single" w:sz="4" w:space="0" w:color="auto"/>
              <w:right w:val="single" w:sz="4" w:space="0" w:color="auto"/>
            </w:tcBorders>
            <w:shd w:val="clear" w:color="auto" w:fill="0099CC"/>
            <w:tcMar>
              <w:top w:w="72" w:type="dxa"/>
              <w:left w:w="144" w:type="dxa"/>
              <w:bottom w:w="72" w:type="dxa"/>
              <w:right w:w="144" w:type="dxa"/>
            </w:tcMar>
            <w:hideMark/>
          </w:tcPr>
          <w:p w14:paraId="03A58EA1" w14:textId="77777777" w:rsidR="00A76F4F" w:rsidRPr="00D30678" w:rsidRDefault="00A76F4F" w:rsidP="00F172F9">
            <w:pPr>
              <w:pStyle w:val="BodyText"/>
              <w:keepNext/>
              <w:spacing w:before="20" w:after="20" w:line="252" w:lineRule="auto"/>
              <w:rPr>
                <w:rFonts w:asciiTheme="majorHAnsi" w:hAnsiTheme="majorHAnsi" w:cstheme="majorHAnsi"/>
                <w:color w:val="FFFFFF" w:themeColor="background1"/>
                <w:sz w:val="18"/>
                <w:szCs w:val="18"/>
              </w:rPr>
            </w:pPr>
            <w:r w:rsidRPr="00D30678">
              <w:rPr>
                <w:rFonts w:asciiTheme="majorHAnsi" w:hAnsiTheme="majorHAnsi" w:cstheme="majorHAnsi"/>
                <w:b/>
                <w:bCs/>
                <w:color w:val="FFFFFF" w:themeColor="background1"/>
                <w:sz w:val="18"/>
                <w:szCs w:val="18"/>
              </w:rPr>
              <w:t>Design Element</w:t>
            </w:r>
          </w:p>
        </w:tc>
        <w:tc>
          <w:tcPr>
            <w:tcW w:w="4397" w:type="pct"/>
            <w:tcBorders>
              <w:top w:val="single" w:sz="4" w:space="0" w:color="auto"/>
              <w:left w:val="single" w:sz="4" w:space="0" w:color="auto"/>
              <w:bottom w:val="single" w:sz="4" w:space="0" w:color="auto"/>
              <w:right w:val="single" w:sz="8" w:space="0" w:color="FFFFFF"/>
            </w:tcBorders>
            <w:shd w:val="clear" w:color="auto" w:fill="0099CC"/>
            <w:tcMar>
              <w:top w:w="72" w:type="dxa"/>
              <w:left w:w="144" w:type="dxa"/>
              <w:bottom w:w="72" w:type="dxa"/>
              <w:right w:w="144" w:type="dxa"/>
            </w:tcMar>
            <w:hideMark/>
          </w:tcPr>
          <w:p w14:paraId="015D6087" w14:textId="77777777" w:rsidR="00A76F4F" w:rsidRPr="00F04A8E" w:rsidRDefault="00A76F4F" w:rsidP="00F172F9">
            <w:pPr>
              <w:pStyle w:val="BodyText"/>
              <w:keepNext/>
              <w:spacing w:before="20" w:after="20" w:line="252" w:lineRule="auto"/>
              <w:rPr>
                <w:rFonts w:asciiTheme="majorHAnsi" w:hAnsiTheme="majorHAnsi" w:cstheme="majorHAnsi"/>
                <w:color w:val="FFFFFF" w:themeColor="background1"/>
                <w:sz w:val="18"/>
                <w:szCs w:val="18"/>
              </w:rPr>
            </w:pPr>
            <w:r w:rsidRPr="00F04A8E">
              <w:rPr>
                <w:rFonts w:asciiTheme="majorHAnsi" w:hAnsiTheme="majorHAnsi" w:cstheme="majorHAnsi"/>
                <w:b/>
                <w:bCs/>
                <w:color w:val="FFFFFF" w:themeColor="background1"/>
                <w:sz w:val="18"/>
                <w:szCs w:val="18"/>
              </w:rPr>
              <w:t>Detail</w:t>
            </w:r>
          </w:p>
        </w:tc>
      </w:tr>
      <w:tr w:rsidR="00A76F4F" w:rsidRPr="00C37D44" w14:paraId="22CED77E" w14:textId="77777777" w:rsidTr="005A552A">
        <w:trPr>
          <w:trHeight w:val="20"/>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14:paraId="7B08FC95" w14:textId="77777777" w:rsidR="00A76F4F" w:rsidRPr="00D30678" w:rsidRDefault="00A76F4F" w:rsidP="00F172F9">
            <w:pPr>
              <w:pStyle w:val="BodyText"/>
              <w:keepNext/>
              <w:spacing w:before="20" w:after="20" w:line="252" w:lineRule="auto"/>
              <w:jc w:val="center"/>
              <w:rPr>
                <w:rFonts w:asciiTheme="majorHAnsi" w:hAnsiTheme="majorHAnsi" w:cstheme="majorHAnsi"/>
                <w:b/>
                <w:sz w:val="18"/>
                <w:szCs w:val="18"/>
              </w:rPr>
            </w:pPr>
            <w:r w:rsidRPr="00D30678">
              <w:rPr>
                <w:rFonts w:asciiTheme="majorHAnsi" w:hAnsiTheme="majorHAnsi" w:cstheme="majorHAnsi"/>
                <w:b/>
                <w:color w:val="FFFFFF" w:themeColor="background1"/>
                <w:sz w:val="18"/>
                <w:szCs w:val="18"/>
              </w:rPr>
              <w:t>Reporting framework for secondary capacity trades</w:t>
            </w:r>
          </w:p>
        </w:tc>
      </w:tr>
      <w:tr w:rsidR="00A76F4F" w:rsidRPr="00C37D44" w14:paraId="1FA46CCB" w14:textId="77777777" w:rsidTr="00590352">
        <w:trPr>
          <w:trHeight w:val="1718"/>
        </w:trPr>
        <w:tc>
          <w:tcPr>
            <w:tcW w:w="603"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hideMark/>
          </w:tcPr>
          <w:p w14:paraId="742DBDE2" w14:textId="77777777" w:rsidR="00A76F4F" w:rsidRPr="00F04A8E" w:rsidRDefault="00A76F4F" w:rsidP="00205676">
            <w:pPr>
              <w:pStyle w:val="BodyText"/>
              <w:spacing w:before="40" w:after="40" w:line="252" w:lineRule="auto"/>
              <w:rPr>
                <w:rFonts w:asciiTheme="majorHAnsi" w:hAnsiTheme="majorHAnsi" w:cstheme="majorHAnsi"/>
                <w:sz w:val="18"/>
                <w:szCs w:val="18"/>
              </w:rPr>
            </w:pPr>
            <w:r w:rsidRPr="00D30678">
              <w:rPr>
                <w:rFonts w:asciiTheme="majorHAnsi" w:hAnsiTheme="majorHAnsi" w:cstheme="majorHAnsi"/>
                <w:sz w:val="18"/>
                <w:szCs w:val="18"/>
              </w:rPr>
              <w:t>Trades to be reported</w:t>
            </w:r>
          </w:p>
        </w:tc>
        <w:tc>
          <w:tcPr>
            <w:tcW w:w="4397"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hideMark/>
          </w:tcPr>
          <w:p w14:paraId="19DA8163" w14:textId="77777777" w:rsidR="00A76F4F" w:rsidRPr="00C37D44" w:rsidRDefault="00A76F4F" w:rsidP="00205676">
            <w:pPr>
              <w:pStyle w:val="BodyText"/>
              <w:spacing w:before="40" w:after="40" w:line="252" w:lineRule="auto"/>
              <w:rPr>
                <w:rFonts w:asciiTheme="majorHAnsi" w:hAnsiTheme="majorHAnsi" w:cstheme="majorHAnsi"/>
                <w:sz w:val="18"/>
                <w:szCs w:val="18"/>
              </w:rPr>
            </w:pPr>
            <w:r w:rsidRPr="00C37D44">
              <w:rPr>
                <w:rFonts w:asciiTheme="majorHAnsi" w:hAnsiTheme="majorHAnsi" w:cstheme="majorHAnsi"/>
                <w:sz w:val="18"/>
                <w:szCs w:val="18"/>
              </w:rPr>
              <w:t xml:space="preserve">Information on the following secondary capacity transactions </w:t>
            </w:r>
            <w:r>
              <w:rPr>
                <w:rFonts w:asciiTheme="majorHAnsi" w:hAnsiTheme="majorHAnsi" w:cstheme="majorHAnsi"/>
                <w:sz w:val="18"/>
                <w:szCs w:val="18"/>
              </w:rPr>
              <w:t>must</w:t>
            </w:r>
            <w:r w:rsidRPr="00C37D44">
              <w:rPr>
                <w:rFonts w:asciiTheme="majorHAnsi" w:hAnsiTheme="majorHAnsi" w:cstheme="majorHAnsi"/>
                <w:sz w:val="18"/>
                <w:szCs w:val="18"/>
              </w:rPr>
              <w:t xml:space="preserve"> be reported</w:t>
            </w:r>
            <w:r>
              <w:rPr>
                <w:rFonts w:asciiTheme="majorHAnsi" w:hAnsiTheme="majorHAnsi" w:cstheme="majorHAnsi"/>
                <w:sz w:val="18"/>
                <w:szCs w:val="18"/>
              </w:rPr>
              <w:t xml:space="preserve"> AEMO on the B</w:t>
            </w:r>
            <w:r w:rsidR="00205676">
              <w:rPr>
                <w:rFonts w:asciiTheme="majorHAnsi" w:hAnsiTheme="majorHAnsi" w:cstheme="majorHAnsi"/>
                <w:sz w:val="18"/>
                <w:szCs w:val="18"/>
              </w:rPr>
              <w:t xml:space="preserve">ulletin </w:t>
            </w:r>
            <w:r>
              <w:rPr>
                <w:rFonts w:asciiTheme="majorHAnsi" w:hAnsiTheme="majorHAnsi" w:cstheme="majorHAnsi"/>
                <w:sz w:val="18"/>
                <w:szCs w:val="18"/>
              </w:rPr>
              <w:t>B</w:t>
            </w:r>
            <w:r w:rsidR="00205676">
              <w:rPr>
                <w:rFonts w:asciiTheme="majorHAnsi" w:hAnsiTheme="majorHAnsi" w:cstheme="majorHAnsi"/>
                <w:sz w:val="18"/>
                <w:szCs w:val="18"/>
              </w:rPr>
              <w:t>oard</w:t>
            </w:r>
            <w:r w:rsidRPr="00C37D44">
              <w:rPr>
                <w:rFonts w:asciiTheme="majorHAnsi" w:hAnsiTheme="majorHAnsi" w:cstheme="majorHAnsi"/>
                <w:sz w:val="18"/>
                <w:szCs w:val="18"/>
              </w:rPr>
              <w:t>:</w:t>
            </w:r>
            <w:r w:rsidR="00926413">
              <w:rPr>
                <w:rStyle w:val="FootnoteReference"/>
                <w:rFonts w:asciiTheme="majorHAnsi" w:hAnsiTheme="majorHAnsi" w:cstheme="majorHAnsi"/>
                <w:sz w:val="18"/>
                <w:szCs w:val="18"/>
              </w:rPr>
              <w:footnoteReference w:id="333"/>
            </w:r>
          </w:p>
          <w:p w14:paraId="6EA27739" w14:textId="77777777" w:rsidR="00A76F4F" w:rsidRPr="00C37D44" w:rsidRDefault="00A76F4F" w:rsidP="00205676">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all screen and pre-matched trades carried out through the capacity trading platform; and </w:t>
            </w:r>
          </w:p>
          <w:p w14:paraId="69C4B1C0" w14:textId="77777777" w:rsidR="00A76F4F" w:rsidRPr="00C37D44" w:rsidRDefault="00A76F4F" w:rsidP="00205676">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bilateral trades of capacity </w:t>
            </w:r>
            <w:r>
              <w:rPr>
                <w:rFonts w:asciiTheme="majorHAnsi" w:hAnsiTheme="majorHAnsi" w:cstheme="majorHAnsi"/>
                <w:szCs w:val="18"/>
              </w:rPr>
              <w:t xml:space="preserve">(bare transfers and operational transfers) </w:t>
            </w:r>
            <w:r w:rsidRPr="00C37D44">
              <w:rPr>
                <w:rFonts w:asciiTheme="majorHAnsi" w:hAnsiTheme="majorHAnsi" w:cstheme="majorHAnsi"/>
                <w:szCs w:val="18"/>
              </w:rPr>
              <w:t>involving forward haul, backhaul, park, loan or compression services (excluding services on distribution pipelines).</w:t>
            </w:r>
          </w:p>
          <w:p w14:paraId="39E41041" w14:textId="77777777" w:rsidR="00A76F4F" w:rsidRPr="00C37D44" w:rsidRDefault="00A76F4F" w:rsidP="00205676">
            <w:pPr>
              <w:pStyle w:val="TableBullet1"/>
              <w:numPr>
                <w:ilvl w:val="0"/>
                <w:numId w:val="0"/>
              </w:numPr>
              <w:spacing w:before="40" w:after="40" w:line="252" w:lineRule="auto"/>
              <w:ind w:left="312" w:hanging="227"/>
              <w:rPr>
                <w:rFonts w:asciiTheme="majorHAnsi" w:hAnsiTheme="majorHAnsi" w:cstheme="majorHAnsi"/>
                <w:szCs w:val="18"/>
              </w:rPr>
            </w:pPr>
            <w:r w:rsidRPr="00C37D44">
              <w:rPr>
                <w:rFonts w:asciiTheme="majorHAnsi" w:hAnsiTheme="majorHAnsi" w:cstheme="majorHAnsi"/>
                <w:szCs w:val="18"/>
              </w:rPr>
              <w:t xml:space="preserve">The following transactions </w:t>
            </w:r>
            <w:r w:rsidR="00E82ED6">
              <w:rPr>
                <w:rFonts w:asciiTheme="majorHAnsi" w:hAnsiTheme="majorHAnsi" w:cstheme="majorHAnsi"/>
                <w:szCs w:val="18"/>
              </w:rPr>
              <w:t xml:space="preserve">do </w:t>
            </w:r>
            <w:r w:rsidRPr="00E82ED6">
              <w:rPr>
                <w:rFonts w:asciiTheme="majorHAnsi" w:hAnsiTheme="majorHAnsi" w:cstheme="majorHAnsi"/>
                <w:b/>
                <w:szCs w:val="18"/>
              </w:rPr>
              <w:t>not</w:t>
            </w:r>
            <w:r w:rsidRPr="00C37D44">
              <w:rPr>
                <w:rFonts w:asciiTheme="majorHAnsi" w:hAnsiTheme="majorHAnsi" w:cstheme="majorHAnsi"/>
                <w:szCs w:val="18"/>
              </w:rPr>
              <w:t xml:space="preserve"> </w:t>
            </w:r>
            <w:r w:rsidR="00E82ED6">
              <w:rPr>
                <w:rFonts w:asciiTheme="majorHAnsi" w:hAnsiTheme="majorHAnsi" w:cstheme="majorHAnsi"/>
                <w:szCs w:val="18"/>
              </w:rPr>
              <w:t xml:space="preserve">need </w:t>
            </w:r>
            <w:r w:rsidRPr="00C37D44">
              <w:rPr>
                <w:rFonts w:asciiTheme="majorHAnsi" w:hAnsiTheme="majorHAnsi" w:cstheme="majorHAnsi"/>
                <w:szCs w:val="18"/>
              </w:rPr>
              <w:t>to be reported:</w:t>
            </w:r>
            <w:r w:rsidR="00926413">
              <w:rPr>
                <w:rStyle w:val="FootnoteReference"/>
                <w:rFonts w:asciiTheme="majorHAnsi" w:hAnsiTheme="majorHAnsi" w:cstheme="majorHAnsi"/>
                <w:szCs w:val="18"/>
              </w:rPr>
              <w:footnoteReference w:id="334"/>
            </w:r>
          </w:p>
          <w:p w14:paraId="7D5070F7" w14:textId="77777777" w:rsidR="00A76F4F" w:rsidRPr="00C37D44" w:rsidRDefault="00A76F4F" w:rsidP="00205676">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the use of capacity to satisfy an obligation </w:t>
            </w:r>
            <w:r>
              <w:rPr>
                <w:rFonts w:asciiTheme="majorHAnsi" w:hAnsiTheme="majorHAnsi" w:cstheme="majorHAnsi"/>
                <w:szCs w:val="18"/>
              </w:rPr>
              <w:t>under an agreement for the supply of gas</w:t>
            </w:r>
            <w:r w:rsidR="00205676">
              <w:rPr>
                <w:rFonts w:asciiTheme="majorHAnsi" w:hAnsiTheme="majorHAnsi" w:cstheme="majorHAnsi"/>
                <w:szCs w:val="18"/>
              </w:rPr>
              <w:t xml:space="preserve"> (i.e. delivered gas supply agreements)</w:t>
            </w:r>
            <w:r w:rsidRPr="00C37D44">
              <w:rPr>
                <w:rFonts w:asciiTheme="majorHAnsi" w:hAnsiTheme="majorHAnsi" w:cstheme="majorHAnsi"/>
                <w:szCs w:val="18"/>
              </w:rPr>
              <w:t>;</w:t>
            </w:r>
          </w:p>
          <w:p w14:paraId="120AAE64" w14:textId="77777777" w:rsidR="00A76F4F" w:rsidRPr="00C37D44" w:rsidRDefault="00A76F4F" w:rsidP="00205676">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an agreement to swap a quantity of gas at a location for a quantity of gas at another location;</w:t>
            </w:r>
          </w:p>
          <w:p w14:paraId="3ED0F324" w14:textId="77777777" w:rsidR="00A76F4F" w:rsidRPr="00C37D44" w:rsidRDefault="00A76F4F" w:rsidP="00205676">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a novation of an agreement with a </w:t>
            </w:r>
            <w:r w:rsidR="00E82ED6">
              <w:rPr>
                <w:rFonts w:asciiTheme="majorHAnsi" w:hAnsiTheme="majorHAnsi" w:cstheme="majorHAnsi"/>
                <w:szCs w:val="18"/>
              </w:rPr>
              <w:t xml:space="preserve">transportation </w:t>
            </w:r>
            <w:r w:rsidRPr="00C37D44">
              <w:rPr>
                <w:rFonts w:asciiTheme="majorHAnsi" w:hAnsiTheme="majorHAnsi" w:cstheme="majorHAnsi"/>
                <w:szCs w:val="18"/>
              </w:rPr>
              <w:t xml:space="preserve">service provider; </w:t>
            </w:r>
            <w:r w:rsidR="00205676">
              <w:rPr>
                <w:rFonts w:asciiTheme="majorHAnsi" w:hAnsiTheme="majorHAnsi" w:cstheme="majorHAnsi"/>
                <w:szCs w:val="18"/>
              </w:rPr>
              <w:t xml:space="preserve">and </w:t>
            </w:r>
          </w:p>
          <w:p w14:paraId="710C8A7C" w14:textId="77777777" w:rsidR="00A76F4F" w:rsidRPr="00C37D44" w:rsidRDefault="00A76F4F" w:rsidP="00205676">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transactions between closely related entities.</w:t>
            </w:r>
          </w:p>
          <w:p w14:paraId="0929B228" w14:textId="77777777" w:rsidR="00A76F4F" w:rsidRPr="00C37D44" w:rsidRDefault="00D37183" w:rsidP="00205676">
            <w:pPr>
              <w:pStyle w:val="TableBullet1"/>
              <w:numPr>
                <w:ilvl w:val="0"/>
                <w:numId w:val="0"/>
              </w:numPr>
              <w:spacing w:before="40" w:after="40" w:line="252" w:lineRule="auto"/>
              <w:ind w:left="85"/>
              <w:rPr>
                <w:rFonts w:asciiTheme="majorHAnsi" w:hAnsiTheme="majorHAnsi" w:cstheme="majorHAnsi"/>
                <w:szCs w:val="18"/>
              </w:rPr>
            </w:pPr>
            <w:r>
              <w:rPr>
                <w:rFonts w:asciiTheme="majorHAnsi" w:hAnsiTheme="majorHAnsi" w:cstheme="majorHAnsi"/>
                <w:szCs w:val="18"/>
              </w:rPr>
              <w:t>T</w:t>
            </w:r>
            <w:r w:rsidR="00A76F4F" w:rsidRPr="00C37D44">
              <w:rPr>
                <w:rFonts w:asciiTheme="majorHAnsi" w:hAnsiTheme="majorHAnsi" w:cstheme="majorHAnsi"/>
                <w:szCs w:val="18"/>
              </w:rPr>
              <w:t>here are no facility based exemptions from secondary capacity reporting. Parties enter</w:t>
            </w:r>
            <w:r w:rsidR="00A76F4F">
              <w:rPr>
                <w:rFonts w:asciiTheme="majorHAnsi" w:hAnsiTheme="majorHAnsi" w:cstheme="majorHAnsi"/>
                <w:szCs w:val="18"/>
              </w:rPr>
              <w:t>ing</w:t>
            </w:r>
            <w:r w:rsidR="00A76F4F" w:rsidRPr="00C37D44">
              <w:rPr>
                <w:rFonts w:asciiTheme="majorHAnsi" w:hAnsiTheme="majorHAnsi" w:cstheme="majorHAnsi"/>
                <w:szCs w:val="18"/>
              </w:rPr>
              <w:t xml:space="preserve"> into trades on facilities </w:t>
            </w:r>
            <w:r w:rsidR="00A76F4F">
              <w:rPr>
                <w:rFonts w:asciiTheme="majorHAnsi" w:hAnsiTheme="majorHAnsi" w:cstheme="majorHAnsi"/>
                <w:szCs w:val="18"/>
              </w:rPr>
              <w:t xml:space="preserve">with </w:t>
            </w:r>
            <w:r w:rsidR="00E82ED6">
              <w:rPr>
                <w:rFonts w:asciiTheme="majorHAnsi" w:hAnsiTheme="majorHAnsi" w:cstheme="majorHAnsi"/>
                <w:szCs w:val="18"/>
              </w:rPr>
              <w:t xml:space="preserve">a Part 24 </w:t>
            </w:r>
            <w:r w:rsidR="00A76F4F">
              <w:rPr>
                <w:rFonts w:asciiTheme="majorHAnsi" w:hAnsiTheme="majorHAnsi" w:cstheme="majorHAnsi"/>
                <w:szCs w:val="18"/>
              </w:rPr>
              <w:t>exemption</w:t>
            </w:r>
            <w:r w:rsidR="00205676">
              <w:rPr>
                <w:rFonts w:asciiTheme="majorHAnsi" w:hAnsiTheme="majorHAnsi" w:cstheme="majorHAnsi"/>
                <w:szCs w:val="18"/>
              </w:rPr>
              <w:t xml:space="preserve"> </w:t>
            </w:r>
            <w:r w:rsidR="00A34EF2">
              <w:rPr>
                <w:rFonts w:asciiTheme="majorHAnsi" w:hAnsiTheme="majorHAnsi" w:cstheme="majorHAnsi"/>
                <w:szCs w:val="18"/>
              </w:rPr>
              <w:t>are</w:t>
            </w:r>
            <w:r w:rsidR="00A34EF2" w:rsidRPr="00C37D44">
              <w:rPr>
                <w:rFonts w:asciiTheme="majorHAnsi" w:hAnsiTheme="majorHAnsi" w:cstheme="majorHAnsi"/>
                <w:szCs w:val="18"/>
              </w:rPr>
              <w:t xml:space="preserve"> </w:t>
            </w:r>
            <w:r w:rsidR="00A76F4F" w:rsidRPr="00C37D44">
              <w:rPr>
                <w:rFonts w:asciiTheme="majorHAnsi" w:hAnsiTheme="majorHAnsi" w:cstheme="majorHAnsi"/>
                <w:szCs w:val="18"/>
              </w:rPr>
              <w:t xml:space="preserve">therefore </w:t>
            </w:r>
            <w:r w:rsidR="00205676">
              <w:rPr>
                <w:rFonts w:asciiTheme="majorHAnsi" w:hAnsiTheme="majorHAnsi" w:cstheme="majorHAnsi"/>
                <w:szCs w:val="18"/>
              </w:rPr>
              <w:t xml:space="preserve">still </w:t>
            </w:r>
            <w:r w:rsidR="00A76F4F" w:rsidRPr="00C37D44">
              <w:rPr>
                <w:rFonts w:asciiTheme="majorHAnsi" w:hAnsiTheme="majorHAnsi" w:cstheme="majorHAnsi"/>
                <w:szCs w:val="18"/>
              </w:rPr>
              <w:t xml:space="preserve">required to report </w:t>
            </w:r>
            <w:r w:rsidR="00A76F4F">
              <w:rPr>
                <w:rFonts w:asciiTheme="majorHAnsi" w:hAnsiTheme="majorHAnsi" w:cstheme="majorHAnsi"/>
                <w:szCs w:val="18"/>
              </w:rPr>
              <w:t xml:space="preserve">the </w:t>
            </w:r>
            <w:r w:rsidR="00A76F4F" w:rsidRPr="00C37D44">
              <w:rPr>
                <w:rFonts w:asciiTheme="majorHAnsi" w:hAnsiTheme="majorHAnsi" w:cstheme="majorHAnsi"/>
                <w:szCs w:val="18"/>
              </w:rPr>
              <w:t>trades unless</w:t>
            </w:r>
            <w:r w:rsidR="00A76F4F">
              <w:rPr>
                <w:rFonts w:asciiTheme="majorHAnsi" w:hAnsiTheme="majorHAnsi" w:cstheme="majorHAnsi"/>
                <w:szCs w:val="18"/>
              </w:rPr>
              <w:t xml:space="preserve"> the trade </w:t>
            </w:r>
            <w:r w:rsidR="00A76F4F" w:rsidRPr="00C37D44">
              <w:rPr>
                <w:rFonts w:asciiTheme="majorHAnsi" w:hAnsiTheme="majorHAnsi" w:cstheme="majorHAnsi"/>
                <w:szCs w:val="18"/>
              </w:rPr>
              <w:t>fall</w:t>
            </w:r>
            <w:r w:rsidR="00A76F4F">
              <w:rPr>
                <w:rFonts w:asciiTheme="majorHAnsi" w:hAnsiTheme="majorHAnsi" w:cstheme="majorHAnsi"/>
                <w:szCs w:val="18"/>
              </w:rPr>
              <w:t>s</w:t>
            </w:r>
            <w:r w:rsidR="00A76F4F" w:rsidRPr="00C37D44">
              <w:rPr>
                <w:rFonts w:asciiTheme="majorHAnsi" w:hAnsiTheme="majorHAnsi" w:cstheme="majorHAnsi"/>
                <w:szCs w:val="18"/>
              </w:rPr>
              <w:t xml:space="preserve"> into </w:t>
            </w:r>
            <w:r w:rsidR="00A76F4F">
              <w:rPr>
                <w:rFonts w:asciiTheme="majorHAnsi" w:hAnsiTheme="majorHAnsi" w:cstheme="majorHAnsi"/>
                <w:szCs w:val="18"/>
              </w:rPr>
              <w:t xml:space="preserve">a </w:t>
            </w:r>
            <w:r w:rsidR="00A76F4F" w:rsidRPr="00C37D44">
              <w:rPr>
                <w:rFonts w:asciiTheme="majorHAnsi" w:hAnsiTheme="majorHAnsi" w:cstheme="majorHAnsi"/>
                <w:szCs w:val="18"/>
              </w:rPr>
              <w:t>categor</w:t>
            </w:r>
            <w:r w:rsidR="00A76F4F">
              <w:rPr>
                <w:rFonts w:asciiTheme="majorHAnsi" w:hAnsiTheme="majorHAnsi" w:cstheme="majorHAnsi"/>
                <w:szCs w:val="18"/>
              </w:rPr>
              <w:t xml:space="preserve">y listed </w:t>
            </w:r>
            <w:r w:rsidR="00A76F4F" w:rsidRPr="00C37D44">
              <w:rPr>
                <w:rFonts w:asciiTheme="majorHAnsi" w:hAnsiTheme="majorHAnsi" w:cstheme="majorHAnsi"/>
                <w:szCs w:val="18"/>
              </w:rPr>
              <w:t>above.</w:t>
            </w:r>
          </w:p>
        </w:tc>
      </w:tr>
      <w:tr w:rsidR="00A76F4F" w:rsidRPr="00C37D44" w14:paraId="6E43AB25" w14:textId="77777777" w:rsidTr="00590352">
        <w:trPr>
          <w:trHeight w:val="398"/>
        </w:trPr>
        <w:tc>
          <w:tcPr>
            <w:tcW w:w="603" w:type="pct"/>
            <w:tcBorders>
              <w:top w:val="single" w:sz="4" w:space="0" w:color="auto"/>
              <w:bottom w:val="single" w:sz="4" w:space="0" w:color="auto"/>
              <w:right w:val="single" w:sz="4" w:space="0" w:color="auto"/>
            </w:tcBorders>
            <w:shd w:val="clear" w:color="auto" w:fill="E1E2E7" w:themeFill="background2"/>
            <w:tcMar>
              <w:top w:w="72" w:type="dxa"/>
              <w:left w:w="144" w:type="dxa"/>
              <w:bottom w:w="72" w:type="dxa"/>
              <w:right w:w="144" w:type="dxa"/>
            </w:tcMar>
            <w:hideMark/>
          </w:tcPr>
          <w:p w14:paraId="01EE6D6F" w14:textId="77777777" w:rsidR="00A76F4F" w:rsidRPr="00F04A8E" w:rsidRDefault="00A76F4F" w:rsidP="00205676">
            <w:pPr>
              <w:pStyle w:val="BodyText"/>
              <w:spacing w:before="40" w:after="40" w:line="252" w:lineRule="auto"/>
              <w:rPr>
                <w:rFonts w:asciiTheme="majorHAnsi" w:hAnsiTheme="majorHAnsi" w:cstheme="majorHAnsi"/>
                <w:sz w:val="18"/>
                <w:szCs w:val="18"/>
              </w:rPr>
            </w:pPr>
            <w:r w:rsidRPr="00D30678">
              <w:rPr>
                <w:rFonts w:asciiTheme="majorHAnsi" w:hAnsiTheme="majorHAnsi" w:cstheme="majorHAnsi"/>
                <w:sz w:val="18"/>
                <w:szCs w:val="18"/>
              </w:rPr>
              <w:t>Information to be reported</w:t>
            </w:r>
          </w:p>
        </w:tc>
        <w:tc>
          <w:tcPr>
            <w:tcW w:w="4397" w:type="pct"/>
            <w:tcBorders>
              <w:top w:val="single" w:sz="4" w:space="0" w:color="auto"/>
              <w:left w:val="single" w:sz="4" w:space="0" w:color="auto"/>
              <w:bottom w:val="single" w:sz="4" w:space="0" w:color="auto"/>
            </w:tcBorders>
            <w:shd w:val="clear" w:color="auto" w:fill="E1E2E7" w:themeFill="background2"/>
            <w:tcMar>
              <w:top w:w="72" w:type="dxa"/>
              <w:left w:w="144" w:type="dxa"/>
              <w:bottom w:w="72" w:type="dxa"/>
              <w:right w:w="144" w:type="dxa"/>
            </w:tcMar>
            <w:hideMark/>
          </w:tcPr>
          <w:p w14:paraId="32E8EBF4" w14:textId="77777777" w:rsidR="00A76F4F" w:rsidRPr="00C37D44" w:rsidRDefault="00A76F4F" w:rsidP="00205676">
            <w:pPr>
              <w:pStyle w:val="BodyText"/>
              <w:spacing w:before="40" w:after="40" w:line="252" w:lineRule="auto"/>
              <w:rPr>
                <w:rFonts w:asciiTheme="majorHAnsi" w:hAnsiTheme="majorHAnsi" w:cstheme="majorHAnsi"/>
                <w:sz w:val="18"/>
                <w:szCs w:val="18"/>
              </w:rPr>
            </w:pPr>
            <w:r w:rsidRPr="00C37D44">
              <w:rPr>
                <w:rFonts w:asciiTheme="majorHAnsi" w:hAnsiTheme="majorHAnsi" w:cstheme="majorHAnsi"/>
                <w:sz w:val="18"/>
                <w:szCs w:val="18"/>
              </w:rPr>
              <w:t xml:space="preserve">The following information on secondary capacity trades </w:t>
            </w:r>
            <w:r w:rsidR="00F172F9">
              <w:rPr>
                <w:rFonts w:asciiTheme="majorHAnsi" w:hAnsiTheme="majorHAnsi" w:cstheme="majorHAnsi"/>
                <w:sz w:val="18"/>
                <w:szCs w:val="18"/>
              </w:rPr>
              <w:t xml:space="preserve">must </w:t>
            </w:r>
            <w:r w:rsidRPr="00C37D44">
              <w:rPr>
                <w:rFonts w:asciiTheme="majorHAnsi" w:hAnsiTheme="majorHAnsi" w:cstheme="majorHAnsi"/>
                <w:sz w:val="18"/>
                <w:szCs w:val="18"/>
              </w:rPr>
              <w:t>be reported:</w:t>
            </w:r>
            <w:r w:rsidR="00205676">
              <w:rPr>
                <w:rStyle w:val="FootnoteReference"/>
                <w:rFonts w:asciiTheme="majorHAnsi" w:hAnsiTheme="majorHAnsi" w:cstheme="majorHAnsi"/>
                <w:sz w:val="18"/>
                <w:szCs w:val="18"/>
              </w:rPr>
              <w:footnoteReference w:id="335"/>
            </w:r>
          </w:p>
          <w:p w14:paraId="2CB0C510" w14:textId="77777777" w:rsidR="00A76F4F" w:rsidRPr="00C37D44" w:rsidRDefault="00A76F4F" w:rsidP="00205676">
            <w:pPr>
              <w:pStyle w:val="TableBullet1"/>
              <w:numPr>
                <w:ilvl w:val="0"/>
                <w:numId w:val="27"/>
              </w:numPr>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the </w:t>
            </w:r>
            <w:r>
              <w:rPr>
                <w:rFonts w:asciiTheme="majorHAnsi" w:hAnsiTheme="majorHAnsi" w:cstheme="majorHAnsi"/>
                <w:szCs w:val="18"/>
              </w:rPr>
              <w:t xml:space="preserve">identity of the </w:t>
            </w:r>
            <w:r w:rsidRPr="00C37D44">
              <w:rPr>
                <w:rFonts w:asciiTheme="majorHAnsi" w:hAnsiTheme="majorHAnsi" w:cstheme="majorHAnsi"/>
                <w:szCs w:val="18"/>
              </w:rPr>
              <w:t xml:space="preserve">trading parties and </w:t>
            </w:r>
            <w:r>
              <w:rPr>
                <w:rFonts w:asciiTheme="majorHAnsi" w:hAnsiTheme="majorHAnsi" w:cstheme="majorHAnsi"/>
                <w:szCs w:val="18"/>
              </w:rPr>
              <w:t>who the seller is</w:t>
            </w:r>
            <w:r w:rsidR="00D37183">
              <w:rPr>
                <w:rFonts w:asciiTheme="majorHAnsi" w:hAnsiTheme="majorHAnsi" w:cstheme="majorHAnsi"/>
                <w:szCs w:val="18"/>
              </w:rPr>
              <w:t xml:space="preserve">, </w:t>
            </w:r>
            <w:r w:rsidR="00205676" w:rsidRPr="00C23976">
              <w:rPr>
                <w:rFonts w:asciiTheme="majorHAnsi" w:hAnsiTheme="majorHAnsi" w:cstheme="majorHAnsi"/>
                <w:szCs w:val="18"/>
              </w:rPr>
              <w:t xml:space="preserve">AEMO </w:t>
            </w:r>
            <w:r w:rsidR="00205676">
              <w:rPr>
                <w:rFonts w:asciiTheme="majorHAnsi" w:hAnsiTheme="majorHAnsi" w:cstheme="majorHAnsi"/>
                <w:szCs w:val="18"/>
              </w:rPr>
              <w:t xml:space="preserve">is </w:t>
            </w:r>
            <w:r w:rsidR="00205676" w:rsidRPr="00C23976">
              <w:rPr>
                <w:rFonts w:asciiTheme="majorHAnsi" w:hAnsiTheme="majorHAnsi" w:cstheme="majorHAnsi"/>
                <w:szCs w:val="18"/>
              </w:rPr>
              <w:t>prevented from publishing the names of the trading parties</w:t>
            </w:r>
            <w:r w:rsidR="00205676">
              <w:rPr>
                <w:rFonts w:asciiTheme="majorHAnsi" w:hAnsiTheme="majorHAnsi" w:cstheme="majorHAnsi"/>
                <w:szCs w:val="18"/>
              </w:rPr>
              <w:t xml:space="preserve"> and is required </w:t>
            </w:r>
            <w:r w:rsidR="00205676" w:rsidRPr="00C23976">
              <w:rPr>
                <w:rFonts w:asciiTheme="majorHAnsi" w:hAnsiTheme="majorHAnsi" w:cstheme="majorHAnsi"/>
                <w:szCs w:val="18"/>
              </w:rPr>
              <w:t xml:space="preserve">publish the </w:t>
            </w:r>
            <w:r w:rsidR="00205676">
              <w:rPr>
                <w:rFonts w:asciiTheme="majorHAnsi" w:hAnsiTheme="majorHAnsi" w:cstheme="majorHAnsi"/>
                <w:szCs w:val="18"/>
              </w:rPr>
              <w:t xml:space="preserve">trades </w:t>
            </w:r>
            <w:r w:rsidR="00205676" w:rsidRPr="00C23976">
              <w:rPr>
                <w:rFonts w:asciiTheme="majorHAnsi" w:hAnsiTheme="majorHAnsi" w:cstheme="majorHAnsi"/>
                <w:szCs w:val="18"/>
              </w:rPr>
              <w:t>on a zonal basis</w:t>
            </w:r>
            <w:r w:rsidR="00205676">
              <w:rPr>
                <w:rFonts w:asciiTheme="majorHAnsi" w:hAnsiTheme="majorHAnsi" w:cstheme="majorHAnsi"/>
                <w:szCs w:val="18"/>
              </w:rPr>
              <w:t xml:space="preserve"> (or a facility basis if the transportation facility is not subject to the capacity trading reforms</w:t>
            </w:r>
            <w:r w:rsidR="00C14918">
              <w:rPr>
                <w:rFonts w:asciiTheme="majorHAnsi" w:hAnsiTheme="majorHAnsi" w:cstheme="majorHAnsi"/>
                <w:szCs w:val="18"/>
              </w:rPr>
              <w:t>)</w:t>
            </w:r>
            <w:r w:rsidRPr="00C37D44">
              <w:rPr>
                <w:rFonts w:asciiTheme="majorHAnsi" w:hAnsiTheme="majorHAnsi" w:cstheme="majorHAnsi"/>
                <w:szCs w:val="18"/>
              </w:rPr>
              <w:t>;</w:t>
            </w:r>
          </w:p>
          <w:p w14:paraId="1484C3FE" w14:textId="77777777" w:rsidR="00A76F4F" w:rsidRPr="00C37D44" w:rsidRDefault="00A76F4F" w:rsidP="00205676">
            <w:pPr>
              <w:pStyle w:val="TableBullet1"/>
              <w:numPr>
                <w:ilvl w:val="0"/>
                <w:numId w:val="27"/>
              </w:numPr>
              <w:spacing w:before="40" w:after="40" w:line="252" w:lineRule="auto"/>
              <w:rPr>
                <w:rFonts w:asciiTheme="majorHAnsi" w:hAnsiTheme="majorHAnsi" w:cstheme="majorHAnsi"/>
                <w:szCs w:val="18"/>
              </w:rPr>
            </w:pPr>
            <w:r w:rsidRPr="00C37D44">
              <w:rPr>
                <w:rFonts w:asciiTheme="majorHAnsi" w:hAnsiTheme="majorHAnsi" w:cstheme="majorHAnsi"/>
                <w:szCs w:val="18"/>
              </w:rPr>
              <w:t>the trade date and service term;</w:t>
            </w:r>
          </w:p>
          <w:p w14:paraId="445F9E32" w14:textId="77777777" w:rsidR="00A76F4F" w:rsidRPr="00C37D44" w:rsidRDefault="00A76F4F" w:rsidP="00205676">
            <w:pPr>
              <w:pStyle w:val="TableBullet1"/>
              <w:numPr>
                <w:ilvl w:val="0"/>
                <w:numId w:val="27"/>
              </w:numPr>
              <w:spacing w:before="40" w:after="40" w:line="252" w:lineRule="auto"/>
              <w:rPr>
                <w:rFonts w:asciiTheme="majorHAnsi" w:hAnsiTheme="majorHAnsi" w:cstheme="majorHAnsi"/>
                <w:szCs w:val="18"/>
              </w:rPr>
            </w:pPr>
            <w:r w:rsidRPr="00C37D44">
              <w:rPr>
                <w:rFonts w:asciiTheme="majorHAnsi" w:hAnsiTheme="majorHAnsi" w:cstheme="majorHAnsi"/>
                <w:szCs w:val="18"/>
              </w:rPr>
              <w:t>the transportation facility that the trade relates to;</w:t>
            </w:r>
          </w:p>
          <w:p w14:paraId="2344C37A" w14:textId="77777777" w:rsidR="00A76F4F" w:rsidRPr="00C37D44" w:rsidRDefault="00A76F4F" w:rsidP="00205676">
            <w:pPr>
              <w:pStyle w:val="TableBullet1"/>
              <w:numPr>
                <w:ilvl w:val="0"/>
                <w:numId w:val="27"/>
              </w:numPr>
              <w:spacing w:before="40" w:after="40" w:line="252" w:lineRule="auto"/>
              <w:rPr>
                <w:rFonts w:asciiTheme="majorHAnsi" w:hAnsiTheme="majorHAnsi" w:cstheme="majorHAnsi"/>
                <w:szCs w:val="18"/>
              </w:rPr>
            </w:pPr>
            <w:r w:rsidRPr="00C37D44">
              <w:rPr>
                <w:rFonts w:asciiTheme="majorHAnsi" w:hAnsiTheme="majorHAnsi" w:cstheme="majorHAnsi"/>
                <w:szCs w:val="18"/>
              </w:rPr>
              <w:t>the type of service purchased and the priority of the service (e.g. firm, as available, interruptible);</w:t>
            </w:r>
          </w:p>
          <w:p w14:paraId="200BD499" w14:textId="77777777" w:rsidR="00A76F4F" w:rsidRPr="00C37D44" w:rsidRDefault="00A76F4F" w:rsidP="00205676">
            <w:pPr>
              <w:pStyle w:val="TableBullet1"/>
              <w:numPr>
                <w:ilvl w:val="0"/>
                <w:numId w:val="27"/>
              </w:numPr>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the type of trade and for bilateral trades, whether the trade is on the same or substantially the same terms as </w:t>
            </w:r>
            <w:r>
              <w:rPr>
                <w:rFonts w:asciiTheme="majorHAnsi" w:hAnsiTheme="majorHAnsi" w:cstheme="majorHAnsi"/>
                <w:szCs w:val="18"/>
              </w:rPr>
              <w:t xml:space="preserve">those in </w:t>
            </w:r>
            <w:r w:rsidRPr="00C37D44">
              <w:rPr>
                <w:rFonts w:asciiTheme="majorHAnsi" w:hAnsiTheme="majorHAnsi" w:cstheme="majorHAnsi"/>
                <w:szCs w:val="18"/>
              </w:rPr>
              <w:t xml:space="preserve">the </w:t>
            </w:r>
            <w:r>
              <w:rPr>
                <w:rFonts w:asciiTheme="majorHAnsi" w:hAnsiTheme="majorHAnsi" w:cstheme="majorHAnsi"/>
                <w:szCs w:val="18"/>
              </w:rPr>
              <w:t xml:space="preserve">facility’s </w:t>
            </w:r>
            <w:r w:rsidRPr="00C37D44">
              <w:rPr>
                <w:rFonts w:asciiTheme="majorHAnsi" w:hAnsiTheme="majorHAnsi" w:cstheme="majorHAnsi"/>
                <w:szCs w:val="18"/>
              </w:rPr>
              <w:t>standard OTSA;</w:t>
            </w:r>
          </w:p>
          <w:p w14:paraId="00E7AAAE" w14:textId="77777777" w:rsidR="00A76F4F" w:rsidRPr="00C37D44" w:rsidRDefault="00A76F4F" w:rsidP="00205676">
            <w:pPr>
              <w:pStyle w:val="TableBullet1"/>
              <w:numPr>
                <w:ilvl w:val="0"/>
                <w:numId w:val="27"/>
              </w:numPr>
              <w:spacing w:before="40" w:after="40" w:line="252" w:lineRule="auto"/>
              <w:rPr>
                <w:rFonts w:asciiTheme="majorHAnsi" w:hAnsiTheme="majorHAnsi" w:cstheme="majorHAnsi"/>
                <w:szCs w:val="18"/>
              </w:rPr>
            </w:pPr>
            <w:r w:rsidRPr="00C37D44">
              <w:rPr>
                <w:rFonts w:asciiTheme="majorHAnsi" w:hAnsiTheme="majorHAnsi" w:cstheme="majorHAnsi"/>
                <w:szCs w:val="18"/>
              </w:rPr>
              <w:t>where relevant, the direction of the service and the points between which gas is transported;</w:t>
            </w:r>
          </w:p>
          <w:p w14:paraId="528B986C" w14:textId="77777777" w:rsidR="00A76F4F" w:rsidRPr="00C37D44" w:rsidRDefault="00A76F4F" w:rsidP="00205676">
            <w:pPr>
              <w:pStyle w:val="TableBullet1"/>
              <w:numPr>
                <w:ilvl w:val="0"/>
                <w:numId w:val="27"/>
              </w:numPr>
              <w:spacing w:before="40" w:after="40" w:line="252" w:lineRule="auto"/>
              <w:rPr>
                <w:rFonts w:asciiTheme="majorHAnsi" w:hAnsiTheme="majorHAnsi" w:cstheme="majorHAnsi"/>
                <w:szCs w:val="18"/>
              </w:rPr>
            </w:pPr>
            <w:r w:rsidRPr="00C37D44">
              <w:rPr>
                <w:rFonts w:asciiTheme="majorHAnsi" w:hAnsiTheme="majorHAnsi" w:cstheme="majorHAnsi"/>
                <w:szCs w:val="18"/>
              </w:rPr>
              <w:t>the amount of capacity procured (maximum daily quantity (MDQ)) and for bilateral trades the maximum hourly quantity (MHQ); and</w:t>
            </w:r>
          </w:p>
          <w:p w14:paraId="50633E74" w14:textId="77777777" w:rsidR="00A76F4F" w:rsidRPr="00C37D44" w:rsidRDefault="00A76F4F" w:rsidP="00205676">
            <w:pPr>
              <w:pStyle w:val="TableBullet1"/>
              <w:numPr>
                <w:ilvl w:val="0"/>
                <w:numId w:val="27"/>
              </w:numPr>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the price paid (including, where relevant, the price structure and price escalation mechanism). </w:t>
            </w:r>
          </w:p>
          <w:p w14:paraId="0A5FB791" w14:textId="77777777" w:rsidR="00A76F4F" w:rsidRDefault="00A76F4F" w:rsidP="00205676">
            <w:pPr>
              <w:pStyle w:val="TableBullet1"/>
              <w:numPr>
                <w:ilvl w:val="0"/>
                <w:numId w:val="0"/>
              </w:numPr>
              <w:spacing w:before="40" w:after="40" w:line="252" w:lineRule="auto"/>
              <w:ind w:left="85"/>
              <w:rPr>
                <w:rFonts w:asciiTheme="majorHAnsi" w:hAnsiTheme="majorHAnsi" w:cstheme="majorHAnsi"/>
                <w:szCs w:val="18"/>
              </w:rPr>
            </w:pPr>
            <w:r>
              <w:rPr>
                <w:rFonts w:asciiTheme="majorHAnsi" w:hAnsiTheme="majorHAnsi" w:cstheme="majorHAnsi"/>
                <w:szCs w:val="18"/>
              </w:rPr>
              <w:t xml:space="preserve">If it is not practicable to report some of this information (i.e. due to the nature or terms of the transaction), then a reasonable estimate or approximation </w:t>
            </w:r>
            <w:r w:rsidR="00A34EF2">
              <w:rPr>
                <w:rFonts w:asciiTheme="majorHAnsi" w:hAnsiTheme="majorHAnsi" w:cstheme="majorHAnsi"/>
                <w:szCs w:val="18"/>
              </w:rPr>
              <w:t>must</w:t>
            </w:r>
            <w:r>
              <w:rPr>
                <w:rFonts w:asciiTheme="majorHAnsi" w:hAnsiTheme="majorHAnsi" w:cstheme="majorHAnsi"/>
                <w:szCs w:val="18"/>
              </w:rPr>
              <w:t xml:space="preserve"> be reported.</w:t>
            </w:r>
            <w:r w:rsidR="00205676">
              <w:rPr>
                <w:rStyle w:val="FootnoteReference"/>
                <w:rFonts w:asciiTheme="majorHAnsi" w:hAnsiTheme="majorHAnsi" w:cstheme="majorHAnsi"/>
                <w:szCs w:val="18"/>
              </w:rPr>
              <w:footnoteReference w:id="336"/>
            </w:r>
            <w:r>
              <w:rPr>
                <w:rFonts w:asciiTheme="majorHAnsi" w:hAnsiTheme="majorHAnsi" w:cstheme="majorHAnsi"/>
                <w:szCs w:val="18"/>
              </w:rPr>
              <w:t xml:space="preserve"> </w:t>
            </w:r>
          </w:p>
          <w:p w14:paraId="1511FDD6" w14:textId="77777777" w:rsidR="00205676" w:rsidRPr="00C37D44" w:rsidRDefault="00205676" w:rsidP="00205676">
            <w:pPr>
              <w:pStyle w:val="TableBullet1"/>
              <w:numPr>
                <w:ilvl w:val="0"/>
                <w:numId w:val="0"/>
              </w:numPr>
              <w:spacing w:before="40" w:after="40" w:line="252" w:lineRule="auto"/>
              <w:ind w:left="312" w:hanging="227"/>
              <w:rPr>
                <w:rFonts w:asciiTheme="majorHAnsi" w:hAnsiTheme="majorHAnsi" w:cstheme="majorHAnsi"/>
                <w:szCs w:val="18"/>
              </w:rPr>
            </w:pPr>
            <w:r>
              <w:rPr>
                <w:rFonts w:asciiTheme="majorHAnsi" w:hAnsiTheme="majorHAnsi" w:cstheme="majorHAnsi"/>
                <w:szCs w:val="18"/>
              </w:rPr>
              <w:t xml:space="preserve">This information must be reported in accordance with the </w:t>
            </w:r>
            <w:r w:rsidR="00E82ED6">
              <w:rPr>
                <w:rFonts w:asciiTheme="majorHAnsi" w:hAnsiTheme="majorHAnsi" w:cstheme="majorHAnsi"/>
                <w:szCs w:val="18"/>
              </w:rPr>
              <w:t xml:space="preserve">Bulletin Board </w:t>
            </w:r>
            <w:r>
              <w:rPr>
                <w:rFonts w:asciiTheme="majorHAnsi" w:hAnsiTheme="majorHAnsi" w:cstheme="majorHAnsi"/>
                <w:szCs w:val="18"/>
              </w:rPr>
              <w:t>Information Standard</w:t>
            </w:r>
            <w:r w:rsidR="00E82ED6">
              <w:rPr>
                <w:rFonts w:asciiTheme="majorHAnsi" w:hAnsiTheme="majorHAnsi" w:cstheme="majorHAnsi"/>
                <w:szCs w:val="18"/>
              </w:rPr>
              <w:t xml:space="preserve"> in Part 18 of the NGR</w:t>
            </w:r>
            <w:r>
              <w:rPr>
                <w:rFonts w:asciiTheme="majorHAnsi" w:hAnsiTheme="majorHAnsi" w:cstheme="majorHAnsi"/>
                <w:szCs w:val="18"/>
              </w:rPr>
              <w:t>.</w:t>
            </w:r>
          </w:p>
        </w:tc>
      </w:tr>
      <w:tr w:rsidR="00A76F4F" w:rsidRPr="00C37D44" w14:paraId="4F468816" w14:textId="77777777" w:rsidTr="00CD7BB3">
        <w:trPr>
          <w:trHeight w:val="256"/>
        </w:trPr>
        <w:tc>
          <w:tcPr>
            <w:tcW w:w="603" w:type="pct"/>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14:paraId="35099152" w14:textId="77777777" w:rsidR="00A76F4F" w:rsidRPr="00C37D44" w:rsidRDefault="00A76F4F" w:rsidP="008C7B7D">
            <w:pPr>
              <w:pStyle w:val="BodyText"/>
              <w:spacing w:before="60" w:after="60" w:line="252" w:lineRule="auto"/>
              <w:rPr>
                <w:rFonts w:asciiTheme="majorHAnsi" w:hAnsiTheme="majorHAnsi" w:cstheme="majorHAnsi"/>
                <w:sz w:val="18"/>
                <w:szCs w:val="18"/>
              </w:rPr>
            </w:pPr>
            <w:r w:rsidRPr="00D30678">
              <w:rPr>
                <w:rFonts w:asciiTheme="majorHAnsi" w:hAnsiTheme="majorHAnsi" w:cstheme="majorHAnsi"/>
                <w:sz w:val="18"/>
                <w:szCs w:val="18"/>
              </w:rPr>
              <w:lastRenderedPageBreak/>
              <w:t xml:space="preserve">When and where </w:t>
            </w:r>
            <w:r w:rsidRPr="00F04A8E">
              <w:rPr>
                <w:rFonts w:asciiTheme="majorHAnsi" w:hAnsiTheme="majorHAnsi" w:cstheme="majorHAnsi"/>
                <w:sz w:val="18"/>
                <w:szCs w:val="18"/>
              </w:rPr>
              <w:t>information is to be reported</w:t>
            </w:r>
          </w:p>
        </w:tc>
        <w:tc>
          <w:tcPr>
            <w:tcW w:w="4397" w:type="pct"/>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14:paraId="4B18B966" w14:textId="77777777" w:rsidR="00A76F4F" w:rsidRPr="00C37D44" w:rsidRDefault="00A76F4F" w:rsidP="008C7B7D">
            <w:pPr>
              <w:pStyle w:val="BodyText"/>
              <w:spacing w:before="60" w:after="60" w:line="252" w:lineRule="auto"/>
              <w:rPr>
                <w:rFonts w:asciiTheme="majorHAnsi" w:hAnsiTheme="majorHAnsi" w:cstheme="majorHAnsi"/>
                <w:sz w:val="18"/>
                <w:szCs w:val="18"/>
              </w:rPr>
            </w:pPr>
            <w:r w:rsidRPr="00C37D44">
              <w:rPr>
                <w:rFonts w:asciiTheme="majorHAnsi" w:hAnsiTheme="majorHAnsi" w:cstheme="majorHAnsi"/>
                <w:sz w:val="18"/>
                <w:szCs w:val="18"/>
              </w:rPr>
              <w:t>Trades carried out:</w:t>
            </w:r>
            <w:r w:rsidR="00205676">
              <w:rPr>
                <w:rStyle w:val="FootnoteReference"/>
                <w:rFonts w:asciiTheme="majorHAnsi" w:hAnsiTheme="majorHAnsi" w:cstheme="majorHAnsi"/>
                <w:sz w:val="18"/>
                <w:szCs w:val="18"/>
              </w:rPr>
              <w:footnoteReference w:id="337"/>
            </w:r>
            <w:r w:rsidRPr="00C37D44">
              <w:rPr>
                <w:rFonts w:asciiTheme="majorHAnsi" w:hAnsiTheme="majorHAnsi" w:cstheme="majorHAnsi"/>
                <w:sz w:val="18"/>
                <w:szCs w:val="18"/>
              </w:rPr>
              <w:t xml:space="preserve"> </w:t>
            </w:r>
          </w:p>
          <w:p w14:paraId="0E8D6A41" w14:textId="77777777" w:rsidR="00A76F4F" w:rsidRPr="00C37D44" w:rsidRDefault="00A76F4F" w:rsidP="008C7B7D">
            <w:pPr>
              <w:pStyle w:val="TableBullet1"/>
              <w:numPr>
                <w:ilvl w:val="0"/>
                <w:numId w:val="27"/>
              </w:numPr>
              <w:spacing w:line="252" w:lineRule="auto"/>
              <w:rPr>
                <w:rFonts w:asciiTheme="majorHAnsi" w:hAnsiTheme="majorHAnsi" w:cstheme="majorHAnsi"/>
                <w:szCs w:val="18"/>
              </w:rPr>
            </w:pPr>
            <w:r w:rsidRPr="00C37D44">
              <w:rPr>
                <w:rFonts w:asciiTheme="majorHAnsi" w:hAnsiTheme="majorHAnsi" w:cstheme="majorHAnsi"/>
                <w:szCs w:val="18"/>
              </w:rPr>
              <w:t xml:space="preserve">through the </w:t>
            </w:r>
            <w:r w:rsidR="00C14918">
              <w:rPr>
                <w:rFonts w:asciiTheme="majorHAnsi" w:hAnsiTheme="majorHAnsi" w:cstheme="majorHAnsi"/>
                <w:szCs w:val="18"/>
              </w:rPr>
              <w:t xml:space="preserve">capacity trading platform </w:t>
            </w:r>
            <w:r w:rsidR="00D37183">
              <w:rPr>
                <w:rFonts w:asciiTheme="majorHAnsi" w:hAnsiTheme="majorHAnsi" w:cstheme="majorHAnsi"/>
                <w:szCs w:val="18"/>
              </w:rPr>
              <w:t>(</w:t>
            </w:r>
            <w:r w:rsidR="00D37183" w:rsidRPr="00D37183">
              <w:rPr>
                <w:rFonts w:asciiTheme="majorHAnsi" w:hAnsiTheme="majorHAnsi" w:cstheme="majorHAnsi"/>
                <w:b/>
                <w:szCs w:val="18"/>
              </w:rPr>
              <w:t>GSH</w:t>
            </w:r>
            <w:r w:rsidR="00D37183">
              <w:rPr>
                <w:rFonts w:asciiTheme="majorHAnsi" w:hAnsiTheme="majorHAnsi" w:cstheme="majorHAnsi"/>
                <w:szCs w:val="18"/>
              </w:rPr>
              <w:t xml:space="preserve">) </w:t>
            </w:r>
            <w:r w:rsidRPr="00C37D44">
              <w:rPr>
                <w:rFonts w:asciiTheme="majorHAnsi" w:hAnsiTheme="majorHAnsi" w:cstheme="majorHAnsi"/>
                <w:szCs w:val="18"/>
              </w:rPr>
              <w:t xml:space="preserve">must be reported on the GSH as soon as practicable after the trade occurs and published </w:t>
            </w:r>
            <w:r>
              <w:rPr>
                <w:rFonts w:asciiTheme="majorHAnsi" w:hAnsiTheme="majorHAnsi" w:cstheme="majorHAnsi"/>
                <w:szCs w:val="18"/>
              </w:rPr>
              <w:t xml:space="preserve">by AEMO </w:t>
            </w:r>
            <w:r w:rsidRPr="00C37D44">
              <w:rPr>
                <w:rFonts w:asciiTheme="majorHAnsi" w:hAnsiTheme="majorHAnsi" w:cstheme="majorHAnsi"/>
                <w:szCs w:val="18"/>
              </w:rPr>
              <w:t xml:space="preserve">on the </w:t>
            </w:r>
            <w:r w:rsidR="00205676">
              <w:rPr>
                <w:rFonts w:asciiTheme="majorHAnsi" w:hAnsiTheme="majorHAnsi" w:cstheme="majorHAnsi"/>
                <w:szCs w:val="18"/>
              </w:rPr>
              <w:t>Bulletin Board</w:t>
            </w:r>
            <w:r>
              <w:rPr>
                <w:rFonts w:asciiTheme="majorHAnsi" w:hAnsiTheme="majorHAnsi" w:cstheme="majorHAnsi"/>
                <w:szCs w:val="18"/>
              </w:rPr>
              <w:t xml:space="preserve"> </w:t>
            </w:r>
            <w:r w:rsidRPr="00C37D44">
              <w:rPr>
                <w:rFonts w:asciiTheme="majorHAnsi" w:hAnsiTheme="majorHAnsi" w:cstheme="majorHAnsi"/>
                <w:szCs w:val="18"/>
              </w:rPr>
              <w:t>by the end of the gas day; and</w:t>
            </w:r>
          </w:p>
          <w:p w14:paraId="6231FE2D" w14:textId="77777777" w:rsidR="00A76F4F" w:rsidRPr="001E0C23" w:rsidRDefault="00A76F4F" w:rsidP="008C7B7D">
            <w:pPr>
              <w:pStyle w:val="TableBullet1"/>
              <w:numPr>
                <w:ilvl w:val="0"/>
                <w:numId w:val="27"/>
              </w:numPr>
              <w:spacing w:line="252" w:lineRule="auto"/>
              <w:rPr>
                <w:rFonts w:asciiTheme="majorHAnsi" w:hAnsiTheme="majorHAnsi" w:cstheme="majorHAnsi"/>
                <w:szCs w:val="18"/>
              </w:rPr>
            </w:pPr>
            <w:r w:rsidRPr="001E0C23">
              <w:rPr>
                <w:rFonts w:asciiTheme="majorHAnsi" w:hAnsiTheme="majorHAnsi" w:cstheme="majorHAnsi"/>
                <w:szCs w:val="18"/>
              </w:rPr>
              <w:t xml:space="preserve">bilaterally must be reported </w:t>
            </w:r>
            <w:r>
              <w:rPr>
                <w:rFonts w:asciiTheme="majorHAnsi" w:hAnsiTheme="majorHAnsi" w:cstheme="majorHAnsi"/>
                <w:szCs w:val="18"/>
              </w:rPr>
              <w:t>by sellers (or a capacity transaction reporting agent if appointed by the seller)</w:t>
            </w:r>
            <w:r w:rsidR="00205676">
              <w:rPr>
                <w:rStyle w:val="FootnoteReference"/>
                <w:rFonts w:asciiTheme="majorHAnsi" w:hAnsiTheme="majorHAnsi" w:cstheme="majorHAnsi"/>
                <w:szCs w:val="18"/>
              </w:rPr>
              <w:footnoteReference w:id="338"/>
            </w:r>
            <w:r>
              <w:rPr>
                <w:rFonts w:asciiTheme="majorHAnsi" w:hAnsiTheme="majorHAnsi" w:cstheme="majorHAnsi"/>
                <w:szCs w:val="18"/>
              </w:rPr>
              <w:t xml:space="preserve"> </w:t>
            </w:r>
            <w:r w:rsidRPr="001E0C23">
              <w:rPr>
                <w:rFonts w:asciiTheme="majorHAnsi" w:hAnsiTheme="majorHAnsi" w:cstheme="majorHAnsi"/>
                <w:szCs w:val="18"/>
              </w:rPr>
              <w:t xml:space="preserve">on the </w:t>
            </w:r>
            <w:r w:rsidR="00205676">
              <w:rPr>
                <w:rFonts w:asciiTheme="majorHAnsi" w:hAnsiTheme="majorHAnsi" w:cstheme="majorHAnsi"/>
                <w:szCs w:val="18"/>
              </w:rPr>
              <w:t>Bulletin Board</w:t>
            </w:r>
            <w:r w:rsidRPr="001E0C23">
              <w:rPr>
                <w:rFonts w:asciiTheme="majorHAnsi" w:hAnsiTheme="majorHAnsi" w:cstheme="majorHAnsi"/>
                <w:szCs w:val="18"/>
              </w:rPr>
              <w:t xml:space="preserve">: </w:t>
            </w:r>
          </w:p>
          <w:p w14:paraId="32F0F7E3" w14:textId="77777777" w:rsidR="00A76F4F" w:rsidRPr="001E0C23" w:rsidRDefault="00A76F4F" w:rsidP="008C7B7D">
            <w:pPr>
              <w:pStyle w:val="TableBullet2"/>
              <w:spacing w:line="252" w:lineRule="auto"/>
              <w:rPr>
                <w:rFonts w:asciiTheme="majorHAnsi" w:hAnsiTheme="majorHAnsi" w:cstheme="majorHAnsi"/>
              </w:rPr>
            </w:pPr>
            <w:r>
              <w:rPr>
                <w:rFonts w:asciiTheme="majorHAnsi" w:hAnsiTheme="majorHAnsi" w:cstheme="majorHAnsi"/>
              </w:rPr>
              <w:t xml:space="preserve">by </w:t>
            </w:r>
            <w:r w:rsidRPr="001E0C23">
              <w:rPr>
                <w:rFonts w:asciiTheme="majorHAnsi" w:hAnsiTheme="majorHAnsi" w:cstheme="majorHAnsi"/>
              </w:rPr>
              <w:t xml:space="preserve">the earlier of one </w:t>
            </w:r>
            <w:r>
              <w:rPr>
                <w:rFonts w:asciiTheme="majorHAnsi" w:hAnsiTheme="majorHAnsi" w:cstheme="majorHAnsi"/>
              </w:rPr>
              <w:t xml:space="preserve">business </w:t>
            </w:r>
            <w:r w:rsidRPr="001E0C23">
              <w:rPr>
                <w:rFonts w:asciiTheme="majorHAnsi" w:hAnsiTheme="majorHAnsi" w:cstheme="majorHAnsi"/>
              </w:rPr>
              <w:t>day after the trade is executed, and the day prior to the trade commencing (D-1) for trades where the service term starts after the trade date; or</w:t>
            </w:r>
          </w:p>
          <w:p w14:paraId="61629CC0" w14:textId="77777777" w:rsidR="00A76F4F" w:rsidRDefault="00A76F4F" w:rsidP="008C7B7D">
            <w:pPr>
              <w:pStyle w:val="TableBullet2"/>
              <w:spacing w:line="252" w:lineRule="auto"/>
              <w:rPr>
                <w:rFonts w:asciiTheme="majorHAnsi" w:hAnsiTheme="majorHAnsi" w:cstheme="majorHAnsi"/>
              </w:rPr>
            </w:pPr>
            <w:r w:rsidRPr="001E0C23">
              <w:rPr>
                <w:rFonts w:asciiTheme="majorHAnsi" w:hAnsiTheme="majorHAnsi" w:cstheme="majorHAnsi"/>
              </w:rPr>
              <w:t>as soon as reasonably practicable on the trade date for trades where the service term starts on the trade</w:t>
            </w:r>
            <w:r w:rsidRPr="00C37D44">
              <w:rPr>
                <w:rFonts w:asciiTheme="majorHAnsi" w:hAnsiTheme="majorHAnsi" w:cstheme="majorHAnsi"/>
              </w:rPr>
              <w:t xml:space="preserve"> date.</w:t>
            </w:r>
            <w:r w:rsidR="00F34BB4">
              <w:rPr>
                <w:rStyle w:val="FootnoteReference"/>
                <w:rFonts w:asciiTheme="majorHAnsi" w:hAnsiTheme="majorHAnsi" w:cstheme="majorHAnsi"/>
              </w:rPr>
              <w:footnoteReference w:id="339"/>
            </w:r>
          </w:p>
          <w:p w14:paraId="1F245110" w14:textId="77777777" w:rsidR="00205676" w:rsidRPr="00C37D44" w:rsidRDefault="00205676" w:rsidP="008C7B7D">
            <w:pPr>
              <w:pStyle w:val="TableBullet2"/>
              <w:numPr>
                <w:ilvl w:val="0"/>
                <w:numId w:val="0"/>
              </w:numPr>
              <w:spacing w:line="252" w:lineRule="auto"/>
              <w:rPr>
                <w:rFonts w:asciiTheme="majorHAnsi" w:hAnsiTheme="majorHAnsi" w:cstheme="majorHAnsi"/>
              </w:rPr>
            </w:pPr>
            <w:r>
              <w:rPr>
                <w:rFonts w:asciiTheme="majorHAnsi" w:hAnsiTheme="majorHAnsi" w:cstheme="majorHAnsi"/>
              </w:rPr>
              <w:t>Capacity sellers must also update the information provided to AEMO if the information is no longer accurate.</w:t>
            </w:r>
            <w:r>
              <w:rPr>
                <w:rStyle w:val="FootnoteReference"/>
                <w:rFonts w:asciiTheme="majorHAnsi" w:hAnsiTheme="majorHAnsi" w:cstheme="majorHAnsi"/>
              </w:rPr>
              <w:footnoteReference w:id="340"/>
            </w:r>
          </w:p>
        </w:tc>
      </w:tr>
      <w:tr w:rsidR="00A76F4F" w:rsidRPr="00C37D44" w14:paraId="1F288C5B" w14:textId="77777777" w:rsidTr="00590352">
        <w:trPr>
          <w:trHeight w:val="20"/>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14:paraId="5FDF9373" w14:textId="77777777" w:rsidR="00A76F4F" w:rsidRPr="00D30678" w:rsidRDefault="00A76F4F" w:rsidP="008C7B7D">
            <w:pPr>
              <w:pStyle w:val="TableBullet1"/>
              <w:numPr>
                <w:ilvl w:val="0"/>
                <w:numId w:val="0"/>
              </w:numPr>
              <w:tabs>
                <w:tab w:val="left" w:pos="720"/>
              </w:tabs>
              <w:spacing w:line="252" w:lineRule="auto"/>
              <w:ind w:right="0"/>
              <w:jc w:val="center"/>
              <w:rPr>
                <w:rFonts w:asciiTheme="majorHAnsi" w:hAnsiTheme="majorHAnsi" w:cstheme="majorHAnsi"/>
                <w:b/>
                <w:szCs w:val="18"/>
              </w:rPr>
            </w:pPr>
            <w:r w:rsidRPr="00D30678">
              <w:rPr>
                <w:rFonts w:asciiTheme="majorHAnsi" w:hAnsiTheme="majorHAnsi" w:cstheme="majorHAnsi"/>
                <w:b/>
                <w:color w:val="FFFFFF" w:themeColor="background1"/>
                <w:szCs w:val="18"/>
              </w:rPr>
              <w:t>Allocation arrangements</w:t>
            </w:r>
          </w:p>
        </w:tc>
      </w:tr>
      <w:tr w:rsidR="00A76F4F" w:rsidRPr="00C37D44" w14:paraId="222B0D85" w14:textId="77777777" w:rsidTr="00590352">
        <w:trPr>
          <w:trHeight w:val="345"/>
        </w:trPr>
        <w:tc>
          <w:tcPr>
            <w:tcW w:w="603" w:type="pct"/>
            <w:tcBorders>
              <w:top w:val="single" w:sz="4" w:space="0" w:color="auto"/>
              <w:bottom w:val="single" w:sz="4" w:space="0" w:color="auto"/>
              <w:right w:val="single" w:sz="4" w:space="0" w:color="auto"/>
            </w:tcBorders>
            <w:shd w:val="clear" w:color="auto" w:fill="E1E2E7" w:themeFill="background2"/>
            <w:tcMar>
              <w:top w:w="72" w:type="dxa"/>
              <w:left w:w="144" w:type="dxa"/>
              <w:bottom w:w="72" w:type="dxa"/>
              <w:right w:w="144" w:type="dxa"/>
            </w:tcMar>
            <w:hideMark/>
          </w:tcPr>
          <w:p w14:paraId="719D2FE9" w14:textId="77777777" w:rsidR="00A76F4F" w:rsidRPr="00F04A8E" w:rsidRDefault="00A76F4F" w:rsidP="008C7B7D">
            <w:pPr>
              <w:pStyle w:val="BodyText"/>
              <w:spacing w:before="60" w:after="60" w:line="252" w:lineRule="auto"/>
              <w:rPr>
                <w:rFonts w:asciiTheme="majorHAnsi" w:hAnsiTheme="majorHAnsi" w:cstheme="majorHAnsi"/>
                <w:sz w:val="18"/>
                <w:szCs w:val="18"/>
              </w:rPr>
            </w:pPr>
            <w:r w:rsidRPr="00D30678">
              <w:rPr>
                <w:rFonts w:asciiTheme="majorHAnsi" w:hAnsiTheme="majorHAnsi" w:cstheme="majorHAnsi"/>
                <w:sz w:val="18"/>
                <w:szCs w:val="18"/>
              </w:rPr>
              <w:t>Information to be reported</w:t>
            </w:r>
          </w:p>
        </w:tc>
        <w:tc>
          <w:tcPr>
            <w:tcW w:w="4397" w:type="pct"/>
            <w:tcBorders>
              <w:top w:val="single" w:sz="4" w:space="0" w:color="auto"/>
              <w:left w:val="single" w:sz="4" w:space="0" w:color="auto"/>
              <w:bottom w:val="single" w:sz="4" w:space="0" w:color="auto"/>
            </w:tcBorders>
            <w:shd w:val="clear" w:color="auto" w:fill="E1E2E7" w:themeFill="background2"/>
            <w:tcMar>
              <w:top w:w="72" w:type="dxa"/>
              <w:left w:w="144" w:type="dxa"/>
              <w:bottom w:w="72" w:type="dxa"/>
              <w:right w:w="144" w:type="dxa"/>
            </w:tcMar>
            <w:hideMark/>
          </w:tcPr>
          <w:p w14:paraId="3643E7F8" w14:textId="77777777" w:rsidR="00A76F4F" w:rsidRPr="00C37D44" w:rsidRDefault="00A76F4F" w:rsidP="008C7B7D">
            <w:pPr>
              <w:pStyle w:val="BodyText"/>
              <w:spacing w:before="60" w:after="60" w:line="252" w:lineRule="auto"/>
              <w:rPr>
                <w:rFonts w:asciiTheme="majorHAnsi" w:hAnsiTheme="majorHAnsi" w:cstheme="majorHAnsi"/>
                <w:sz w:val="18"/>
                <w:szCs w:val="18"/>
              </w:rPr>
            </w:pPr>
            <w:r w:rsidRPr="00C37D44">
              <w:rPr>
                <w:rFonts w:asciiTheme="majorHAnsi" w:hAnsiTheme="majorHAnsi" w:cstheme="majorHAnsi"/>
                <w:sz w:val="18"/>
                <w:szCs w:val="18"/>
              </w:rPr>
              <w:t xml:space="preserve">Allocation agents </w:t>
            </w:r>
            <w:r w:rsidR="00F172F9">
              <w:rPr>
                <w:rFonts w:asciiTheme="majorHAnsi" w:hAnsiTheme="majorHAnsi" w:cstheme="majorHAnsi"/>
                <w:sz w:val="18"/>
                <w:szCs w:val="18"/>
              </w:rPr>
              <w:t xml:space="preserve">must </w:t>
            </w:r>
            <w:r w:rsidRPr="00C37D44">
              <w:rPr>
                <w:rFonts w:asciiTheme="majorHAnsi" w:hAnsiTheme="majorHAnsi" w:cstheme="majorHAnsi"/>
                <w:sz w:val="18"/>
                <w:szCs w:val="18"/>
              </w:rPr>
              <w:t xml:space="preserve">provide AEMO with the following information for publication on the </w:t>
            </w:r>
            <w:r w:rsidR="00800459">
              <w:rPr>
                <w:rFonts w:asciiTheme="majorHAnsi" w:hAnsiTheme="majorHAnsi" w:cstheme="majorHAnsi"/>
                <w:sz w:val="18"/>
                <w:szCs w:val="18"/>
              </w:rPr>
              <w:t>Bulletin Board</w:t>
            </w:r>
            <w:r w:rsidRPr="00C37D44">
              <w:rPr>
                <w:rFonts w:asciiTheme="majorHAnsi" w:hAnsiTheme="majorHAnsi" w:cstheme="majorHAnsi"/>
                <w:sz w:val="18"/>
                <w:szCs w:val="18"/>
              </w:rPr>
              <w:t>:</w:t>
            </w:r>
            <w:r w:rsidR="00800459">
              <w:rPr>
                <w:rStyle w:val="FootnoteReference"/>
                <w:rFonts w:asciiTheme="majorHAnsi" w:hAnsiTheme="majorHAnsi" w:cstheme="majorHAnsi"/>
                <w:sz w:val="18"/>
                <w:szCs w:val="18"/>
              </w:rPr>
              <w:footnoteReference w:id="341"/>
            </w:r>
          </w:p>
          <w:p w14:paraId="6626E557" w14:textId="77777777" w:rsidR="00A76F4F" w:rsidRPr="00C37D44" w:rsidRDefault="00A76F4F" w:rsidP="008C7B7D">
            <w:pPr>
              <w:pStyle w:val="TableBullet1"/>
              <w:numPr>
                <w:ilvl w:val="0"/>
                <w:numId w:val="27"/>
              </w:numPr>
              <w:spacing w:line="252" w:lineRule="auto"/>
              <w:rPr>
                <w:rFonts w:asciiTheme="majorHAnsi" w:hAnsiTheme="majorHAnsi" w:cstheme="majorHAnsi"/>
                <w:szCs w:val="18"/>
              </w:rPr>
            </w:pPr>
            <w:r w:rsidRPr="00C37D44">
              <w:rPr>
                <w:rFonts w:asciiTheme="majorHAnsi" w:hAnsiTheme="majorHAnsi" w:cstheme="majorHAnsi"/>
                <w:szCs w:val="18"/>
              </w:rPr>
              <w:t>a description of the allocation methodology used at the allocation point;</w:t>
            </w:r>
          </w:p>
          <w:p w14:paraId="7D39290C" w14:textId="77777777" w:rsidR="00A76F4F" w:rsidRPr="00C37D44" w:rsidRDefault="00A76F4F" w:rsidP="008C7B7D">
            <w:pPr>
              <w:pStyle w:val="TableBullet1"/>
              <w:numPr>
                <w:ilvl w:val="0"/>
                <w:numId w:val="27"/>
              </w:numPr>
              <w:spacing w:line="252" w:lineRule="auto"/>
              <w:rPr>
                <w:rFonts w:asciiTheme="majorHAnsi" w:hAnsiTheme="majorHAnsi" w:cstheme="majorHAnsi"/>
                <w:szCs w:val="18"/>
              </w:rPr>
            </w:pPr>
            <w:r w:rsidRPr="00C37D44">
              <w:rPr>
                <w:rFonts w:asciiTheme="majorHAnsi" w:hAnsiTheme="majorHAnsi" w:cstheme="majorHAnsi"/>
                <w:szCs w:val="18"/>
              </w:rPr>
              <w:t>a description of the process for joining and leaving the agreement and any charges payable to become a party to the agreement; and</w:t>
            </w:r>
          </w:p>
          <w:p w14:paraId="14E8A786" w14:textId="77777777" w:rsidR="00A76F4F" w:rsidRPr="00C37D44" w:rsidRDefault="00A76F4F" w:rsidP="008C7B7D">
            <w:pPr>
              <w:pStyle w:val="TableBullet1"/>
              <w:numPr>
                <w:ilvl w:val="0"/>
                <w:numId w:val="27"/>
              </w:numPr>
              <w:spacing w:line="252" w:lineRule="auto"/>
              <w:rPr>
                <w:rFonts w:asciiTheme="majorHAnsi" w:hAnsiTheme="majorHAnsi" w:cstheme="majorHAnsi"/>
                <w:szCs w:val="18"/>
              </w:rPr>
            </w:pPr>
            <w:r w:rsidRPr="00C37D44">
              <w:rPr>
                <w:rFonts w:asciiTheme="majorHAnsi" w:hAnsiTheme="majorHAnsi" w:cstheme="majorHAnsi"/>
                <w:szCs w:val="18"/>
              </w:rPr>
              <w:t>the allocation agent’s contact details.</w:t>
            </w:r>
          </w:p>
          <w:p w14:paraId="3C6F8464" w14:textId="77777777" w:rsidR="008C7B7D" w:rsidRDefault="00A76F4F" w:rsidP="008C7B7D">
            <w:pPr>
              <w:pStyle w:val="TableBullet1"/>
              <w:numPr>
                <w:ilvl w:val="0"/>
                <w:numId w:val="0"/>
              </w:numPr>
              <w:spacing w:line="252" w:lineRule="auto"/>
              <w:ind w:left="-2"/>
              <w:rPr>
                <w:rFonts w:asciiTheme="majorHAnsi" w:hAnsiTheme="majorHAnsi" w:cstheme="majorHAnsi"/>
                <w:szCs w:val="18"/>
              </w:rPr>
            </w:pPr>
            <w:r w:rsidRPr="00C37D44">
              <w:rPr>
                <w:rFonts w:asciiTheme="majorHAnsi" w:hAnsiTheme="majorHAnsi" w:cstheme="majorHAnsi"/>
                <w:szCs w:val="18"/>
              </w:rPr>
              <w:t xml:space="preserve">This obligation </w:t>
            </w:r>
            <w:r w:rsidR="00F172F9">
              <w:rPr>
                <w:rFonts w:asciiTheme="majorHAnsi" w:hAnsiTheme="majorHAnsi" w:cstheme="majorHAnsi"/>
                <w:szCs w:val="18"/>
              </w:rPr>
              <w:t xml:space="preserve">is </w:t>
            </w:r>
            <w:r w:rsidRPr="00C37D44">
              <w:rPr>
                <w:rFonts w:asciiTheme="majorHAnsi" w:hAnsiTheme="majorHAnsi" w:cstheme="majorHAnsi"/>
                <w:szCs w:val="18"/>
              </w:rPr>
              <w:t>limited to allocation agents that operate at</w:t>
            </w:r>
            <w:r w:rsidR="008C7B7D">
              <w:rPr>
                <w:rFonts w:asciiTheme="majorHAnsi" w:hAnsiTheme="majorHAnsi" w:cstheme="majorHAnsi"/>
                <w:szCs w:val="18"/>
              </w:rPr>
              <w:t>:</w:t>
            </w:r>
            <w:r w:rsidR="008C7B7D">
              <w:rPr>
                <w:rStyle w:val="FootnoteReference"/>
                <w:rFonts w:asciiTheme="majorHAnsi" w:hAnsiTheme="majorHAnsi" w:cstheme="majorHAnsi"/>
                <w:szCs w:val="18"/>
              </w:rPr>
              <w:t xml:space="preserve"> </w:t>
            </w:r>
            <w:r w:rsidR="008C7B7D">
              <w:rPr>
                <w:rStyle w:val="FootnoteReference"/>
                <w:rFonts w:asciiTheme="majorHAnsi" w:hAnsiTheme="majorHAnsi" w:cstheme="majorHAnsi"/>
                <w:szCs w:val="18"/>
              </w:rPr>
              <w:footnoteReference w:id="342"/>
            </w:r>
            <w:r w:rsidRPr="00C37D44">
              <w:rPr>
                <w:rFonts w:asciiTheme="majorHAnsi" w:hAnsiTheme="majorHAnsi" w:cstheme="majorHAnsi"/>
                <w:szCs w:val="18"/>
              </w:rPr>
              <w:t xml:space="preserve"> </w:t>
            </w:r>
          </w:p>
          <w:p w14:paraId="1D36B976" w14:textId="77777777" w:rsidR="008C7B7D" w:rsidRDefault="00A76F4F" w:rsidP="008C7B7D">
            <w:pPr>
              <w:pStyle w:val="TableBullet1"/>
            </w:pPr>
            <w:r w:rsidRPr="00C37D44">
              <w:t xml:space="preserve">points through which gas is injected into or withdrawn from a </w:t>
            </w:r>
            <w:r w:rsidR="008C7B7D">
              <w:t xml:space="preserve">Part 24 </w:t>
            </w:r>
            <w:r w:rsidRPr="00C37D44">
              <w:t>facility</w:t>
            </w:r>
            <w:r w:rsidR="008C7B7D">
              <w:t>;</w:t>
            </w:r>
            <w:r w:rsidRPr="00C37D44">
              <w:t xml:space="preserve"> and </w:t>
            </w:r>
          </w:p>
          <w:p w14:paraId="5775A222" w14:textId="77777777" w:rsidR="008C7B7D" w:rsidRDefault="00A76F4F" w:rsidP="008C7B7D">
            <w:pPr>
              <w:pStyle w:val="TableBullet1"/>
            </w:pPr>
            <w:r w:rsidRPr="00C37D44">
              <w:t xml:space="preserve">system injection and system withdrawal points in the DTS for which an allocation agent is appointed under Part 19 of the NGR, </w:t>
            </w:r>
          </w:p>
          <w:p w14:paraId="56D9CA04" w14:textId="77777777" w:rsidR="00A76F4F" w:rsidRDefault="00A76F4F" w:rsidP="008C7B7D">
            <w:pPr>
              <w:pStyle w:val="TableBullet1"/>
              <w:numPr>
                <w:ilvl w:val="0"/>
                <w:numId w:val="0"/>
              </w:numPr>
              <w:spacing w:line="252" w:lineRule="auto"/>
              <w:ind w:left="312" w:hanging="227"/>
              <w:rPr>
                <w:rFonts w:asciiTheme="majorHAnsi" w:hAnsiTheme="majorHAnsi" w:cstheme="majorHAnsi"/>
                <w:szCs w:val="18"/>
              </w:rPr>
            </w:pPr>
            <w:r w:rsidRPr="00C37D44">
              <w:rPr>
                <w:rFonts w:asciiTheme="majorHAnsi" w:hAnsiTheme="majorHAnsi" w:cstheme="majorHAnsi"/>
                <w:szCs w:val="18"/>
              </w:rPr>
              <w:t>excluding, in each case, a point at which the allocation of deliveries and receipts of gas is determined under the Retail Market Procedures.</w:t>
            </w:r>
          </w:p>
          <w:p w14:paraId="7C27E938" w14:textId="77777777" w:rsidR="008C7B7D" w:rsidRPr="00D30678" w:rsidRDefault="008C7B7D" w:rsidP="008C7B7D">
            <w:pPr>
              <w:pStyle w:val="TableBullet1"/>
              <w:numPr>
                <w:ilvl w:val="0"/>
                <w:numId w:val="0"/>
              </w:numPr>
              <w:spacing w:line="252" w:lineRule="auto"/>
              <w:ind w:left="-2"/>
              <w:rPr>
                <w:rFonts w:asciiTheme="majorHAnsi" w:hAnsiTheme="majorHAnsi" w:cstheme="majorHAnsi"/>
                <w:szCs w:val="18"/>
              </w:rPr>
            </w:pPr>
            <w:r>
              <w:rPr>
                <w:rFonts w:asciiTheme="majorHAnsi" w:hAnsiTheme="majorHAnsi" w:cstheme="majorHAnsi"/>
                <w:szCs w:val="18"/>
              </w:rPr>
              <w:t xml:space="preserve">This information must be reported in accordance with the </w:t>
            </w:r>
            <w:r w:rsidR="00C14918">
              <w:rPr>
                <w:rFonts w:asciiTheme="majorHAnsi" w:hAnsiTheme="majorHAnsi" w:cstheme="majorHAnsi"/>
                <w:szCs w:val="18"/>
              </w:rPr>
              <w:t xml:space="preserve">Bulletin Board </w:t>
            </w:r>
            <w:r>
              <w:rPr>
                <w:rFonts w:asciiTheme="majorHAnsi" w:hAnsiTheme="majorHAnsi" w:cstheme="majorHAnsi"/>
                <w:szCs w:val="18"/>
              </w:rPr>
              <w:t>Information Standard</w:t>
            </w:r>
            <w:r w:rsidR="00C14918">
              <w:rPr>
                <w:rFonts w:asciiTheme="majorHAnsi" w:hAnsiTheme="majorHAnsi" w:cstheme="majorHAnsi"/>
                <w:szCs w:val="18"/>
              </w:rPr>
              <w:t xml:space="preserve"> in Part 18 of the NGR</w:t>
            </w:r>
            <w:r>
              <w:rPr>
                <w:rFonts w:asciiTheme="majorHAnsi" w:hAnsiTheme="majorHAnsi" w:cstheme="majorHAnsi"/>
                <w:szCs w:val="18"/>
              </w:rPr>
              <w:t>.</w:t>
            </w:r>
            <w:r>
              <w:rPr>
                <w:rStyle w:val="FootnoteReference"/>
                <w:rFonts w:asciiTheme="majorHAnsi" w:hAnsiTheme="majorHAnsi" w:cstheme="majorHAnsi"/>
                <w:szCs w:val="18"/>
              </w:rPr>
              <w:footnoteReference w:id="343"/>
            </w:r>
          </w:p>
        </w:tc>
      </w:tr>
      <w:tr w:rsidR="00A76F4F" w:rsidRPr="00C37D44" w14:paraId="1FB35401" w14:textId="77777777" w:rsidTr="005A552A">
        <w:trPr>
          <w:trHeight w:val="20"/>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14:paraId="68B26AAD" w14:textId="77777777" w:rsidR="00A76F4F" w:rsidRPr="00D30678" w:rsidRDefault="00A76F4F" w:rsidP="008C7B7D">
            <w:pPr>
              <w:pStyle w:val="BodyText"/>
              <w:keepNext/>
              <w:spacing w:before="20" w:after="20" w:line="252" w:lineRule="auto"/>
              <w:jc w:val="center"/>
              <w:rPr>
                <w:rFonts w:asciiTheme="majorHAnsi" w:hAnsiTheme="majorHAnsi" w:cstheme="majorHAnsi"/>
                <w:b/>
                <w:sz w:val="18"/>
                <w:szCs w:val="18"/>
              </w:rPr>
            </w:pPr>
            <w:r w:rsidRPr="00D30678">
              <w:rPr>
                <w:rFonts w:asciiTheme="majorHAnsi" w:hAnsiTheme="majorHAnsi" w:cstheme="majorHAnsi"/>
                <w:b/>
                <w:color w:val="FFFFFF" w:themeColor="background1"/>
                <w:sz w:val="18"/>
                <w:szCs w:val="18"/>
              </w:rPr>
              <w:lastRenderedPageBreak/>
              <w:t>Extension of Bulletin Board reporting obligations</w:t>
            </w:r>
          </w:p>
        </w:tc>
      </w:tr>
      <w:tr w:rsidR="00A76F4F" w:rsidRPr="00C37D44" w14:paraId="7AD07F1A" w14:textId="77777777" w:rsidTr="00590352">
        <w:trPr>
          <w:trHeight w:val="584"/>
        </w:trPr>
        <w:tc>
          <w:tcPr>
            <w:tcW w:w="603"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tcPr>
          <w:p w14:paraId="3DAA6615" w14:textId="77777777" w:rsidR="00A76F4F" w:rsidRPr="00D30678" w:rsidRDefault="00A76F4F" w:rsidP="008C7B7D">
            <w:pPr>
              <w:pStyle w:val="BodyText"/>
              <w:keepNext/>
              <w:spacing w:before="60" w:after="60" w:line="252" w:lineRule="auto"/>
              <w:rPr>
                <w:rFonts w:asciiTheme="majorHAnsi" w:hAnsiTheme="majorHAnsi" w:cstheme="majorHAnsi"/>
                <w:sz w:val="18"/>
                <w:szCs w:val="18"/>
              </w:rPr>
            </w:pPr>
            <w:r w:rsidRPr="00D30678">
              <w:rPr>
                <w:rFonts w:asciiTheme="majorHAnsi" w:hAnsiTheme="majorHAnsi" w:cstheme="majorHAnsi"/>
                <w:sz w:val="18"/>
                <w:szCs w:val="18"/>
              </w:rPr>
              <w:t>Obligations</w:t>
            </w:r>
          </w:p>
        </w:tc>
        <w:tc>
          <w:tcPr>
            <w:tcW w:w="4397"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tcPr>
          <w:p w14:paraId="4D1B048D" w14:textId="77777777" w:rsidR="00A76F4F" w:rsidRPr="00C37D44" w:rsidRDefault="00DA16AB" w:rsidP="008C7B7D">
            <w:pPr>
              <w:pStyle w:val="TableBullet1"/>
              <w:keepNext/>
            </w:pPr>
            <w:r>
              <w:t>Transportation s</w:t>
            </w:r>
            <w:r w:rsidR="00A76F4F" w:rsidRPr="00F04A8E">
              <w:t xml:space="preserve">ervice providers that are subject to </w:t>
            </w:r>
            <w:r w:rsidR="008C7B7D">
              <w:t xml:space="preserve">Bulletin Board </w:t>
            </w:r>
            <w:r w:rsidR="00A76F4F" w:rsidRPr="00F04A8E">
              <w:t xml:space="preserve">reporting obligations </w:t>
            </w:r>
            <w:r w:rsidR="00F172F9">
              <w:t xml:space="preserve">must </w:t>
            </w:r>
            <w:r w:rsidR="00A76F4F" w:rsidRPr="00F04A8E">
              <w:t>provide AEMO with information on the nameplate rating for each receipt and delivery point.</w:t>
            </w:r>
            <w:r w:rsidR="008C7B7D">
              <w:rPr>
                <w:rStyle w:val="FootnoteReference"/>
              </w:rPr>
              <w:footnoteReference w:id="344"/>
            </w:r>
            <w:r w:rsidR="00A76F4F" w:rsidRPr="00C37D44">
              <w:rPr>
                <w:vertAlign w:val="superscript"/>
              </w:rPr>
              <w:t xml:space="preserve"> </w:t>
            </w:r>
          </w:p>
          <w:p w14:paraId="208A75A8" w14:textId="77777777" w:rsidR="00A76F4F" w:rsidRPr="00C37D44" w:rsidRDefault="00DA16AB" w:rsidP="0011427B">
            <w:pPr>
              <w:pStyle w:val="TableBullet1"/>
              <w:keepNext/>
            </w:pPr>
            <w:r>
              <w:t>Transportation s</w:t>
            </w:r>
            <w:r w:rsidR="00A76F4F" w:rsidRPr="00C37D44">
              <w:t xml:space="preserve">ervice providers for remote transportation facilities </w:t>
            </w:r>
            <w:r w:rsidR="008C7B7D">
              <w:t xml:space="preserve">that </w:t>
            </w:r>
            <w:r w:rsidR="00A76F4F" w:rsidRPr="00C37D44">
              <w:t xml:space="preserve">are ineligible for </w:t>
            </w:r>
            <w:r w:rsidR="00F172F9">
              <w:t>an exemption</w:t>
            </w:r>
            <w:r w:rsidR="00A76F4F" w:rsidRPr="00C37D44">
              <w:t xml:space="preserve">, </w:t>
            </w:r>
            <w:r w:rsidR="00C14918">
              <w:t xml:space="preserve">will be </w:t>
            </w:r>
            <w:r w:rsidR="00A76F4F" w:rsidRPr="00C37D44">
              <w:t xml:space="preserve">subject to </w:t>
            </w:r>
            <w:r w:rsidR="008C7B7D">
              <w:t xml:space="preserve">the Bulletin Board </w:t>
            </w:r>
            <w:r w:rsidR="00A76F4F" w:rsidRPr="00C37D44">
              <w:t>reporting obligations.</w:t>
            </w:r>
            <w:r w:rsidR="008C7B7D">
              <w:rPr>
                <w:rStyle w:val="FootnoteReference"/>
              </w:rPr>
              <w:footnoteReference w:id="345"/>
            </w:r>
            <w:r w:rsidR="00A76F4F" w:rsidRPr="00C37D44">
              <w:rPr>
                <w:vertAlign w:val="superscript"/>
              </w:rPr>
              <w:t xml:space="preserve"> </w:t>
            </w:r>
          </w:p>
        </w:tc>
      </w:tr>
      <w:tr w:rsidR="00A76F4F" w:rsidRPr="00C37D44" w14:paraId="36DC75F0" w14:textId="77777777" w:rsidTr="00590352">
        <w:trPr>
          <w:trHeight w:val="20"/>
        </w:trPr>
        <w:tc>
          <w:tcPr>
            <w:tcW w:w="603" w:type="pct"/>
            <w:tcBorders>
              <w:top w:val="single" w:sz="4" w:space="0" w:color="auto"/>
              <w:bottom w:val="single" w:sz="4" w:space="0" w:color="auto"/>
              <w:right w:val="single" w:sz="4" w:space="0" w:color="auto"/>
            </w:tcBorders>
            <w:shd w:val="clear" w:color="auto" w:fill="E1E2E7" w:themeFill="background2"/>
            <w:tcMar>
              <w:top w:w="72" w:type="dxa"/>
              <w:left w:w="144" w:type="dxa"/>
              <w:bottom w:w="72" w:type="dxa"/>
              <w:right w:w="144" w:type="dxa"/>
            </w:tcMar>
          </w:tcPr>
          <w:p w14:paraId="2BA8F6D1" w14:textId="77777777" w:rsidR="00A76F4F" w:rsidRPr="00F04A8E" w:rsidRDefault="00A76F4F" w:rsidP="008C7B7D">
            <w:pPr>
              <w:pStyle w:val="BodyText"/>
              <w:spacing w:before="60" w:after="60" w:line="252" w:lineRule="auto"/>
              <w:rPr>
                <w:rFonts w:asciiTheme="majorHAnsi" w:hAnsiTheme="majorHAnsi" w:cstheme="majorHAnsi"/>
                <w:sz w:val="18"/>
                <w:szCs w:val="18"/>
              </w:rPr>
            </w:pPr>
            <w:r w:rsidRPr="00D30678">
              <w:rPr>
                <w:rFonts w:asciiTheme="majorHAnsi" w:hAnsiTheme="majorHAnsi" w:cstheme="majorHAnsi"/>
                <w:sz w:val="18"/>
                <w:szCs w:val="18"/>
              </w:rPr>
              <w:t xml:space="preserve">Information about </w:t>
            </w:r>
            <w:r w:rsidR="00B81D4D">
              <w:rPr>
                <w:rFonts w:asciiTheme="majorHAnsi" w:hAnsiTheme="majorHAnsi" w:cstheme="majorHAnsi"/>
                <w:sz w:val="18"/>
                <w:szCs w:val="18"/>
              </w:rPr>
              <w:t>compression service facilities</w:t>
            </w:r>
          </w:p>
        </w:tc>
        <w:tc>
          <w:tcPr>
            <w:tcW w:w="4397" w:type="pct"/>
            <w:tcBorders>
              <w:top w:val="single" w:sz="4" w:space="0" w:color="auto"/>
              <w:left w:val="single" w:sz="4" w:space="0" w:color="auto"/>
              <w:bottom w:val="single" w:sz="4" w:space="0" w:color="auto"/>
            </w:tcBorders>
            <w:shd w:val="clear" w:color="auto" w:fill="E1E2E7" w:themeFill="background2"/>
            <w:tcMar>
              <w:top w:w="72" w:type="dxa"/>
              <w:left w:w="144" w:type="dxa"/>
              <w:bottom w:w="72" w:type="dxa"/>
              <w:right w:w="144" w:type="dxa"/>
            </w:tcMar>
          </w:tcPr>
          <w:p w14:paraId="0C1178D6" w14:textId="77777777" w:rsidR="00A76F4F" w:rsidRPr="00C37D44" w:rsidRDefault="008C7B7D" w:rsidP="008C7B7D">
            <w:pPr>
              <w:pStyle w:val="BodyText"/>
              <w:spacing w:before="60" w:after="60" w:line="252" w:lineRule="auto"/>
              <w:rPr>
                <w:rFonts w:asciiTheme="majorHAnsi" w:hAnsiTheme="majorHAnsi" w:cstheme="majorHAnsi"/>
                <w:sz w:val="18"/>
                <w:szCs w:val="18"/>
              </w:rPr>
            </w:pPr>
            <w:r>
              <w:rPr>
                <w:rFonts w:asciiTheme="majorHAnsi" w:hAnsiTheme="majorHAnsi" w:cstheme="majorHAnsi"/>
                <w:sz w:val="18"/>
                <w:szCs w:val="18"/>
              </w:rPr>
              <w:t xml:space="preserve">From 1 February 2019 </w:t>
            </w:r>
            <w:r w:rsidR="00C14918">
              <w:rPr>
                <w:rFonts w:asciiTheme="majorHAnsi" w:hAnsiTheme="majorHAnsi" w:cstheme="majorHAnsi"/>
                <w:sz w:val="18"/>
                <w:szCs w:val="18"/>
              </w:rPr>
              <w:t xml:space="preserve">Part 24 </w:t>
            </w:r>
            <w:r w:rsidR="00B81D4D">
              <w:rPr>
                <w:rFonts w:asciiTheme="majorHAnsi" w:hAnsiTheme="majorHAnsi" w:cstheme="majorHAnsi"/>
                <w:sz w:val="18"/>
                <w:szCs w:val="18"/>
              </w:rPr>
              <w:t xml:space="preserve">compression service </w:t>
            </w:r>
            <w:r w:rsidR="00C14918">
              <w:rPr>
                <w:rFonts w:asciiTheme="majorHAnsi" w:hAnsiTheme="majorHAnsi" w:cstheme="majorHAnsi"/>
                <w:sz w:val="18"/>
                <w:szCs w:val="18"/>
              </w:rPr>
              <w:t xml:space="preserve">facility operators </w:t>
            </w:r>
            <w:r>
              <w:rPr>
                <w:rFonts w:asciiTheme="majorHAnsi" w:hAnsiTheme="majorHAnsi" w:cstheme="majorHAnsi"/>
                <w:sz w:val="18"/>
                <w:szCs w:val="18"/>
              </w:rPr>
              <w:t xml:space="preserve">that are </w:t>
            </w:r>
            <w:r w:rsidR="00A76F4F" w:rsidRPr="00C37D44">
              <w:rPr>
                <w:rFonts w:asciiTheme="majorHAnsi" w:hAnsiTheme="majorHAnsi" w:cstheme="majorHAnsi"/>
                <w:sz w:val="18"/>
                <w:szCs w:val="18"/>
              </w:rPr>
              <w:t xml:space="preserve">subject to the </w:t>
            </w:r>
            <w:r w:rsidR="00AF2CBC">
              <w:rPr>
                <w:rFonts w:asciiTheme="majorHAnsi" w:hAnsiTheme="majorHAnsi" w:cstheme="majorHAnsi"/>
                <w:sz w:val="18"/>
                <w:szCs w:val="18"/>
              </w:rPr>
              <w:t xml:space="preserve">auction </w:t>
            </w:r>
            <w:r w:rsidR="00F172F9">
              <w:rPr>
                <w:rFonts w:asciiTheme="majorHAnsi" w:hAnsiTheme="majorHAnsi" w:cstheme="majorHAnsi"/>
                <w:sz w:val="18"/>
                <w:szCs w:val="18"/>
              </w:rPr>
              <w:t xml:space="preserve">must </w:t>
            </w:r>
            <w:r>
              <w:rPr>
                <w:rFonts w:asciiTheme="majorHAnsi" w:hAnsiTheme="majorHAnsi" w:cstheme="majorHAnsi"/>
                <w:sz w:val="18"/>
                <w:szCs w:val="18"/>
              </w:rPr>
              <w:t xml:space="preserve">report </w:t>
            </w:r>
            <w:r w:rsidR="00A76F4F" w:rsidRPr="00C37D44">
              <w:rPr>
                <w:rFonts w:asciiTheme="majorHAnsi" w:hAnsiTheme="majorHAnsi" w:cstheme="majorHAnsi"/>
                <w:sz w:val="18"/>
                <w:szCs w:val="18"/>
              </w:rPr>
              <w:t xml:space="preserve">the following information </w:t>
            </w:r>
            <w:r>
              <w:rPr>
                <w:rFonts w:asciiTheme="majorHAnsi" w:hAnsiTheme="majorHAnsi" w:cstheme="majorHAnsi"/>
                <w:sz w:val="18"/>
                <w:szCs w:val="18"/>
              </w:rPr>
              <w:t>to AEMO for publication on the Bulletin Board</w:t>
            </w:r>
            <w:r w:rsidR="00A76F4F" w:rsidRPr="00C37D44">
              <w:rPr>
                <w:rFonts w:asciiTheme="majorHAnsi" w:hAnsiTheme="majorHAnsi" w:cstheme="majorHAnsi"/>
                <w:sz w:val="18"/>
                <w:szCs w:val="18"/>
              </w:rPr>
              <w:t>:</w:t>
            </w:r>
            <w:r>
              <w:rPr>
                <w:rStyle w:val="FootnoteReference"/>
                <w:rFonts w:asciiTheme="majorHAnsi" w:hAnsiTheme="majorHAnsi" w:cstheme="majorHAnsi"/>
                <w:sz w:val="18"/>
                <w:szCs w:val="18"/>
              </w:rPr>
              <w:footnoteReference w:id="346"/>
            </w:r>
          </w:p>
          <w:p w14:paraId="1555531B" w14:textId="77777777" w:rsidR="00A76F4F" w:rsidRDefault="00A76F4F" w:rsidP="008C7B7D">
            <w:pPr>
              <w:pStyle w:val="TableBullet1"/>
              <w:spacing w:line="252" w:lineRule="auto"/>
              <w:rPr>
                <w:rFonts w:asciiTheme="majorHAnsi" w:hAnsiTheme="majorHAnsi" w:cstheme="majorHAnsi"/>
                <w:szCs w:val="18"/>
              </w:rPr>
            </w:pPr>
            <w:r w:rsidRPr="00C37D44">
              <w:rPr>
                <w:rFonts w:asciiTheme="majorHAnsi" w:hAnsiTheme="majorHAnsi" w:cstheme="majorHAnsi"/>
                <w:szCs w:val="18"/>
              </w:rPr>
              <w:t>the nameplate rating</w:t>
            </w:r>
            <w:r>
              <w:rPr>
                <w:rFonts w:asciiTheme="majorHAnsi" w:hAnsiTheme="majorHAnsi" w:cstheme="majorHAnsi"/>
                <w:szCs w:val="18"/>
              </w:rPr>
              <w:t>;</w:t>
            </w:r>
            <w:r w:rsidRPr="00C37D44">
              <w:rPr>
                <w:rFonts w:asciiTheme="majorHAnsi" w:hAnsiTheme="majorHAnsi" w:cstheme="majorHAnsi"/>
                <w:szCs w:val="18"/>
              </w:rPr>
              <w:t xml:space="preserve"> </w:t>
            </w:r>
          </w:p>
          <w:p w14:paraId="0561F07A" w14:textId="77777777" w:rsidR="00A76F4F" w:rsidRPr="00C37D44" w:rsidRDefault="00A76F4F" w:rsidP="008C7B7D">
            <w:pPr>
              <w:pStyle w:val="TableBullet1"/>
              <w:spacing w:line="252" w:lineRule="auto"/>
              <w:rPr>
                <w:rFonts w:asciiTheme="majorHAnsi" w:hAnsiTheme="majorHAnsi" w:cstheme="majorHAnsi"/>
                <w:szCs w:val="18"/>
              </w:rPr>
            </w:pPr>
            <w:r w:rsidRPr="00C37D44">
              <w:rPr>
                <w:rFonts w:asciiTheme="majorHAnsi" w:hAnsiTheme="majorHAnsi" w:cstheme="majorHAnsi"/>
                <w:szCs w:val="18"/>
              </w:rPr>
              <w:t>detailed facility information</w:t>
            </w:r>
            <w:r>
              <w:rPr>
                <w:rFonts w:asciiTheme="majorHAnsi" w:hAnsiTheme="majorHAnsi" w:cstheme="majorHAnsi"/>
                <w:szCs w:val="18"/>
              </w:rPr>
              <w:t>;</w:t>
            </w:r>
          </w:p>
          <w:p w14:paraId="19533E9B" w14:textId="77777777" w:rsidR="00A76F4F" w:rsidRPr="00C37D44" w:rsidRDefault="00A76F4F" w:rsidP="008C7B7D">
            <w:pPr>
              <w:pStyle w:val="TableBullet1"/>
              <w:spacing w:line="252" w:lineRule="auto"/>
              <w:rPr>
                <w:rFonts w:asciiTheme="majorHAnsi" w:hAnsiTheme="majorHAnsi" w:cstheme="majorHAnsi"/>
                <w:szCs w:val="18"/>
              </w:rPr>
            </w:pPr>
            <w:r w:rsidRPr="00C37D44">
              <w:rPr>
                <w:rFonts w:asciiTheme="majorHAnsi" w:hAnsiTheme="majorHAnsi" w:cstheme="majorHAnsi"/>
                <w:szCs w:val="18"/>
              </w:rPr>
              <w:t>a 12</w:t>
            </w:r>
            <w:r>
              <w:rPr>
                <w:rFonts w:asciiTheme="majorHAnsi" w:hAnsiTheme="majorHAnsi" w:cstheme="majorHAnsi"/>
                <w:szCs w:val="18"/>
              </w:rPr>
              <w:t>-</w:t>
            </w:r>
            <w:r w:rsidRPr="00C37D44">
              <w:rPr>
                <w:rFonts w:asciiTheme="majorHAnsi" w:hAnsiTheme="majorHAnsi" w:cstheme="majorHAnsi"/>
                <w:szCs w:val="18"/>
              </w:rPr>
              <w:t>month outlook of uncontracted primary compression capacity;</w:t>
            </w:r>
          </w:p>
          <w:p w14:paraId="29958252" w14:textId="77777777" w:rsidR="00A76F4F" w:rsidRDefault="00A76F4F" w:rsidP="008C7B7D">
            <w:pPr>
              <w:pStyle w:val="TableBullet1"/>
              <w:spacing w:line="252" w:lineRule="auto"/>
              <w:rPr>
                <w:rFonts w:asciiTheme="majorHAnsi" w:hAnsiTheme="majorHAnsi" w:cstheme="majorHAnsi"/>
                <w:szCs w:val="18"/>
              </w:rPr>
            </w:pPr>
            <w:r w:rsidRPr="00C37D44">
              <w:rPr>
                <w:rFonts w:asciiTheme="majorHAnsi" w:hAnsiTheme="majorHAnsi" w:cstheme="majorHAnsi"/>
                <w:szCs w:val="18"/>
              </w:rPr>
              <w:t>a short-term capacity outlook</w:t>
            </w:r>
            <w:r>
              <w:rPr>
                <w:rFonts w:asciiTheme="majorHAnsi" w:hAnsiTheme="majorHAnsi" w:cstheme="majorHAnsi"/>
                <w:szCs w:val="18"/>
              </w:rPr>
              <w:t>;</w:t>
            </w:r>
            <w:r w:rsidRPr="00C37D44">
              <w:rPr>
                <w:rFonts w:asciiTheme="majorHAnsi" w:hAnsiTheme="majorHAnsi" w:cstheme="majorHAnsi"/>
                <w:szCs w:val="18"/>
              </w:rPr>
              <w:t xml:space="preserve"> </w:t>
            </w:r>
          </w:p>
          <w:p w14:paraId="67B55E9A" w14:textId="77777777" w:rsidR="00A76F4F" w:rsidRPr="00C37D44" w:rsidRDefault="00A76F4F" w:rsidP="008C7B7D">
            <w:pPr>
              <w:pStyle w:val="TableBullet1"/>
              <w:spacing w:line="252" w:lineRule="auto"/>
              <w:rPr>
                <w:rFonts w:asciiTheme="majorHAnsi" w:hAnsiTheme="majorHAnsi" w:cstheme="majorHAnsi"/>
                <w:szCs w:val="18"/>
              </w:rPr>
            </w:pPr>
            <w:r w:rsidRPr="00C37D44">
              <w:rPr>
                <w:rFonts w:asciiTheme="majorHAnsi" w:hAnsiTheme="majorHAnsi" w:cstheme="majorHAnsi"/>
                <w:szCs w:val="18"/>
              </w:rPr>
              <w:t>a linepack/capacity adequacy indicator;</w:t>
            </w:r>
          </w:p>
          <w:p w14:paraId="33FB197B" w14:textId="77777777" w:rsidR="00A76F4F" w:rsidRDefault="00A76F4F" w:rsidP="008C7B7D">
            <w:pPr>
              <w:pStyle w:val="TableBullet1"/>
              <w:spacing w:line="252" w:lineRule="auto"/>
              <w:rPr>
                <w:rFonts w:asciiTheme="majorHAnsi" w:hAnsiTheme="majorHAnsi" w:cstheme="majorHAnsi"/>
                <w:szCs w:val="18"/>
              </w:rPr>
            </w:pPr>
            <w:r w:rsidRPr="00C37D44">
              <w:rPr>
                <w:rFonts w:asciiTheme="majorHAnsi" w:hAnsiTheme="majorHAnsi" w:cstheme="majorHAnsi"/>
                <w:szCs w:val="18"/>
              </w:rPr>
              <w:t>nominated and forecast use of the facility</w:t>
            </w:r>
            <w:r>
              <w:rPr>
                <w:rFonts w:asciiTheme="majorHAnsi" w:hAnsiTheme="majorHAnsi" w:cstheme="majorHAnsi"/>
                <w:szCs w:val="18"/>
              </w:rPr>
              <w:t>;</w:t>
            </w:r>
            <w:r w:rsidRPr="00C37D44">
              <w:rPr>
                <w:rFonts w:asciiTheme="majorHAnsi" w:hAnsiTheme="majorHAnsi" w:cstheme="majorHAnsi"/>
                <w:szCs w:val="18"/>
              </w:rPr>
              <w:t xml:space="preserve"> and </w:t>
            </w:r>
          </w:p>
          <w:p w14:paraId="430D4DDD" w14:textId="77777777" w:rsidR="00A76F4F" w:rsidRDefault="00A76F4F" w:rsidP="008C7B7D">
            <w:pPr>
              <w:pStyle w:val="TableBullet1"/>
              <w:spacing w:line="252" w:lineRule="auto"/>
              <w:rPr>
                <w:rFonts w:asciiTheme="majorHAnsi" w:hAnsiTheme="majorHAnsi" w:cstheme="majorHAnsi"/>
                <w:szCs w:val="18"/>
              </w:rPr>
            </w:pPr>
            <w:r w:rsidRPr="00C37D44">
              <w:rPr>
                <w:rFonts w:asciiTheme="majorHAnsi" w:hAnsiTheme="majorHAnsi" w:cstheme="majorHAnsi"/>
                <w:szCs w:val="18"/>
              </w:rPr>
              <w:t>daily production data.</w:t>
            </w:r>
          </w:p>
          <w:p w14:paraId="7070EA61" w14:textId="77777777" w:rsidR="008C7B7D" w:rsidRPr="00C37D44" w:rsidRDefault="008C7B7D" w:rsidP="008C7B7D">
            <w:pPr>
              <w:pStyle w:val="TableBullet1"/>
              <w:numPr>
                <w:ilvl w:val="0"/>
                <w:numId w:val="0"/>
              </w:numPr>
              <w:spacing w:line="252" w:lineRule="auto"/>
              <w:ind w:left="312" w:hanging="227"/>
              <w:rPr>
                <w:rFonts w:asciiTheme="majorHAnsi" w:hAnsiTheme="majorHAnsi" w:cstheme="majorHAnsi"/>
                <w:szCs w:val="18"/>
              </w:rPr>
            </w:pPr>
            <w:r>
              <w:rPr>
                <w:rFonts w:asciiTheme="majorHAnsi" w:hAnsiTheme="majorHAnsi" w:cstheme="majorHAnsi"/>
                <w:szCs w:val="18"/>
              </w:rPr>
              <w:t xml:space="preserve">This information must be reported in accordance with the </w:t>
            </w:r>
            <w:r w:rsidR="00C14918">
              <w:rPr>
                <w:rFonts w:asciiTheme="majorHAnsi" w:hAnsiTheme="majorHAnsi" w:cstheme="majorHAnsi"/>
                <w:szCs w:val="18"/>
              </w:rPr>
              <w:t>Bulletin Board</w:t>
            </w:r>
            <w:r>
              <w:rPr>
                <w:rFonts w:asciiTheme="majorHAnsi" w:hAnsiTheme="majorHAnsi" w:cstheme="majorHAnsi"/>
                <w:szCs w:val="18"/>
              </w:rPr>
              <w:t xml:space="preserve"> Information Standard</w:t>
            </w:r>
            <w:r w:rsidR="00C14918">
              <w:rPr>
                <w:rFonts w:asciiTheme="majorHAnsi" w:hAnsiTheme="majorHAnsi" w:cstheme="majorHAnsi"/>
                <w:szCs w:val="18"/>
              </w:rPr>
              <w:t xml:space="preserve"> in Part 18 of the NGR</w:t>
            </w:r>
            <w:r>
              <w:rPr>
                <w:rFonts w:asciiTheme="majorHAnsi" w:hAnsiTheme="majorHAnsi" w:cstheme="majorHAnsi"/>
                <w:szCs w:val="18"/>
              </w:rPr>
              <w:t>.</w:t>
            </w:r>
            <w:r>
              <w:rPr>
                <w:rStyle w:val="FootnoteReference"/>
                <w:rFonts w:asciiTheme="majorHAnsi" w:hAnsiTheme="majorHAnsi" w:cstheme="majorHAnsi"/>
                <w:szCs w:val="18"/>
              </w:rPr>
              <w:footnoteReference w:id="347"/>
            </w:r>
          </w:p>
        </w:tc>
      </w:tr>
    </w:tbl>
    <w:p w14:paraId="42A544D7" w14:textId="77777777" w:rsidR="00A76F4F" w:rsidRPr="00C37D44" w:rsidRDefault="00A76F4F" w:rsidP="00A76F4F">
      <w:pPr>
        <w:pStyle w:val="BodyText"/>
        <w:spacing w:before="0" w:after="0"/>
        <w:rPr>
          <w:rFonts w:asciiTheme="majorHAnsi" w:hAnsiTheme="majorHAnsi" w:cstheme="majorHAnsi"/>
          <w:sz w:val="2"/>
          <w:szCs w:val="2"/>
        </w:rPr>
      </w:pPr>
    </w:p>
    <w:p w14:paraId="594EBEFA" w14:textId="77777777" w:rsidR="00A76F4F" w:rsidRPr="00C37D44" w:rsidRDefault="00A76F4F" w:rsidP="00A76F4F">
      <w:pPr>
        <w:pStyle w:val="BodyText"/>
        <w:spacing w:before="0" w:after="0"/>
        <w:rPr>
          <w:rFonts w:asciiTheme="majorHAnsi" w:hAnsiTheme="majorHAnsi" w:cstheme="majorHAnsi"/>
          <w:sz w:val="2"/>
          <w:szCs w:val="2"/>
        </w:rPr>
      </w:pPr>
    </w:p>
    <w:p w14:paraId="3D01529D" w14:textId="77777777" w:rsidR="00A76F4F" w:rsidRPr="00C37D44" w:rsidRDefault="00A76F4F" w:rsidP="00A76F4F">
      <w:pPr>
        <w:pStyle w:val="BodyText"/>
        <w:spacing w:before="0" w:after="0"/>
        <w:rPr>
          <w:rFonts w:asciiTheme="majorHAnsi" w:hAnsiTheme="majorHAnsi" w:cstheme="majorHAnsi"/>
          <w:sz w:val="2"/>
          <w:szCs w:val="2"/>
        </w:rPr>
      </w:pPr>
    </w:p>
    <w:p w14:paraId="76CB2A0C" w14:textId="77777777" w:rsidR="00A76F4F" w:rsidRPr="00E51942" w:rsidRDefault="00A76F4F" w:rsidP="00A76F4F">
      <w:pPr>
        <w:pStyle w:val="BodyText"/>
        <w:rPr>
          <w:sz w:val="2"/>
          <w:szCs w:val="2"/>
        </w:rPr>
      </w:pPr>
      <w:r w:rsidRPr="00E51942">
        <w:rPr>
          <w:sz w:val="2"/>
          <w:szCs w:val="2"/>
        </w:rPr>
        <w:br w:type="page"/>
      </w:r>
    </w:p>
    <w:p w14:paraId="6B190678" w14:textId="77777777" w:rsidR="00C23976" w:rsidRPr="00C54802" w:rsidRDefault="00C23976" w:rsidP="00C54802">
      <w:pPr>
        <w:pStyle w:val="BodyText"/>
        <w:spacing w:before="0" w:after="0"/>
        <w:rPr>
          <w:sz w:val="2"/>
          <w:szCs w:val="2"/>
        </w:rPr>
        <w:sectPr w:rsidR="00C23976" w:rsidRPr="00C54802" w:rsidSect="00CD7BB3">
          <w:pgSz w:w="16839" w:h="11907" w:orient="landscape" w:code="9"/>
          <w:pgMar w:top="1701" w:right="1418" w:bottom="709" w:left="1701" w:header="425" w:footer="397" w:gutter="0"/>
          <w:cols w:space="708"/>
          <w:docGrid w:linePitch="360"/>
        </w:sectPr>
      </w:pPr>
    </w:p>
    <w:p w14:paraId="3A1A0A07" w14:textId="77777777" w:rsidR="00330F39" w:rsidRDefault="00330F39" w:rsidP="00330F39">
      <w:pPr>
        <w:pStyle w:val="Heading2"/>
      </w:pPr>
      <w:bookmarkStart w:id="91" w:name="_Toc530546476"/>
      <w:r>
        <w:lastRenderedPageBreak/>
        <w:t>Legal and regulatory framework</w:t>
      </w:r>
      <w:bookmarkEnd w:id="91"/>
      <w:r>
        <w:t xml:space="preserve"> </w:t>
      </w:r>
    </w:p>
    <w:p w14:paraId="13FF7FB1" w14:textId="77777777" w:rsidR="00330F39" w:rsidRDefault="00330F39" w:rsidP="00330F39">
      <w:pPr>
        <w:pStyle w:val="BodyText"/>
      </w:pPr>
      <w:r>
        <w:t xml:space="preserve">To implement the transparency measures outlined above, a number of changes have been made to the NGL, the Regulations and the NGR. Further detail on the changes that have been made is provided below. </w:t>
      </w:r>
    </w:p>
    <w:p w14:paraId="4BD27846" w14:textId="77777777" w:rsidR="00156D33" w:rsidRPr="0093247D" w:rsidRDefault="00DB668D" w:rsidP="00330F39">
      <w:pPr>
        <w:pStyle w:val="Heading3"/>
      </w:pPr>
      <w:r>
        <w:t>C</w:t>
      </w:r>
      <w:r w:rsidR="00156D33" w:rsidRPr="0093247D">
        <w:t>hanges to the NGL</w:t>
      </w:r>
    </w:p>
    <w:p w14:paraId="645D0080" w14:textId="77777777" w:rsidR="00156D33" w:rsidRDefault="00FD23C7" w:rsidP="00156D33">
      <w:pPr>
        <w:pStyle w:val="BodyText"/>
      </w:pPr>
      <w:r>
        <w:t xml:space="preserve">To implement the secondary capacity </w:t>
      </w:r>
      <w:r w:rsidR="008E00EE">
        <w:t>trading framework, t</w:t>
      </w:r>
      <w:r w:rsidR="00DB668D">
        <w:t xml:space="preserve">he </w:t>
      </w:r>
      <w:r w:rsidR="00CA7E12">
        <w:t>NGL has been amended to</w:t>
      </w:r>
      <w:r w:rsidR="00156D33">
        <w:t>:</w:t>
      </w:r>
    </w:p>
    <w:p w14:paraId="5EE91DFE" w14:textId="77777777" w:rsidR="00156D33" w:rsidRDefault="00CA7E12" w:rsidP="00156D33">
      <w:pPr>
        <w:pStyle w:val="ListBullet"/>
        <w:ind w:left="357" w:hanging="357"/>
      </w:pPr>
      <w:r>
        <w:t>E</w:t>
      </w:r>
      <w:r w:rsidR="00DB668D">
        <w:t xml:space="preserve">xtend </w:t>
      </w:r>
      <w:r w:rsidR="00156D33">
        <w:t>the subject matter of the NGR and the scope of the AEMC’s rule making functions to include the reporting of secondary capacity trades</w:t>
      </w:r>
      <w:r>
        <w:t>.</w:t>
      </w:r>
      <w:r w:rsidR="00156D33">
        <w:rPr>
          <w:rStyle w:val="FootnoteReference"/>
        </w:rPr>
        <w:footnoteReference w:id="348"/>
      </w:r>
      <w:r w:rsidR="00156D33">
        <w:t xml:space="preserve"> </w:t>
      </w:r>
    </w:p>
    <w:p w14:paraId="30307DE7" w14:textId="77777777" w:rsidR="00156D33" w:rsidRDefault="00CA7E12" w:rsidP="00156D33">
      <w:pPr>
        <w:pStyle w:val="ListBullet"/>
        <w:ind w:left="357" w:hanging="357"/>
      </w:pPr>
      <w:r>
        <w:t>E</w:t>
      </w:r>
      <w:r w:rsidR="00156D33">
        <w:t>xpand the scope of AEMO’s functions and powers as operator of the Bulletin Board to include the collection and collation of information on secondary capacity trades</w:t>
      </w:r>
      <w:r>
        <w:t>.</w:t>
      </w:r>
      <w:r w:rsidR="00156D33">
        <w:rPr>
          <w:rStyle w:val="FootnoteReference"/>
        </w:rPr>
        <w:footnoteReference w:id="349"/>
      </w:r>
      <w:r w:rsidR="00156D33">
        <w:t xml:space="preserve"> </w:t>
      </w:r>
    </w:p>
    <w:p w14:paraId="4F5ADE95" w14:textId="77777777" w:rsidR="00CA7E12" w:rsidRDefault="00CA7E12" w:rsidP="00DB668D">
      <w:pPr>
        <w:pStyle w:val="ListBullet"/>
        <w:ind w:left="357" w:hanging="357"/>
      </w:pPr>
      <w:r>
        <w:t>R</w:t>
      </w:r>
      <w:r w:rsidR="00156D33">
        <w:t>equir</w:t>
      </w:r>
      <w:r w:rsidR="00DB668D">
        <w:t>e</w:t>
      </w:r>
      <w:r w:rsidR="00156D33">
        <w:t xml:space="preserve"> </w:t>
      </w:r>
      <w:r w:rsidR="00F5746F">
        <w:t>transportation facility user</w:t>
      </w:r>
      <w:r w:rsidR="00FD23C7">
        <w:t>s</w:t>
      </w:r>
      <w:r w:rsidR="00156D33">
        <w:t xml:space="preserve">, </w:t>
      </w:r>
      <w:r>
        <w:t xml:space="preserve">transportation </w:t>
      </w:r>
      <w:r w:rsidR="00156D33">
        <w:t>service provider</w:t>
      </w:r>
      <w:r w:rsidR="00FD23C7">
        <w:t>s</w:t>
      </w:r>
      <w:r w:rsidR="00156D33">
        <w:t xml:space="preserve"> and any other person specified in the Regulations </w:t>
      </w:r>
      <w:r w:rsidR="00F5746F">
        <w:t xml:space="preserve">who has possession </w:t>
      </w:r>
      <w:r w:rsidR="00D37183">
        <w:t xml:space="preserve">or </w:t>
      </w:r>
      <w:r w:rsidR="00F5746F">
        <w:t xml:space="preserve">control of information on secondary capacity transactions to </w:t>
      </w:r>
      <w:r w:rsidR="00FD23C7">
        <w:t xml:space="preserve">provide </w:t>
      </w:r>
      <w:r w:rsidR="00F5746F">
        <w:t xml:space="preserve">it to </w:t>
      </w:r>
      <w:r w:rsidR="00156D33">
        <w:t xml:space="preserve">AEMO </w:t>
      </w:r>
      <w:r w:rsidR="00F5746F">
        <w:t>if they are required to do so in accordance with the NGR</w:t>
      </w:r>
      <w:r>
        <w:t>.</w:t>
      </w:r>
      <w:r w:rsidR="00156D33">
        <w:rPr>
          <w:rStyle w:val="FootnoteReference"/>
        </w:rPr>
        <w:footnoteReference w:id="350"/>
      </w:r>
      <w:r w:rsidR="00156D33">
        <w:t xml:space="preserve"> </w:t>
      </w:r>
    </w:p>
    <w:p w14:paraId="6C19E7E6" w14:textId="77777777" w:rsidR="001028D6" w:rsidRDefault="00F5746F" w:rsidP="00DB668D">
      <w:pPr>
        <w:pStyle w:val="ListBullet"/>
        <w:ind w:left="357" w:hanging="357"/>
      </w:pPr>
      <w:r>
        <w:t xml:space="preserve">Require AEMO to make available for the operation of the Bulletin Board information about secondary capacity transactions that it acquires in its capacity as operator or administrator of </w:t>
      </w:r>
      <w:r w:rsidR="008E00EE">
        <w:t>the GSH</w:t>
      </w:r>
      <w:r>
        <w:t>.</w:t>
      </w:r>
      <w:r>
        <w:rPr>
          <w:rStyle w:val="FootnoteReference"/>
        </w:rPr>
        <w:footnoteReference w:id="351"/>
      </w:r>
    </w:p>
    <w:p w14:paraId="38E2405E" w14:textId="16EDD031" w:rsidR="00DB668D" w:rsidRDefault="00C855EC" w:rsidP="00F259E2">
      <w:pPr>
        <w:pStyle w:val="ListBullet"/>
        <w:ind w:left="357" w:hanging="357"/>
      </w:pPr>
      <w:r>
        <w:t xml:space="preserve">Extend to secondary capacity transactions the principle </w:t>
      </w:r>
      <w:r w:rsidR="001028D6">
        <w:t xml:space="preserve">that a person cannot rely on a duty of confidence to avoid compliance with the obligation to provide information to AEMO </w:t>
      </w:r>
      <w:r>
        <w:t>for the Bulletin Board</w:t>
      </w:r>
      <w:r w:rsidR="001028D6">
        <w:t>.</w:t>
      </w:r>
      <w:r w:rsidR="001028D6">
        <w:rPr>
          <w:rStyle w:val="FootnoteReference"/>
        </w:rPr>
        <w:footnoteReference w:id="352"/>
      </w:r>
    </w:p>
    <w:p w14:paraId="5ACC1982" w14:textId="77777777" w:rsidR="00156D33" w:rsidRDefault="008E00EE" w:rsidP="008E00EE">
      <w:pPr>
        <w:pStyle w:val="ListBullet"/>
        <w:numPr>
          <w:ilvl w:val="0"/>
          <w:numId w:val="0"/>
        </w:numPr>
      </w:pPr>
      <w:r>
        <w:t>The NGL has also been amended to i</w:t>
      </w:r>
      <w:r w:rsidR="00156D33">
        <w:t>mpose an obligation on allocation agents to provide information to AEMO for pub</w:t>
      </w:r>
      <w:r w:rsidR="00DB668D">
        <w:t>lication on the Bulletin Board</w:t>
      </w:r>
      <w:r w:rsidR="00156D33">
        <w:t>.</w:t>
      </w:r>
      <w:r w:rsidR="00156D33">
        <w:rPr>
          <w:rStyle w:val="FootnoteReference"/>
        </w:rPr>
        <w:footnoteReference w:id="353"/>
      </w:r>
      <w:r w:rsidR="00EF5203" w:rsidRPr="00EF5203">
        <w:rPr>
          <w:vertAlign w:val="superscript"/>
        </w:rPr>
        <w:t>,</w:t>
      </w:r>
      <w:r w:rsidR="00EF5203">
        <w:rPr>
          <w:rStyle w:val="FootnoteReference"/>
        </w:rPr>
        <w:footnoteReference w:id="354"/>
      </w:r>
      <w:r w:rsidR="00156D33">
        <w:t xml:space="preserve"> </w:t>
      </w:r>
    </w:p>
    <w:p w14:paraId="62FB7561" w14:textId="77777777" w:rsidR="00156D33" w:rsidRDefault="00DB668D" w:rsidP="00330F39">
      <w:pPr>
        <w:pStyle w:val="Heading3"/>
      </w:pPr>
      <w:r>
        <w:t>C</w:t>
      </w:r>
      <w:r w:rsidR="00156D33">
        <w:t xml:space="preserve">hanges to the NGR </w:t>
      </w:r>
    </w:p>
    <w:p w14:paraId="63D2EC51" w14:textId="77777777" w:rsidR="00772DE6" w:rsidRPr="00772DE6" w:rsidRDefault="00772DE6" w:rsidP="00772DE6">
      <w:pPr>
        <w:pStyle w:val="BodyText"/>
        <w:keepNext/>
        <w:rPr>
          <w:b/>
          <w:color w:val="0099CC"/>
        </w:rPr>
      </w:pPr>
      <w:r w:rsidRPr="00772DE6">
        <w:rPr>
          <w:b/>
          <w:color w:val="0099CC"/>
        </w:rPr>
        <w:t xml:space="preserve">Secondary capacity </w:t>
      </w:r>
      <w:r>
        <w:rPr>
          <w:b/>
          <w:color w:val="0099CC"/>
        </w:rPr>
        <w:t xml:space="preserve">transaction </w:t>
      </w:r>
      <w:r w:rsidRPr="00772DE6">
        <w:rPr>
          <w:b/>
          <w:color w:val="0099CC"/>
        </w:rPr>
        <w:t>reporting</w:t>
      </w:r>
    </w:p>
    <w:p w14:paraId="2DC0D6B7" w14:textId="77777777" w:rsidR="00156D33" w:rsidRDefault="008E00EE" w:rsidP="00156D33">
      <w:pPr>
        <w:pStyle w:val="BodyText"/>
      </w:pPr>
      <w:r>
        <w:t xml:space="preserve">In keeping with the final design of the secondary capacity reporting framework, </w:t>
      </w:r>
      <w:r w:rsidR="00156D33" w:rsidRPr="00DB668D">
        <w:t>Part 18 (Natural Gas Services Bulletin Board) and Schedule 5 (</w:t>
      </w:r>
      <w:r w:rsidR="002863FD">
        <w:t>T</w:t>
      </w:r>
      <w:r w:rsidR="00156D33" w:rsidRPr="00DB668D">
        <w:t>ransitional rules)</w:t>
      </w:r>
      <w:r w:rsidR="00156D33">
        <w:rPr>
          <w:b/>
        </w:rPr>
        <w:t xml:space="preserve"> </w:t>
      </w:r>
      <w:r w:rsidR="00156D33" w:rsidRPr="008E3903">
        <w:t>of the NGR</w:t>
      </w:r>
      <w:r w:rsidR="00156D33" w:rsidRPr="00067F90">
        <w:rPr>
          <w:b/>
        </w:rPr>
        <w:t xml:space="preserve"> </w:t>
      </w:r>
      <w:r>
        <w:t xml:space="preserve">have been amended to </w:t>
      </w:r>
      <w:r w:rsidR="00156D33">
        <w:t xml:space="preserve">include provisions that: </w:t>
      </w:r>
    </w:p>
    <w:p w14:paraId="59F9E48C" w14:textId="77777777" w:rsidR="008E00EE" w:rsidRDefault="000C7E24" w:rsidP="00156D33">
      <w:pPr>
        <w:pStyle w:val="ListBullet"/>
        <w:ind w:left="357" w:hanging="357"/>
      </w:pPr>
      <w:r>
        <w:t xml:space="preserve">Set out </w:t>
      </w:r>
      <w:r w:rsidR="008E00EE">
        <w:t xml:space="preserve">the </w:t>
      </w:r>
      <w:r w:rsidR="00156D33">
        <w:t xml:space="preserve">registration framework for </w:t>
      </w:r>
      <w:r w:rsidR="008E00EE">
        <w:t xml:space="preserve">secondary </w:t>
      </w:r>
      <w:r w:rsidR="00922BB6">
        <w:t xml:space="preserve">capacity transaction reporting, </w:t>
      </w:r>
      <w:r w:rsidR="008E00EE">
        <w:t xml:space="preserve">which provides for: </w:t>
      </w:r>
    </w:p>
    <w:p w14:paraId="62C1C64B" w14:textId="13F16ABD" w:rsidR="008E00EE" w:rsidRDefault="00156D33" w:rsidP="008E00EE">
      <w:pPr>
        <w:pStyle w:val="ListBullet2"/>
      </w:pPr>
      <w:r>
        <w:lastRenderedPageBreak/>
        <w:t xml:space="preserve">shippers to </w:t>
      </w:r>
      <w:r w:rsidR="00922BB6">
        <w:t xml:space="preserve">register as </w:t>
      </w:r>
      <w:r w:rsidR="00C855EC">
        <w:t xml:space="preserve">BB </w:t>
      </w:r>
      <w:r w:rsidR="00922BB6">
        <w:t>transportation facility user</w:t>
      </w:r>
      <w:r w:rsidR="008E00EE">
        <w:t>s;</w:t>
      </w:r>
      <w:r w:rsidR="00922BB6">
        <w:t xml:space="preserve"> </w:t>
      </w:r>
    </w:p>
    <w:p w14:paraId="3EE1199E" w14:textId="77777777" w:rsidR="008E00EE" w:rsidRDefault="00922BB6" w:rsidP="008E00EE">
      <w:pPr>
        <w:pStyle w:val="ListBullet2"/>
      </w:pPr>
      <w:r>
        <w:t>a person to register as a capacity transaction reporting agent</w:t>
      </w:r>
      <w:r w:rsidR="008E00EE">
        <w:t>; and</w:t>
      </w:r>
    </w:p>
    <w:p w14:paraId="5CA08B3A" w14:textId="77777777" w:rsidR="00156D33" w:rsidRDefault="00922BB6" w:rsidP="008E00EE">
      <w:pPr>
        <w:pStyle w:val="ListBullet2"/>
      </w:pPr>
      <w:r>
        <w:t xml:space="preserve">AEMO to register the GSH Operator </w:t>
      </w:r>
      <w:r w:rsidR="005600A7">
        <w:t xml:space="preserve">(currently AEMO) </w:t>
      </w:r>
      <w:r>
        <w:t>under Part 18</w:t>
      </w:r>
      <w:r w:rsidR="000C7E24">
        <w:t>.</w:t>
      </w:r>
      <w:r w:rsidR="00156D33">
        <w:rPr>
          <w:rStyle w:val="FootnoteReference"/>
        </w:rPr>
        <w:footnoteReference w:id="355"/>
      </w:r>
    </w:p>
    <w:p w14:paraId="160A1F31" w14:textId="77777777" w:rsidR="00772DE6" w:rsidRDefault="008E00EE" w:rsidP="00A20BC2">
      <w:pPr>
        <w:pStyle w:val="ListBullet"/>
        <w:ind w:left="357" w:hanging="357"/>
      </w:pPr>
      <w:r>
        <w:t>Set out</w:t>
      </w:r>
      <w:r w:rsidR="000C7E24">
        <w:t xml:space="preserve"> </w:t>
      </w:r>
      <w:r w:rsidR="00156D33">
        <w:t>the obligation that</w:t>
      </w:r>
      <w:r w:rsidR="00772DE6">
        <w:t xml:space="preserve"> </w:t>
      </w:r>
      <w:r w:rsidR="00156D33">
        <w:t xml:space="preserve">sellers </w:t>
      </w:r>
      <w:r>
        <w:t xml:space="preserve">in bilateral trades </w:t>
      </w:r>
      <w:r w:rsidR="00772DE6">
        <w:t xml:space="preserve">and the GSH Operator </w:t>
      </w:r>
      <w:r w:rsidR="00156D33">
        <w:t>have to report trades to AEMO</w:t>
      </w:r>
      <w:r>
        <w:t xml:space="preserve"> </w:t>
      </w:r>
      <w:r w:rsidR="00772DE6">
        <w:t xml:space="preserve">for publication on the Bulletin Board </w:t>
      </w:r>
      <w:r>
        <w:t>and specify</w:t>
      </w:r>
      <w:r w:rsidR="00772DE6">
        <w:t>:</w:t>
      </w:r>
      <w:r w:rsidR="00772DE6" w:rsidRPr="00772DE6">
        <w:rPr>
          <w:rStyle w:val="FootnoteReference"/>
        </w:rPr>
        <w:t xml:space="preserve"> </w:t>
      </w:r>
    </w:p>
    <w:p w14:paraId="1D5B5C97" w14:textId="77777777" w:rsidR="00772DE6" w:rsidRDefault="00156D33" w:rsidP="00772DE6">
      <w:pPr>
        <w:pStyle w:val="ListBullet2"/>
      </w:pPr>
      <w:r>
        <w:t xml:space="preserve">the information </w:t>
      </w:r>
      <w:r w:rsidR="00772DE6">
        <w:t xml:space="preserve">on capacity trades </w:t>
      </w:r>
      <w:r>
        <w:t>to be reported</w:t>
      </w:r>
      <w:r w:rsidR="00772DE6">
        <w:t xml:space="preserve"> to AEMO and the time at which the information must be reported;</w:t>
      </w:r>
      <w:r w:rsidR="00772DE6" w:rsidRPr="00772DE6">
        <w:rPr>
          <w:rStyle w:val="FootnoteReference"/>
        </w:rPr>
        <w:t xml:space="preserve"> </w:t>
      </w:r>
      <w:r w:rsidR="00772DE6">
        <w:rPr>
          <w:rStyle w:val="FootnoteReference"/>
        </w:rPr>
        <w:footnoteReference w:id="356"/>
      </w:r>
      <w:r w:rsidR="00772DE6" w:rsidRPr="00772DE6">
        <w:rPr>
          <w:sz w:val="20"/>
          <w:szCs w:val="20"/>
          <w:vertAlign w:val="superscript"/>
        </w:rPr>
        <w:t>,</w:t>
      </w:r>
      <w:r w:rsidR="00772DE6">
        <w:rPr>
          <w:rStyle w:val="FootnoteReference"/>
        </w:rPr>
        <w:footnoteReference w:id="357"/>
      </w:r>
      <w:r w:rsidR="00772DE6">
        <w:t xml:space="preserve"> and</w:t>
      </w:r>
    </w:p>
    <w:p w14:paraId="54FBD2C3" w14:textId="77777777" w:rsidR="00772DE6" w:rsidRDefault="00772DE6" w:rsidP="00772DE6">
      <w:pPr>
        <w:pStyle w:val="ListBullet2"/>
      </w:pPr>
      <w:r>
        <w:t>the information to be published by AEMO on the Bulletin Board (which must exclude the names of the trading parties).</w:t>
      </w:r>
      <w:r>
        <w:rPr>
          <w:rStyle w:val="FootnoteReference"/>
          <w:sz w:val="20"/>
          <w:szCs w:val="20"/>
        </w:rPr>
        <w:footnoteReference w:id="358"/>
      </w:r>
      <w:r w:rsidR="00156D33">
        <w:t xml:space="preserve"> </w:t>
      </w:r>
    </w:p>
    <w:p w14:paraId="5BD16EBC" w14:textId="77777777" w:rsidR="00922BB6" w:rsidRDefault="00922BB6" w:rsidP="00772DE6">
      <w:pPr>
        <w:pStyle w:val="ListBullet"/>
      </w:pPr>
      <w:r>
        <w:t>Allow seller</w:t>
      </w:r>
      <w:r w:rsidR="008E00EE">
        <w:t>s</w:t>
      </w:r>
      <w:r>
        <w:t xml:space="preserve"> </w:t>
      </w:r>
      <w:r w:rsidR="008E00EE">
        <w:t xml:space="preserve">in bilateral trades to </w:t>
      </w:r>
      <w:r>
        <w:t>appoint</w:t>
      </w:r>
      <w:r w:rsidR="00C039A0">
        <w:t xml:space="preserve"> a</w:t>
      </w:r>
      <w:r>
        <w:t xml:space="preserve"> person registered under Part 18 (including a capacity transaction reporting agent)</w:t>
      </w:r>
      <w:r w:rsidR="00C039A0">
        <w:t xml:space="preserve"> to </w:t>
      </w:r>
      <w:r w:rsidR="00772DE6">
        <w:t>report</w:t>
      </w:r>
      <w:r w:rsidR="00C039A0">
        <w:t xml:space="preserve"> capacity transaction information </w:t>
      </w:r>
      <w:r w:rsidR="00772DE6">
        <w:t xml:space="preserve">to AEMO </w:t>
      </w:r>
      <w:r w:rsidR="00C039A0">
        <w:t>on its behalf.</w:t>
      </w:r>
      <w:r w:rsidR="00C039A0">
        <w:rPr>
          <w:rStyle w:val="FootnoteReference"/>
        </w:rPr>
        <w:footnoteReference w:id="359"/>
      </w:r>
    </w:p>
    <w:p w14:paraId="0C9211B8" w14:textId="77777777" w:rsidR="00772DE6" w:rsidRPr="00772DE6" w:rsidRDefault="00772DE6" w:rsidP="00772DE6">
      <w:pPr>
        <w:pStyle w:val="BodyText"/>
        <w:keepNext/>
        <w:rPr>
          <w:b/>
          <w:color w:val="0099CC"/>
        </w:rPr>
      </w:pPr>
      <w:r>
        <w:rPr>
          <w:b/>
          <w:color w:val="0099CC"/>
        </w:rPr>
        <w:t>Allocation arrangements</w:t>
      </w:r>
    </w:p>
    <w:p w14:paraId="5ABE7724" w14:textId="77777777" w:rsidR="00772DE6" w:rsidRDefault="00772DE6" w:rsidP="00772DE6">
      <w:pPr>
        <w:pStyle w:val="BodyText"/>
      </w:pPr>
      <w:r>
        <w:t>Part 18 of the NGR</w:t>
      </w:r>
      <w:r>
        <w:rPr>
          <w:b/>
        </w:rPr>
        <w:t xml:space="preserve"> </w:t>
      </w:r>
      <w:r w:rsidRPr="00772DE6">
        <w:t>has</w:t>
      </w:r>
      <w:r>
        <w:rPr>
          <w:b/>
        </w:rPr>
        <w:t xml:space="preserve"> </w:t>
      </w:r>
      <w:r>
        <w:t xml:space="preserve">been amended to set out the obligations </w:t>
      </w:r>
      <w:r w:rsidR="005600A7">
        <w:t xml:space="preserve">of </w:t>
      </w:r>
      <w:r>
        <w:t xml:space="preserve">allocation agents to report information to AEMO. These amendments include provisions that: </w:t>
      </w:r>
    </w:p>
    <w:p w14:paraId="57ED7BDD" w14:textId="77777777" w:rsidR="00772DE6" w:rsidRDefault="00772DE6" w:rsidP="00772DE6">
      <w:pPr>
        <w:pStyle w:val="ListBullet"/>
        <w:ind w:left="357" w:hanging="357"/>
      </w:pPr>
      <w:r>
        <w:t>Identify the allocation agents that are subject to the reporting obligations, which includes allocation agents at:</w:t>
      </w:r>
      <w:r w:rsidR="002863FD" w:rsidRPr="002863FD">
        <w:rPr>
          <w:rStyle w:val="FootnoteReference"/>
        </w:rPr>
        <w:t xml:space="preserve"> </w:t>
      </w:r>
      <w:r w:rsidR="002863FD">
        <w:rPr>
          <w:rStyle w:val="FootnoteReference"/>
        </w:rPr>
        <w:footnoteReference w:id="360"/>
      </w:r>
    </w:p>
    <w:p w14:paraId="4CB5BAAE" w14:textId="77777777" w:rsidR="00772DE6" w:rsidRDefault="00772DE6" w:rsidP="002863FD">
      <w:pPr>
        <w:pStyle w:val="ListBullet2"/>
      </w:pPr>
      <w:r>
        <w:t xml:space="preserve">each service </w:t>
      </w:r>
      <w:r w:rsidRPr="007D30E3">
        <w:t xml:space="preserve">point </w:t>
      </w:r>
      <w:r>
        <w:t xml:space="preserve">on a Part 24 facility; and </w:t>
      </w:r>
    </w:p>
    <w:p w14:paraId="72C7868A" w14:textId="77777777" w:rsidR="002863FD" w:rsidRDefault="00772DE6" w:rsidP="002863FD">
      <w:pPr>
        <w:pStyle w:val="ListBullet2"/>
      </w:pPr>
      <w:r>
        <w:t xml:space="preserve">each system injection point and system withdrawal point (each as defined in Part 19 of the NGR) for which an allocation agent is appointed under Part 19, </w:t>
      </w:r>
    </w:p>
    <w:p w14:paraId="6B815A76" w14:textId="77777777" w:rsidR="00772DE6" w:rsidRDefault="00772DE6" w:rsidP="002863FD">
      <w:pPr>
        <w:pStyle w:val="ListBullet"/>
        <w:numPr>
          <w:ilvl w:val="0"/>
          <w:numId w:val="0"/>
        </w:numPr>
        <w:ind w:left="357"/>
      </w:pPr>
      <w:r>
        <w:t xml:space="preserve">excluding, in each case, a point at which the allocation of </w:t>
      </w:r>
      <w:r w:rsidRPr="007D30E3">
        <w:t xml:space="preserve">deliveries </w:t>
      </w:r>
      <w:r>
        <w:t>or</w:t>
      </w:r>
      <w:r w:rsidRPr="007D30E3">
        <w:t xml:space="preserve"> receipts of natural gas </w:t>
      </w:r>
      <w:r>
        <w:t>is determined under the Retail Market Procedures.</w:t>
      </w:r>
      <w:r w:rsidR="00AF2CBC">
        <w:t xml:space="preserve"> Allocation agents at these points are referred to as ‘BB allocation agents’ in Part 18 of the NGR and the allocation points are referred to as ‘BB allocation points’.</w:t>
      </w:r>
    </w:p>
    <w:p w14:paraId="5C78444C" w14:textId="77777777" w:rsidR="00772DE6" w:rsidRDefault="002863FD" w:rsidP="00772DE6">
      <w:pPr>
        <w:pStyle w:val="ListBullet"/>
        <w:ind w:left="357" w:hanging="357"/>
      </w:pPr>
      <w:r>
        <w:t xml:space="preserve">Set out the registration framework for </w:t>
      </w:r>
      <w:r w:rsidR="00EF5203">
        <w:t xml:space="preserve">BB </w:t>
      </w:r>
      <w:r w:rsidR="00772DE6">
        <w:t xml:space="preserve">allocation agents </w:t>
      </w:r>
      <w:r>
        <w:t xml:space="preserve">and </w:t>
      </w:r>
      <w:r w:rsidR="00EF5203">
        <w:t xml:space="preserve">BB </w:t>
      </w:r>
      <w:r>
        <w:t xml:space="preserve">allocation </w:t>
      </w:r>
      <w:r w:rsidR="00772DE6">
        <w:t>points.</w:t>
      </w:r>
      <w:r w:rsidR="00772DE6">
        <w:rPr>
          <w:rStyle w:val="FootnoteReference"/>
        </w:rPr>
        <w:footnoteReference w:id="361"/>
      </w:r>
      <w:r>
        <w:rPr>
          <w:rStyle w:val="FootnoteReference"/>
        </w:rPr>
        <w:t>,</w:t>
      </w:r>
      <w:r>
        <w:rPr>
          <w:rStyle w:val="FootnoteReference"/>
        </w:rPr>
        <w:footnoteReference w:id="362"/>
      </w:r>
      <w:r w:rsidRPr="002863FD">
        <w:rPr>
          <w:vertAlign w:val="superscript"/>
        </w:rPr>
        <w:t>,</w:t>
      </w:r>
      <w:r>
        <w:rPr>
          <w:rStyle w:val="FootnoteReference"/>
        </w:rPr>
        <w:footnoteReference w:id="363"/>
      </w:r>
    </w:p>
    <w:p w14:paraId="0CE0F2F3" w14:textId="77777777" w:rsidR="00772DE6" w:rsidRDefault="002863FD" w:rsidP="00772DE6">
      <w:pPr>
        <w:pStyle w:val="ListBullet"/>
        <w:ind w:left="357" w:hanging="357"/>
      </w:pPr>
      <w:r>
        <w:t xml:space="preserve">Specify the </w:t>
      </w:r>
      <w:r w:rsidR="00772DE6">
        <w:t xml:space="preserve">information that </w:t>
      </w:r>
      <w:r w:rsidR="00EF5203">
        <w:t xml:space="preserve">BB </w:t>
      </w:r>
      <w:r w:rsidR="00772DE6">
        <w:t>allocation agent</w:t>
      </w:r>
      <w:r>
        <w:t xml:space="preserve">s must </w:t>
      </w:r>
      <w:r w:rsidR="00772DE6">
        <w:t xml:space="preserve">report to AEMO for each </w:t>
      </w:r>
      <w:r w:rsidR="00EF5203">
        <w:t xml:space="preserve">BB </w:t>
      </w:r>
      <w:r w:rsidR="00772DE6">
        <w:t xml:space="preserve">allocation point </w:t>
      </w:r>
      <w:r>
        <w:t>(</w:t>
      </w:r>
      <w:r w:rsidR="00772DE6">
        <w:t xml:space="preserve">in accordance with the </w:t>
      </w:r>
      <w:r w:rsidR="00C14918">
        <w:t>Bulletin Board</w:t>
      </w:r>
      <w:r w:rsidR="00772DE6">
        <w:t xml:space="preserve"> Procedures</w:t>
      </w:r>
      <w:r>
        <w:t>)</w:t>
      </w:r>
      <w:r w:rsidR="00772DE6">
        <w:t>, for publication on the Bulletin Board.</w:t>
      </w:r>
      <w:r w:rsidR="00772DE6">
        <w:rPr>
          <w:rStyle w:val="FootnoteReference"/>
        </w:rPr>
        <w:footnoteReference w:id="364"/>
      </w:r>
      <w:r w:rsidR="00772DE6">
        <w:t xml:space="preserve"> </w:t>
      </w:r>
    </w:p>
    <w:p w14:paraId="2CD517DD" w14:textId="77777777" w:rsidR="002863FD" w:rsidRDefault="002863FD" w:rsidP="00772DE6">
      <w:pPr>
        <w:pStyle w:val="ListBullet"/>
        <w:ind w:left="357" w:hanging="357"/>
      </w:pPr>
      <w:r>
        <w:t xml:space="preserve">Extend the application of the </w:t>
      </w:r>
      <w:r w:rsidR="00C14918">
        <w:t>Bulletin Board</w:t>
      </w:r>
      <w:r w:rsidR="00EF5203">
        <w:t xml:space="preserve"> i</w:t>
      </w:r>
      <w:r>
        <w:t xml:space="preserve">nformation </w:t>
      </w:r>
      <w:r w:rsidR="00EF5203">
        <w:t>s</w:t>
      </w:r>
      <w:r>
        <w:t>tandard to information relating to allocation points.</w:t>
      </w:r>
      <w:r>
        <w:rPr>
          <w:rStyle w:val="FootnoteReference"/>
        </w:rPr>
        <w:footnoteReference w:id="365"/>
      </w:r>
    </w:p>
    <w:p w14:paraId="06014CFC" w14:textId="77777777" w:rsidR="00772DE6" w:rsidRDefault="002863FD" w:rsidP="002863FD">
      <w:pPr>
        <w:pStyle w:val="ListBullet"/>
        <w:numPr>
          <w:ilvl w:val="0"/>
          <w:numId w:val="0"/>
        </w:numPr>
      </w:pPr>
      <w:r>
        <w:lastRenderedPageBreak/>
        <w:t xml:space="preserve">The transitional rules also </w:t>
      </w:r>
      <w:r w:rsidR="00846AE4">
        <w:t>provide for</w:t>
      </w:r>
      <w:r w:rsidR="00772DE6">
        <w:t xml:space="preserve"> allocation agents and allocation points to </w:t>
      </w:r>
      <w:r w:rsidR="00846AE4">
        <w:t>become ‘</w:t>
      </w:r>
      <w:r w:rsidR="00772DE6">
        <w:t xml:space="preserve">existing </w:t>
      </w:r>
      <w:r w:rsidR="00EF5203">
        <w:t xml:space="preserve">BB </w:t>
      </w:r>
      <w:r w:rsidR="00772DE6">
        <w:t>allocation agent</w:t>
      </w:r>
      <w:r>
        <w:t>s</w:t>
      </w:r>
      <w:r w:rsidR="00846AE4">
        <w:t>’</w:t>
      </w:r>
      <w:r w:rsidR="00772DE6">
        <w:t xml:space="preserve"> </w:t>
      </w:r>
      <w:r w:rsidR="00846AE4">
        <w:t>and ‘</w:t>
      </w:r>
      <w:r w:rsidR="00772DE6">
        <w:t xml:space="preserve">existing </w:t>
      </w:r>
      <w:r w:rsidR="00EF5203">
        <w:t xml:space="preserve">BB </w:t>
      </w:r>
      <w:r w:rsidR="00772DE6">
        <w:t>allocation point</w:t>
      </w:r>
      <w:r>
        <w:t>s</w:t>
      </w:r>
      <w:r w:rsidR="00846AE4">
        <w:t>’</w:t>
      </w:r>
      <w:r w:rsidR="00772DE6">
        <w:t xml:space="preserve"> (as applicable) for the purposes of the Bulletin Board on the commencement of the rules modifying Part 18</w:t>
      </w:r>
      <w:r w:rsidR="00EF5203">
        <w:t>, which then acts as a trigger for registration</w:t>
      </w:r>
      <w:r w:rsidR="00772DE6">
        <w:t>.</w:t>
      </w:r>
      <w:r w:rsidR="00772DE6">
        <w:rPr>
          <w:rStyle w:val="FootnoteReference"/>
        </w:rPr>
        <w:footnoteReference w:id="366"/>
      </w:r>
    </w:p>
    <w:p w14:paraId="7AF30EE6" w14:textId="77777777" w:rsidR="00772DE6" w:rsidRDefault="00AF2CBC" w:rsidP="002863FD">
      <w:pPr>
        <w:pStyle w:val="BodyText"/>
        <w:keepNext/>
        <w:rPr>
          <w:b/>
          <w:color w:val="0099CC"/>
        </w:rPr>
      </w:pPr>
      <w:r>
        <w:rPr>
          <w:b/>
          <w:color w:val="0099CC"/>
        </w:rPr>
        <w:t>C</w:t>
      </w:r>
      <w:r w:rsidR="00772DE6" w:rsidRPr="002863FD">
        <w:rPr>
          <w:b/>
          <w:color w:val="0099CC"/>
        </w:rPr>
        <w:t xml:space="preserve">ompression </w:t>
      </w:r>
      <w:r w:rsidR="002863FD">
        <w:rPr>
          <w:b/>
          <w:color w:val="0099CC"/>
        </w:rPr>
        <w:t>facilities</w:t>
      </w:r>
      <w:r>
        <w:rPr>
          <w:b/>
          <w:color w:val="0099CC"/>
        </w:rPr>
        <w:t xml:space="preserve"> </w:t>
      </w:r>
    </w:p>
    <w:p w14:paraId="598F85F7" w14:textId="77777777" w:rsidR="00A20BC2" w:rsidRDefault="002863FD" w:rsidP="002863FD">
      <w:pPr>
        <w:pStyle w:val="BodyText"/>
      </w:pPr>
      <w:r>
        <w:t>The transitional rules in Schedule 5, Part 5 of the NGR have been amended to</w:t>
      </w:r>
      <w:r w:rsidR="00A20BC2">
        <w:t>:</w:t>
      </w:r>
    </w:p>
    <w:p w14:paraId="72132AAC" w14:textId="03B7A8DF" w:rsidR="00A20BC2" w:rsidRDefault="00A20BC2" w:rsidP="00A20BC2">
      <w:pPr>
        <w:pStyle w:val="ListBullet"/>
      </w:pPr>
      <w:r>
        <w:t xml:space="preserve">Set out the obligation that </w:t>
      </w:r>
      <w:r w:rsidR="00AF2CBC">
        <w:t xml:space="preserve">operators of </w:t>
      </w:r>
      <w:r w:rsidR="00C14918">
        <w:t xml:space="preserve">Part 24 </w:t>
      </w:r>
      <w:r w:rsidR="00AF2CBC">
        <w:t xml:space="preserve">compression facilities </w:t>
      </w:r>
      <w:r>
        <w:t xml:space="preserve">have </w:t>
      </w:r>
      <w:r w:rsidR="00122958">
        <w:t xml:space="preserve">to </w:t>
      </w:r>
      <w:r>
        <w:t xml:space="preserve">provide information to AEMO for publication on the Bulletin Board. </w:t>
      </w:r>
      <w:r w:rsidR="00AF2CBC">
        <w:t>The operators of these facilities are referred to as ‘reporting entities’ in Schedule 5, Part 5 of the NGR.</w:t>
      </w:r>
      <w:r w:rsidR="00C855EC" w:rsidRPr="00C855EC">
        <w:rPr>
          <w:rStyle w:val="FootnoteReference"/>
        </w:rPr>
        <w:t xml:space="preserve"> </w:t>
      </w:r>
      <w:r w:rsidR="00C855EC">
        <w:rPr>
          <w:rStyle w:val="FootnoteReference"/>
        </w:rPr>
        <w:footnoteReference w:id="367"/>
      </w:r>
    </w:p>
    <w:p w14:paraId="6458EF6F" w14:textId="77777777" w:rsidR="00A20BC2" w:rsidRDefault="00A20BC2" w:rsidP="00A20BC2">
      <w:pPr>
        <w:pStyle w:val="ListBullet"/>
      </w:pPr>
      <w:r>
        <w:t xml:space="preserve">Specify the information that </w:t>
      </w:r>
      <w:r w:rsidR="00AF2CBC">
        <w:t xml:space="preserve">reporting entities </w:t>
      </w:r>
      <w:r>
        <w:t xml:space="preserve">are required to provide AEMO, which is akin to the information that transmission pipelines </w:t>
      </w:r>
      <w:r w:rsidR="00C14918">
        <w:t xml:space="preserve">subject to Bulletin Board reporting requirements </w:t>
      </w:r>
      <w:r>
        <w:t>are required to report.</w:t>
      </w:r>
      <w:r>
        <w:rPr>
          <w:rStyle w:val="FootnoteReference"/>
        </w:rPr>
        <w:footnoteReference w:id="368"/>
      </w:r>
    </w:p>
    <w:p w14:paraId="42E66558" w14:textId="77777777" w:rsidR="00A20BC2" w:rsidRDefault="00A20BC2" w:rsidP="00A20BC2">
      <w:pPr>
        <w:pStyle w:val="ListBullet"/>
      </w:pPr>
      <w:r>
        <w:t xml:space="preserve">Set out the information standard that </w:t>
      </w:r>
      <w:r w:rsidR="00EF5203">
        <w:t xml:space="preserve">reporting entities </w:t>
      </w:r>
      <w:r>
        <w:t xml:space="preserve">must comply with when reporting information to AEMO </w:t>
      </w:r>
      <w:r w:rsidR="00AF2CBC">
        <w:t xml:space="preserve">(i.e. the </w:t>
      </w:r>
      <w:r w:rsidR="00C14918">
        <w:t xml:space="preserve">Bulletin Board </w:t>
      </w:r>
      <w:r w:rsidR="00AF2CBC">
        <w:t>information standard</w:t>
      </w:r>
      <w:r w:rsidR="00C14918">
        <w:t xml:space="preserve"> in Part 18 of the NGR</w:t>
      </w:r>
      <w:r w:rsidR="00AF2CBC">
        <w:t xml:space="preserve">) </w:t>
      </w:r>
      <w:r>
        <w:t>and other obligations that they have to update information and to provide information in the manner and form specified in the CT&amp;A Procedures.</w:t>
      </w:r>
      <w:r w:rsidRPr="00A20BC2">
        <w:rPr>
          <w:rStyle w:val="FootnoteReference"/>
        </w:rPr>
        <w:t xml:space="preserve"> </w:t>
      </w:r>
      <w:r>
        <w:rPr>
          <w:rStyle w:val="FootnoteReference"/>
        </w:rPr>
        <w:footnoteReference w:id="369"/>
      </w:r>
    </w:p>
    <w:p w14:paraId="1BCAA9A7" w14:textId="77777777" w:rsidR="00A20BC2" w:rsidRDefault="00A20BC2" w:rsidP="00A20BC2">
      <w:pPr>
        <w:pStyle w:val="ListBullet"/>
      </w:pPr>
      <w:r>
        <w:t xml:space="preserve">Allow the CT&amp;A Procedures to include provisions regarding the information to be provided by </w:t>
      </w:r>
      <w:r w:rsidR="00EF5203">
        <w:t>reporting entities</w:t>
      </w:r>
      <w:r>
        <w:t>.</w:t>
      </w:r>
      <w:r>
        <w:rPr>
          <w:rStyle w:val="FootnoteReference"/>
        </w:rPr>
        <w:footnoteReference w:id="370"/>
      </w:r>
    </w:p>
    <w:p w14:paraId="48DB267D" w14:textId="77777777" w:rsidR="00122958" w:rsidRDefault="00122958" w:rsidP="002863FD">
      <w:pPr>
        <w:pStyle w:val="BodyText"/>
      </w:pPr>
      <w:r>
        <w:t>The</w:t>
      </w:r>
      <w:r w:rsidR="00A20BC2">
        <w:t>se</w:t>
      </w:r>
      <w:r>
        <w:t xml:space="preserve"> reporting obligations</w:t>
      </w:r>
      <w:r w:rsidR="00A20BC2">
        <w:t xml:space="preserve"> </w:t>
      </w:r>
      <w:r>
        <w:t>will commence on 1 February 2019 and end when the facility is registered as a Bulletin Board facility under Part 18</w:t>
      </w:r>
      <w:r w:rsidR="000C7E24">
        <w:t>.</w:t>
      </w:r>
      <w:r>
        <w:rPr>
          <w:rStyle w:val="FootnoteReference"/>
        </w:rPr>
        <w:footnoteReference w:id="371"/>
      </w:r>
      <w:r>
        <w:t xml:space="preserve"> </w:t>
      </w:r>
    </w:p>
    <w:p w14:paraId="1A605371" w14:textId="77777777" w:rsidR="002863FD" w:rsidRPr="002863FD" w:rsidRDefault="002863FD" w:rsidP="002863FD">
      <w:pPr>
        <w:pStyle w:val="BodyText"/>
        <w:keepNext/>
        <w:rPr>
          <w:b/>
          <w:color w:val="0099CC"/>
        </w:rPr>
      </w:pPr>
      <w:r>
        <w:rPr>
          <w:b/>
          <w:color w:val="0099CC"/>
        </w:rPr>
        <w:t xml:space="preserve">Other transparency related amendments </w:t>
      </w:r>
    </w:p>
    <w:p w14:paraId="7C6DDB35" w14:textId="77777777" w:rsidR="00156D33" w:rsidRDefault="00156D33" w:rsidP="00156D33">
      <w:pPr>
        <w:pStyle w:val="BodyText"/>
      </w:pPr>
      <w:r>
        <w:t>Part 18 of the NGR</w:t>
      </w:r>
      <w:r w:rsidR="00DB668D">
        <w:t xml:space="preserve"> </w:t>
      </w:r>
      <w:r w:rsidR="002863FD">
        <w:t xml:space="preserve">has also </w:t>
      </w:r>
      <w:r w:rsidR="00DB668D">
        <w:t xml:space="preserve">been </w:t>
      </w:r>
      <w:r w:rsidR="002863FD">
        <w:t xml:space="preserve">amended </w:t>
      </w:r>
      <w:r>
        <w:t>to</w:t>
      </w:r>
      <w:r w:rsidR="002863FD">
        <w:t xml:space="preserve"> require</w:t>
      </w:r>
      <w:r>
        <w:t>:</w:t>
      </w:r>
    </w:p>
    <w:p w14:paraId="1D7F7332" w14:textId="77777777" w:rsidR="002863FD" w:rsidRPr="008A05A8" w:rsidRDefault="002863FD" w:rsidP="002863FD">
      <w:pPr>
        <w:pStyle w:val="ListBullet"/>
      </w:pPr>
      <w:r>
        <w:t xml:space="preserve">transmission pipelines to provide AEMO with information on the nameplate rating and </w:t>
      </w:r>
      <w:r w:rsidRPr="008A05A8">
        <w:t xml:space="preserve">short-term and medium-term capacity outlook for each receipt and delivery point for publication on the </w:t>
      </w:r>
      <w:r>
        <w:t>Bulletin Board</w:t>
      </w:r>
      <w:r w:rsidRPr="008A05A8">
        <w:t>;</w:t>
      </w:r>
      <w:r w:rsidRPr="008A05A8">
        <w:rPr>
          <w:rStyle w:val="FootnoteReference"/>
        </w:rPr>
        <w:footnoteReference w:id="372"/>
      </w:r>
      <w:r w:rsidRPr="008A05A8">
        <w:t xml:space="preserve"> </w:t>
      </w:r>
      <w:r>
        <w:t>and</w:t>
      </w:r>
    </w:p>
    <w:p w14:paraId="3D731137" w14:textId="77777777" w:rsidR="002863FD" w:rsidRPr="008A05A8" w:rsidRDefault="002863FD" w:rsidP="002863FD">
      <w:pPr>
        <w:pStyle w:val="ListBullet"/>
      </w:pPr>
      <w:r w:rsidRPr="008A05A8">
        <w:t xml:space="preserve">remote transportation facilities that would otherwise be excluded from the </w:t>
      </w:r>
      <w:r>
        <w:t>Bulletin Board</w:t>
      </w:r>
      <w:r w:rsidRPr="008A05A8">
        <w:t xml:space="preserve"> reporting obligations but </w:t>
      </w:r>
      <w:r w:rsidR="0011427B">
        <w:t>do not qualify for</w:t>
      </w:r>
      <w:r w:rsidR="0011427B" w:rsidRPr="008A05A8" w:rsidDel="0011427B">
        <w:t xml:space="preserve"> </w:t>
      </w:r>
      <w:r w:rsidRPr="008A05A8">
        <w:t>an exemption under Part 24 of the NGR, to be subject to the reporting obligations;</w:t>
      </w:r>
      <w:r w:rsidRPr="008A05A8">
        <w:rPr>
          <w:rStyle w:val="FootnoteReference"/>
        </w:rPr>
        <w:footnoteReference w:id="373"/>
      </w:r>
      <w:r w:rsidRPr="008A05A8">
        <w:t xml:space="preserve"> </w:t>
      </w:r>
    </w:p>
    <w:p w14:paraId="026852D6" w14:textId="77777777" w:rsidR="00156D33" w:rsidRDefault="00DB668D" w:rsidP="00330F39">
      <w:pPr>
        <w:pStyle w:val="Heading3"/>
      </w:pPr>
      <w:r>
        <w:lastRenderedPageBreak/>
        <w:t>C</w:t>
      </w:r>
      <w:r w:rsidR="00156D33">
        <w:t xml:space="preserve">hanges to the Regulations </w:t>
      </w:r>
    </w:p>
    <w:p w14:paraId="773E85C6" w14:textId="77777777" w:rsidR="00CB791A" w:rsidRDefault="00CB791A" w:rsidP="00CB791A">
      <w:pPr>
        <w:pStyle w:val="BodyText"/>
      </w:pPr>
      <w:r>
        <w:t>Schedule 3 of the Regulations has been amended to classify a number of reporting related provisions as civil penalty provisions. A list of these provisions is set out in the table below.</w:t>
      </w:r>
    </w:p>
    <w:p w14:paraId="349EF950" w14:textId="68D578E3" w:rsidR="00CB791A" w:rsidRDefault="00CB791A" w:rsidP="00AF2CBC">
      <w:pPr>
        <w:pStyle w:val="Caption"/>
        <w:spacing w:after="0"/>
      </w:pPr>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8</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2</w:t>
      </w:r>
      <w:r w:rsidR="002B13EB">
        <w:rPr>
          <w:noProof/>
        </w:rPr>
        <w:fldChar w:fldCharType="end"/>
      </w:r>
      <w:r>
        <w:t xml:space="preserve">: Civil penalty provisions </w:t>
      </w:r>
    </w:p>
    <w:tbl>
      <w:tblPr>
        <w:tblStyle w:val="TableGrid"/>
        <w:tblW w:w="5081" w:type="pct"/>
        <w:tblLook w:val="04A0" w:firstRow="1" w:lastRow="0" w:firstColumn="1" w:lastColumn="0" w:noHBand="0" w:noVBand="1"/>
      </w:tblPr>
      <w:tblGrid>
        <w:gridCol w:w="926"/>
        <w:gridCol w:w="5737"/>
        <w:gridCol w:w="2267"/>
      </w:tblGrid>
      <w:tr w:rsidR="00CB791A" w14:paraId="5294293F" w14:textId="77777777" w:rsidTr="0079432A">
        <w:trPr>
          <w:cnfStyle w:val="100000000000" w:firstRow="1" w:lastRow="0" w:firstColumn="0" w:lastColumn="0" w:oddVBand="0" w:evenVBand="0" w:oddHBand="0" w:evenHBand="0" w:firstRowFirstColumn="0" w:firstRowLastColumn="0" w:lastRowFirstColumn="0" w:lastRowLastColumn="0"/>
          <w:cantSplit/>
          <w:tblHeader/>
        </w:trPr>
        <w:tc>
          <w:tcPr>
            <w:tcW w:w="6663" w:type="dxa"/>
            <w:gridSpan w:val="2"/>
            <w:tcBorders>
              <w:bottom w:val="single" w:sz="4" w:space="0" w:color="auto"/>
            </w:tcBorders>
            <w:shd w:val="clear" w:color="auto" w:fill="0099CC"/>
            <w:hideMark/>
          </w:tcPr>
          <w:p w14:paraId="51CF50B2" w14:textId="77777777" w:rsidR="00CB791A" w:rsidRDefault="00CB791A" w:rsidP="00AF2CBC">
            <w:pPr>
              <w:pStyle w:val="TableHeading"/>
              <w:keepNext/>
              <w:spacing w:before="40" w:after="40"/>
            </w:pPr>
            <w:r>
              <w:t>Provision</w:t>
            </w:r>
          </w:p>
        </w:tc>
        <w:tc>
          <w:tcPr>
            <w:tcW w:w="2267" w:type="dxa"/>
            <w:tcBorders>
              <w:bottom w:val="single" w:sz="4" w:space="0" w:color="auto"/>
            </w:tcBorders>
            <w:shd w:val="clear" w:color="auto" w:fill="0099CC"/>
            <w:hideMark/>
          </w:tcPr>
          <w:p w14:paraId="1957A651" w14:textId="77777777" w:rsidR="00CB791A" w:rsidRDefault="00CB791A" w:rsidP="00AF2CBC">
            <w:pPr>
              <w:pStyle w:val="TableHeading"/>
              <w:keepNext/>
              <w:spacing w:before="40" w:after="40"/>
            </w:pPr>
            <w:r>
              <w:t>Type of penalty</w:t>
            </w:r>
          </w:p>
        </w:tc>
      </w:tr>
      <w:tr w:rsidR="00CB791A" w:rsidRPr="00886B5E" w14:paraId="12B10EE8" w14:textId="77777777" w:rsidTr="0079432A">
        <w:trPr>
          <w:cantSplit/>
        </w:trPr>
        <w:tc>
          <w:tcPr>
            <w:tcW w:w="8930" w:type="dxa"/>
            <w:gridSpan w:val="3"/>
            <w:shd w:val="clear" w:color="auto" w:fill="65697F" w:themeFill="background2" w:themeFillShade="80"/>
          </w:tcPr>
          <w:p w14:paraId="18FF3C17" w14:textId="77777777" w:rsidR="00CB791A" w:rsidRPr="00886B5E" w:rsidRDefault="00CB791A" w:rsidP="00AF2CBC">
            <w:pPr>
              <w:pStyle w:val="TableBodyText"/>
              <w:keepNext/>
              <w:spacing w:before="40" w:after="40"/>
              <w:jc w:val="center"/>
              <w:rPr>
                <w:b/>
                <w:color w:val="FFFFFF" w:themeColor="background1"/>
              </w:rPr>
            </w:pPr>
            <w:r w:rsidRPr="00886B5E">
              <w:rPr>
                <w:b/>
                <w:color w:val="FFFFFF" w:themeColor="background1"/>
              </w:rPr>
              <w:t>NGL</w:t>
            </w:r>
          </w:p>
        </w:tc>
      </w:tr>
      <w:tr w:rsidR="00F716AC" w:rsidRPr="00086528" w14:paraId="3CFCDBC3" w14:textId="77777777" w:rsidTr="0079432A">
        <w:trPr>
          <w:cnfStyle w:val="000000010000" w:firstRow="0" w:lastRow="0" w:firstColumn="0" w:lastColumn="0" w:oddVBand="0" w:evenVBand="0" w:oddHBand="0" w:evenHBand="1" w:firstRowFirstColumn="0" w:firstRowLastColumn="0" w:lastRowFirstColumn="0" w:lastRowLastColumn="0"/>
          <w:cantSplit/>
        </w:trPr>
        <w:tc>
          <w:tcPr>
            <w:tcW w:w="926" w:type="dxa"/>
            <w:tcBorders>
              <w:bottom w:val="single" w:sz="4" w:space="0" w:color="auto"/>
            </w:tcBorders>
          </w:tcPr>
          <w:p w14:paraId="2D9597E0" w14:textId="77777777" w:rsidR="00F716AC" w:rsidRDefault="00EC31D2" w:rsidP="00CB791A">
            <w:pPr>
              <w:pStyle w:val="TableBodyText"/>
              <w:spacing w:before="40" w:after="40"/>
            </w:pPr>
            <w:r>
              <w:t>Section</w:t>
            </w:r>
            <w:r w:rsidR="00F716AC">
              <w:t xml:space="preserve"> 223A</w:t>
            </w:r>
          </w:p>
        </w:tc>
        <w:tc>
          <w:tcPr>
            <w:tcW w:w="5737" w:type="dxa"/>
            <w:tcBorders>
              <w:bottom w:val="single" w:sz="4" w:space="0" w:color="auto"/>
            </w:tcBorders>
          </w:tcPr>
          <w:p w14:paraId="5EF02BB0" w14:textId="77777777" w:rsidR="00F716AC" w:rsidRDefault="00F716AC" w:rsidP="00CB791A">
            <w:pPr>
              <w:pStyle w:val="TableBodyText"/>
              <w:spacing w:before="40" w:after="40"/>
            </w:pPr>
            <w:r>
              <w:t>Obligation to give information to AEMO about secondary capacity transactions</w:t>
            </w:r>
            <w:r w:rsidR="00AF2CBC">
              <w:rPr>
                <w:rStyle w:val="FootnoteReference"/>
              </w:rPr>
              <w:footnoteReference w:id="374"/>
            </w:r>
          </w:p>
        </w:tc>
        <w:tc>
          <w:tcPr>
            <w:tcW w:w="2267" w:type="dxa"/>
            <w:tcBorders>
              <w:bottom w:val="single" w:sz="4" w:space="0" w:color="auto"/>
            </w:tcBorders>
          </w:tcPr>
          <w:p w14:paraId="3EC8EB6F" w14:textId="77777777" w:rsidR="00F716AC" w:rsidRPr="00086528" w:rsidRDefault="00F716AC" w:rsidP="00CB791A">
            <w:pPr>
              <w:pStyle w:val="TableBodyText"/>
              <w:spacing w:before="40" w:after="40"/>
            </w:pPr>
            <w:r>
              <w:t>Civil penalty</w:t>
            </w:r>
          </w:p>
        </w:tc>
      </w:tr>
      <w:tr w:rsidR="00CB791A" w:rsidRPr="00886B5E" w14:paraId="2EB3F1FA" w14:textId="77777777" w:rsidTr="0079432A">
        <w:trPr>
          <w:cantSplit/>
        </w:trPr>
        <w:tc>
          <w:tcPr>
            <w:tcW w:w="8930" w:type="dxa"/>
            <w:gridSpan w:val="3"/>
            <w:shd w:val="clear" w:color="auto" w:fill="65697F" w:themeFill="background2" w:themeFillShade="80"/>
          </w:tcPr>
          <w:p w14:paraId="4B87AAE5" w14:textId="77777777" w:rsidR="00CB791A" w:rsidRPr="00886B5E" w:rsidRDefault="00CB791A" w:rsidP="00CB791A">
            <w:pPr>
              <w:pStyle w:val="TableBodyText"/>
              <w:spacing w:before="40" w:after="40"/>
              <w:jc w:val="center"/>
              <w:rPr>
                <w:b/>
                <w:color w:val="FFFFFF" w:themeColor="background1"/>
              </w:rPr>
            </w:pPr>
            <w:r w:rsidRPr="00886B5E">
              <w:rPr>
                <w:b/>
                <w:color w:val="FFFFFF" w:themeColor="background1"/>
              </w:rPr>
              <w:t>Part 18 of the NGR</w:t>
            </w:r>
          </w:p>
        </w:tc>
      </w:tr>
      <w:tr w:rsidR="00F716AC" w14:paraId="400E9095" w14:textId="77777777" w:rsidTr="0079432A">
        <w:trPr>
          <w:cnfStyle w:val="000000010000" w:firstRow="0" w:lastRow="0" w:firstColumn="0" w:lastColumn="0" w:oddVBand="0" w:evenVBand="0" w:oddHBand="0" w:evenHBand="1" w:firstRowFirstColumn="0" w:firstRowLastColumn="0" w:lastRowFirstColumn="0" w:lastRowLastColumn="0"/>
          <w:cantSplit/>
        </w:trPr>
        <w:tc>
          <w:tcPr>
            <w:tcW w:w="926" w:type="dxa"/>
            <w:tcBorders>
              <w:bottom w:val="single" w:sz="4" w:space="0" w:color="auto"/>
            </w:tcBorders>
            <w:shd w:val="clear" w:color="auto" w:fill="auto"/>
            <w:hideMark/>
          </w:tcPr>
          <w:p w14:paraId="4856D50B" w14:textId="77777777" w:rsidR="00F716AC" w:rsidRPr="00FD7CF4" w:rsidRDefault="00F716AC" w:rsidP="00CB791A">
            <w:pPr>
              <w:pStyle w:val="TableBodyText"/>
              <w:spacing w:before="40" w:after="40"/>
            </w:pPr>
            <w:r w:rsidRPr="00FD7CF4">
              <w:t xml:space="preserve">Rule 158A(1) </w:t>
            </w:r>
          </w:p>
        </w:tc>
        <w:tc>
          <w:tcPr>
            <w:tcW w:w="5737" w:type="dxa"/>
            <w:tcBorders>
              <w:bottom w:val="single" w:sz="4" w:space="0" w:color="auto"/>
            </w:tcBorders>
            <w:shd w:val="clear" w:color="auto" w:fill="auto"/>
          </w:tcPr>
          <w:p w14:paraId="4637DCF0" w14:textId="77777777" w:rsidR="00F716AC" w:rsidRPr="00FD7CF4" w:rsidRDefault="00F716AC" w:rsidP="00CB791A">
            <w:pPr>
              <w:pStyle w:val="TableBodyText"/>
              <w:spacing w:before="40" w:after="40"/>
            </w:pPr>
            <w:r w:rsidRPr="00FD7CF4">
              <w:t>BB allocation agent</w:t>
            </w:r>
            <w:r w:rsidR="0079432A">
              <w:t>s</w:t>
            </w:r>
            <w:r w:rsidRPr="00FD7CF4">
              <w:t xml:space="preserve"> must apply to </w:t>
            </w:r>
            <w:r w:rsidR="00852BE1">
              <w:t xml:space="preserve">AEMO to </w:t>
            </w:r>
            <w:r w:rsidRPr="00FD7CF4">
              <w:t>register under Part 18</w:t>
            </w:r>
          </w:p>
        </w:tc>
        <w:tc>
          <w:tcPr>
            <w:tcW w:w="2267" w:type="dxa"/>
            <w:tcBorders>
              <w:bottom w:val="single" w:sz="4" w:space="0" w:color="auto"/>
            </w:tcBorders>
            <w:shd w:val="clear" w:color="auto" w:fill="auto"/>
            <w:hideMark/>
          </w:tcPr>
          <w:p w14:paraId="6823CA23" w14:textId="77777777" w:rsidR="00F716AC" w:rsidRPr="00FD7CF4" w:rsidRDefault="00F716AC" w:rsidP="00CB791A">
            <w:pPr>
              <w:pStyle w:val="TableBodyText"/>
              <w:spacing w:before="40" w:after="40"/>
            </w:pPr>
            <w:r w:rsidRPr="00FD7CF4">
              <w:t xml:space="preserve">Civil penalty </w:t>
            </w:r>
          </w:p>
        </w:tc>
      </w:tr>
      <w:tr w:rsidR="00F716AC" w14:paraId="44ECD51D" w14:textId="77777777" w:rsidTr="0079432A">
        <w:trPr>
          <w:cantSplit/>
        </w:trPr>
        <w:tc>
          <w:tcPr>
            <w:tcW w:w="926" w:type="dxa"/>
            <w:shd w:val="clear" w:color="auto" w:fill="E1E2E7" w:themeFill="background2"/>
            <w:hideMark/>
          </w:tcPr>
          <w:p w14:paraId="09CD853D" w14:textId="77777777" w:rsidR="00F716AC" w:rsidRPr="00FD7CF4" w:rsidRDefault="00F716AC" w:rsidP="00CB791A">
            <w:pPr>
              <w:pStyle w:val="TableBodyText"/>
              <w:spacing w:before="40" w:after="40"/>
            </w:pPr>
            <w:r w:rsidRPr="00FD7CF4">
              <w:t xml:space="preserve">Rule 158A(2) </w:t>
            </w:r>
          </w:p>
        </w:tc>
        <w:tc>
          <w:tcPr>
            <w:tcW w:w="5737" w:type="dxa"/>
            <w:shd w:val="clear" w:color="auto" w:fill="E1E2E7" w:themeFill="background2"/>
          </w:tcPr>
          <w:p w14:paraId="2C7D3839" w14:textId="77777777" w:rsidR="00F716AC" w:rsidRPr="00FD7CF4" w:rsidRDefault="00F716AC" w:rsidP="00852BE1">
            <w:pPr>
              <w:pStyle w:val="TableBodyText"/>
              <w:spacing w:before="40" w:after="40"/>
            </w:pPr>
            <w:r w:rsidRPr="00FD7CF4">
              <w:t xml:space="preserve">An application to register </w:t>
            </w:r>
            <w:r w:rsidR="00852BE1">
              <w:t xml:space="preserve">under subrule (1) </w:t>
            </w:r>
            <w:r w:rsidRPr="00FD7CF4">
              <w:t>must be made no later than 20 business days after the</w:t>
            </w:r>
            <w:r w:rsidR="00852BE1">
              <w:t xml:space="preserve"> person</w:t>
            </w:r>
            <w:r w:rsidRPr="00FD7CF4">
              <w:t xml:space="preserve"> become</w:t>
            </w:r>
            <w:r w:rsidR="00852BE1">
              <w:t>s</w:t>
            </w:r>
            <w:r w:rsidRPr="00FD7CF4">
              <w:t xml:space="preserve"> a BB allocation agent</w:t>
            </w:r>
          </w:p>
        </w:tc>
        <w:tc>
          <w:tcPr>
            <w:tcW w:w="2267" w:type="dxa"/>
            <w:shd w:val="clear" w:color="auto" w:fill="E1E2E7" w:themeFill="background2"/>
            <w:hideMark/>
          </w:tcPr>
          <w:p w14:paraId="5AE2ABFC" w14:textId="77777777" w:rsidR="00F716AC" w:rsidRPr="00FD7CF4" w:rsidRDefault="00F716AC" w:rsidP="00CB791A">
            <w:pPr>
              <w:pStyle w:val="TableBodyText"/>
              <w:spacing w:before="40" w:after="40"/>
            </w:pPr>
            <w:r w:rsidRPr="00FD7CF4">
              <w:t xml:space="preserve">Civil penalty </w:t>
            </w:r>
          </w:p>
        </w:tc>
      </w:tr>
      <w:tr w:rsidR="00F716AC" w14:paraId="369B904B" w14:textId="77777777" w:rsidTr="0079432A">
        <w:trPr>
          <w:cnfStyle w:val="000000010000" w:firstRow="0" w:lastRow="0" w:firstColumn="0" w:lastColumn="0" w:oddVBand="0" w:evenVBand="0" w:oddHBand="0" w:evenHBand="1" w:firstRowFirstColumn="0" w:firstRowLastColumn="0" w:lastRowFirstColumn="0" w:lastRowLastColumn="0"/>
          <w:cantSplit/>
        </w:trPr>
        <w:tc>
          <w:tcPr>
            <w:tcW w:w="926" w:type="dxa"/>
            <w:tcBorders>
              <w:bottom w:val="single" w:sz="4" w:space="0" w:color="auto"/>
            </w:tcBorders>
            <w:shd w:val="clear" w:color="auto" w:fill="auto"/>
          </w:tcPr>
          <w:p w14:paraId="4CB888F5" w14:textId="77777777" w:rsidR="00F716AC" w:rsidRPr="00FD7CF4" w:rsidRDefault="00F716AC" w:rsidP="00CB791A">
            <w:pPr>
              <w:pStyle w:val="TableBodyText"/>
              <w:spacing w:before="40" w:after="40"/>
            </w:pPr>
            <w:r w:rsidRPr="00FD7CF4">
              <w:t xml:space="preserve">Rule 158B(1) </w:t>
            </w:r>
          </w:p>
        </w:tc>
        <w:tc>
          <w:tcPr>
            <w:tcW w:w="5737" w:type="dxa"/>
            <w:tcBorders>
              <w:bottom w:val="single" w:sz="4" w:space="0" w:color="auto"/>
            </w:tcBorders>
            <w:shd w:val="clear" w:color="auto" w:fill="auto"/>
          </w:tcPr>
          <w:p w14:paraId="5E6B0D86" w14:textId="77777777" w:rsidR="00F716AC" w:rsidRPr="00FD7CF4" w:rsidRDefault="00F716AC" w:rsidP="00CB791A">
            <w:pPr>
              <w:pStyle w:val="TableBodyText"/>
              <w:spacing w:before="40" w:after="40"/>
            </w:pPr>
            <w:r w:rsidRPr="00FD7CF4">
              <w:t>BB allocation agent</w:t>
            </w:r>
            <w:r w:rsidR="0079432A">
              <w:t>s</w:t>
            </w:r>
            <w:r w:rsidRPr="00FD7CF4">
              <w:t xml:space="preserve"> must apply to </w:t>
            </w:r>
            <w:r w:rsidR="00852BE1">
              <w:t xml:space="preserve">AEMO to </w:t>
            </w:r>
            <w:r w:rsidRPr="00FD7CF4">
              <w:t>register the</w:t>
            </w:r>
            <w:r w:rsidR="0079432A">
              <w:t>ir</w:t>
            </w:r>
            <w:r w:rsidRPr="00FD7CF4">
              <w:t xml:space="preserve"> </w:t>
            </w:r>
            <w:r w:rsidR="00852BE1">
              <w:t xml:space="preserve">BB </w:t>
            </w:r>
            <w:r w:rsidRPr="00FD7CF4">
              <w:t>allocation point</w:t>
            </w:r>
            <w:r w:rsidR="0079432A">
              <w:t>s</w:t>
            </w:r>
            <w:r w:rsidRPr="00FD7CF4">
              <w:t xml:space="preserve"> under Part 18</w:t>
            </w:r>
            <w:r w:rsidR="00852BE1">
              <w:t xml:space="preserve"> and be registered under Part 18 as the BB reporting entity for the BB allocation point</w:t>
            </w:r>
            <w:r w:rsidR="0079432A">
              <w:t>s</w:t>
            </w:r>
          </w:p>
        </w:tc>
        <w:tc>
          <w:tcPr>
            <w:tcW w:w="2267" w:type="dxa"/>
            <w:tcBorders>
              <w:bottom w:val="single" w:sz="4" w:space="0" w:color="auto"/>
            </w:tcBorders>
            <w:shd w:val="clear" w:color="auto" w:fill="auto"/>
          </w:tcPr>
          <w:p w14:paraId="4BF2A472" w14:textId="77777777" w:rsidR="00F716AC" w:rsidRPr="00FD7CF4" w:rsidRDefault="00F716AC" w:rsidP="00CB791A">
            <w:pPr>
              <w:pStyle w:val="TableBodyText"/>
              <w:spacing w:before="40" w:after="40"/>
            </w:pPr>
            <w:r w:rsidRPr="00FD7CF4">
              <w:t xml:space="preserve">Civil penalty </w:t>
            </w:r>
          </w:p>
        </w:tc>
      </w:tr>
      <w:tr w:rsidR="00F716AC" w14:paraId="690BFFF8" w14:textId="77777777" w:rsidTr="0079432A">
        <w:trPr>
          <w:cantSplit/>
        </w:trPr>
        <w:tc>
          <w:tcPr>
            <w:tcW w:w="926" w:type="dxa"/>
            <w:shd w:val="clear" w:color="auto" w:fill="E1E2E7" w:themeFill="background2"/>
          </w:tcPr>
          <w:p w14:paraId="08FB4FC9" w14:textId="77777777" w:rsidR="00F716AC" w:rsidRPr="00FD7CF4" w:rsidRDefault="00F716AC" w:rsidP="00CB791A">
            <w:pPr>
              <w:pStyle w:val="TableBodyText"/>
              <w:spacing w:before="40" w:after="40"/>
            </w:pPr>
            <w:r w:rsidRPr="00FD7CF4">
              <w:t xml:space="preserve">Rule 158B(2) </w:t>
            </w:r>
          </w:p>
        </w:tc>
        <w:tc>
          <w:tcPr>
            <w:tcW w:w="5737" w:type="dxa"/>
            <w:shd w:val="clear" w:color="auto" w:fill="E1E2E7" w:themeFill="background2"/>
          </w:tcPr>
          <w:p w14:paraId="2C3090E3" w14:textId="77777777" w:rsidR="00F716AC" w:rsidRPr="00FD7CF4" w:rsidRDefault="00F716AC" w:rsidP="00852BE1">
            <w:pPr>
              <w:pStyle w:val="TableBodyText"/>
              <w:spacing w:before="40" w:after="40"/>
            </w:pPr>
            <w:r w:rsidRPr="00FD7CF4">
              <w:t xml:space="preserve">An application to register </w:t>
            </w:r>
            <w:r w:rsidR="00852BE1">
              <w:t>under subrule (1)</w:t>
            </w:r>
            <w:r w:rsidRPr="00FD7CF4">
              <w:t xml:space="preserve"> must be made no later than </w:t>
            </w:r>
            <w:r w:rsidR="00852BE1">
              <w:t>5</w:t>
            </w:r>
            <w:r w:rsidR="00852BE1" w:rsidRPr="00FD7CF4">
              <w:t xml:space="preserve"> </w:t>
            </w:r>
            <w:r w:rsidRPr="00FD7CF4">
              <w:t xml:space="preserve">business days after </w:t>
            </w:r>
            <w:r w:rsidR="00852BE1">
              <w:t xml:space="preserve">the relevant point becomes a </w:t>
            </w:r>
            <w:r w:rsidRPr="00FD7CF4">
              <w:t xml:space="preserve">BB allocation </w:t>
            </w:r>
            <w:r w:rsidR="00852BE1">
              <w:t>point</w:t>
            </w:r>
          </w:p>
        </w:tc>
        <w:tc>
          <w:tcPr>
            <w:tcW w:w="2267" w:type="dxa"/>
            <w:shd w:val="clear" w:color="auto" w:fill="E1E2E7" w:themeFill="background2"/>
          </w:tcPr>
          <w:p w14:paraId="5E331726" w14:textId="77777777" w:rsidR="00F716AC" w:rsidRPr="00FD7CF4" w:rsidRDefault="00F716AC" w:rsidP="00CB791A">
            <w:pPr>
              <w:pStyle w:val="TableBodyText"/>
              <w:spacing w:before="40" w:after="40"/>
            </w:pPr>
            <w:r w:rsidRPr="00FD7CF4">
              <w:t xml:space="preserve">Civil penalty </w:t>
            </w:r>
          </w:p>
        </w:tc>
      </w:tr>
      <w:tr w:rsidR="00F716AC" w14:paraId="0C545921" w14:textId="77777777" w:rsidTr="0079432A">
        <w:trPr>
          <w:cnfStyle w:val="000000010000" w:firstRow="0" w:lastRow="0" w:firstColumn="0" w:lastColumn="0" w:oddVBand="0" w:evenVBand="0" w:oddHBand="0" w:evenHBand="1" w:firstRowFirstColumn="0" w:firstRowLastColumn="0" w:lastRowFirstColumn="0" w:lastRowLastColumn="0"/>
          <w:cantSplit/>
        </w:trPr>
        <w:tc>
          <w:tcPr>
            <w:tcW w:w="926" w:type="dxa"/>
            <w:shd w:val="clear" w:color="auto" w:fill="auto"/>
          </w:tcPr>
          <w:p w14:paraId="0C67ADE8" w14:textId="77777777" w:rsidR="00F716AC" w:rsidRPr="00FD7CF4" w:rsidRDefault="00F716AC" w:rsidP="00CB791A">
            <w:pPr>
              <w:pStyle w:val="TableBodyText"/>
              <w:spacing w:before="40" w:after="40"/>
            </w:pPr>
            <w:r w:rsidRPr="00FD7CF4">
              <w:t xml:space="preserve">Rule 158B(5) </w:t>
            </w:r>
          </w:p>
        </w:tc>
        <w:tc>
          <w:tcPr>
            <w:tcW w:w="5737" w:type="dxa"/>
            <w:shd w:val="clear" w:color="auto" w:fill="auto"/>
          </w:tcPr>
          <w:p w14:paraId="00874479" w14:textId="77777777" w:rsidR="00F716AC" w:rsidRPr="00FD7CF4" w:rsidRDefault="00F716AC" w:rsidP="00CB791A">
            <w:pPr>
              <w:pStyle w:val="TableBodyText"/>
              <w:spacing w:before="40" w:after="40"/>
            </w:pPr>
            <w:r w:rsidRPr="00FD7CF4">
              <w:t xml:space="preserve">An application for registration under </w:t>
            </w:r>
            <w:r w:rsidR="00852BE1">
              <w:t xml:space="preserve">subrule </w:t>
            </w:r>
            <w:r w:rsidRPr="00FD7CF4">
              <w:t>(3) must be made no later than 5 business days after the change takes effect</w:t>
            </w:r>
          </w:p>
        </w:tc>
        <w:tc>
          <w:tcPr>
            <w:tcW w:w="2267" w:type="dxa"/>
            <w:shd w:val="clear" w:color="auto" w:fill="auto"/>
          </w:tcPr>
          <w:p w14:paraId="605A895B" w14:textId="77777777" w:rsidR="00F716AC" w:rsidRPr="00FD7CF4" w:rsidRDefault="00F716AC" w:rsidP="00CB791A">
            <w:pPr>
              <w:pStyle w:val="TableBodyText"/>
              <w:spacing w:before="40" w:after="40"/>
            </w:pPr>
            <w:r w:rsidRPr="00FD7CF4">
              <w:t xml:space="preserve">Civil penalty </w:t>
            </w:r>
          </w:p>
        </w:tc>
      </w:tr>
      <w:tr w:rsidR="00CB791A" w:rsidRPr="00886B5E" w14:paraId="6C391EC7" w14:textId="77777777" w:rsidTr="0079432A">
        <w:trPr>
          <w:cantSplit/>
          <w:trHeight w:val="399"/>
        </w:trPr>
        <w:tc>
          <w:tcPr>
            <w:tcW w:w="8930" w:type="dxa"/>
            <w:gridSpan w:val="3"/>
            <w:shd w:val="clear" w:color="auto" w:fill="65697F" w:themeFill="background2" w:themeFillShade="80"/>
          </w:tcPr>
          <w:p w14:paraId="1AEC099A" w14:textId="77777777" w:rsidR="00CB791A" w:rsidRPr="00886B5E" w:rsidRDefault="00CB791A" w:rsidP="00CB791A">
            <w:pPr>
              <w:pStyle w:val="TableBodyText"/>
              <w:spacing w:before="40" w:after="40"/>
              <w:jc w:val="center"/>
              <w:rPr>
                <w:b/>
                <w:color w:val="FFFFFF" w:themeColor="background1"/>
              </w:rPr>
            </w:pPr>
            <w:r w:rsidRPr="00886B5E">
              <w:rPr>
                <w:b/>
                <w:color w:val="FFFFFF" w:themeColor="background1"/>
              </w:rPr>
              <w:t>Transitional rules – Schedule 5 of NGR</w:t>
            </w:r>
          </w:p>
        </w:tc>
      </w:tr>
      <w:tr w:rsidR="00F716AC" w14:paraId="189B6E2B" w14:textId="77777777" w:rsidTr="0079432A">
        <w:trPr>
          <w:cnfStyle w:val="000000010000" w:firstRow="0" w:lastRow="0" w:firstColumn="0" w:lastColumn="0" w:oddVBand="0" w:evenVBand="0" w:oddHBand="0" w:evenHBand="1" w:firstRowFirstColumn="0" w:firstRowLastColumn="0" w:lastRowFirstColumn="0" w:lastRowLastColumn="0"/>
          <w:cantSplit/>
        </w:trPr>
        <w:tc>
          <w:tcPr>
            <w:tcW w:w="926" w:type="dxa"/>
          </w:tcPr>
          <w:p w14:paraId="665E9D38" w14:textId="77777777" w:rsidR="00F716AC" w:rsidRPr="004F2763" w:rsidRDefault="00F716AC" w:rsidP="00CB791A">
            <w:pPr>
              <w:pStyle w:val="TableBodyText"/>
              <w:spacing w:before="40" w:after="40"/>
            </w:pPr>
            <w:r>
              <w:t xml:space="preserve">Schedule 5, Part 5, rule 3(1) </w:t>
            </w:r>
          </w:p>
        </w:tc>
        <w:tc>
          <w:tcPr>
            <w:tcW w:w="5737" w:type="dxa"/>
          </w:tcPr>
          <w:p w14:paraId="56C260F5" w14:textId="77777777" w:rsidR="00F716AC" w:rsidRPr="004F2763" w:rsidRDefault="00852BE1" w:rsidP="003F74DD">
            <w:pPr>
              <w:pStyle w:val="TableBodyText"/>
              <w:spacing w:before="40" w:after="40"/>
            </w:pPr>
            <w:r>
              <w:t xml:space="preserve">A </w:t>
            </w:r>
            <w:r w:rsidR="00AF2CBC">
              <w:t xml:space="preserve">reporting entity </w:t>
            </w:r>
            <w:r w:rsidR="00F716AC">
              <w:t>required</w:t>
            </w:r>
            <w:r>
              <w:t xml:space="preserve"> by </w:t>
            </w:r>
            <w:r w:rsidR="00AF2CBC">
              <w:t xml:space="preserve">Schedule 5, </w:t>
            </w:r>
            <w:r>
              <w:t xml:space="preserve">Part </w:t>
            </w:r>
            <w:r w:rsidR="00AF2CBC">
              <w:t xml:space="preserve">5 of the NGR </w:t>
            </w:r>
            <w:r>
              <w:t xml:space="preserve">or the </w:t>
            </w:r>
            <w:r w:rsidR="003F74DD">
              <w:t>CT&amp;A</w:t>
            </w:r>
            <w:r>
              <w:t xml:space="preserve"> Procedures</w:t>
            </w:r>
            <w:r w:rsidR="00F716AC">
              <w:t xml:space="preserve"> to provide information or data to AEMO must do so in accordance with the </w:t>
            </w:r>
            <w:r w:rsidR="00C14918">
              <w:t>Bulletin Board</w:t>
            </w:r>
            <w:r w:rsidR="00F716AC">
              <w:t xml:space="preserve"> information standard</w:t>
            </w:r>
          </w:p>
        </w:tc>
        <w:tc>
          <w:tcPr>
            <w:tcW w:w="2267" w:type="dxa"/>
          </w:tcPr>
          <w:p w14:paraId="7A0E7B41" w14:textId="77777777" w:rsidR="00F716AC" w:rsidRDefault="00F716AC" w:rsidP="00CB791A">
            <w:pPr>
              <w:pStyle w:val="TableBodyText"/>
              <w:spacing w:before="40" w:after="40"/>
            </w:pPr>
            <w:r w:rsidRPr="0037372D">
              <w:t xml:space="preserve">Civil penalty </w:t>
            </w:r>
          </w:p>
        </w:tc>
      </w:tr>
      <w:tr w:rsidR="00F716AC" w14:paraId="553BB13F" w14:textId="77777777" w:rsidTr="0079432A">
        <w:trPr>
          <w:cantSplit/>
        </w:trPr>
        <w:tc>
          <w:tcPr>
            <w:tcW w:w="926" w:type="dxa"/>
          </w:tcPr>
          <w:p w14:paraId="1DDE1D59" w14:textId="77777777" w:rsidR="00F716AC" w:rsidRPr="004F2763" w:rsidRDefault="00F716AC" w:rsidP="00CB791A">
            <w:pPr>
              <w:pStyle w:val="TableBodyText"/>
              <w:spacing w:before="40" w:after="40"/>
            </w:pPr>
            <w:r>
              <w:t xml:space="preserve">Schedule 5, </w:t>
            </w:r>
            <w:r w:rsidRPr="00813911">
              <w:t>Part 5, rule 3(</w:t>
            </w:r>
            <w:r>
              <w:t>2</w:t>
            </w:r>
            <w:r w:rsidRPr="00813911">
              <w:t>)</w:t>
            </w:r>
            <w:r>
              <w:t xml:space="preserve"> </w:t>
            </w:r>
          </w:p>
        </w:tc>
        <w:tc>
          <w:tcPr>
            <w:tcW w:w="5737" w:type="dxa"/>
          </w:tcPr>
          <w:p w14:paraId="6D189BDF" w14:textId="77777777" w:rsidR="00F716AC" w:rsidRPr="004F2763" w:rsidRDefault="00852BE1" w:rsidP="00852BE1">
            <w:pPr>
              <w:pStyle w:val="TableBodyText"/>
              <w:spacing w:before="40" w:after="40"/>
            </w:pPr>
            <w:r>
              <w:t xml:space="preserve">Where </w:t>
            </w:r>
            <w:r w:rsidR="00AF2CBC">
              <w:t xml:space="preserve">Schedule 5 Part 5 of the NGR requires </w:t>
            </w:r>
            <w:r w:rsidR="00F716AC">
              <w:t xml:space="preserve">information </w:t>
            </w:r>
            <w:r>
              <w:t xml:space="preserve">or data </w:t>
            </w:r>
            <w:r w:rsidR="00AF2CBC">
              <w:t xml:space="preserve">to be updated, </w:t>
            </w:r>
            <w:r>
              <w:t xml:space="preserve">the reporting entity must do so each time the facts or circumstances </w:t>
            </w:r>
            <w:r w:rsidR="00DA226C">
              <w:t>arise that require the information to be updated and notify the updated information to AEMO as soon as practicable</w:t>
            </w:r>
          </w:p>
        </w:tc>
        <w:tc>
          <w:tcPr>
            <w:tcW w:w="2267" w:type="dxa"/>
          </w:tcPr>
          <w:p w14:paraId="6420B139" w14:textId="77777777" w:rsidR="00F716AC" w:rsidRDefault="00F716AC" w:rsidP="00CB791A">
            <w:pPr>
              <w:pStyle w:val="TableBodyText"/>
              <w:spacing w:before="40" w:after="40"/>
            </w:pPr>
            <w:r w:rsidRPr="0037372D">
              <w:t xml:space="preserve">Civil penalty </w:t>
            </w:r>
          </w:p>
        </w:tc>
      </w:tr>
      <w:tr w:rsidR="00F716AC" w14:paraId="377F1864" w14:textId="77777777" w:rsidTr="0079432A">
        <w:trPr>
          <w:cnfStyle w:val="000000010000" w:firstRow="0" w:lastRow="0" w:firstColumn="0" w:lastColumn="0" w:oddVBand="0" w:evenVBand="0" w:oddHBand="0" w:evenHBand="1" w:firstRowFirstColumn="0" w:firstRowLastColumn="0" w:lastRowFirstColumn="0" w:lastRowLastColumn="0"/>
          <w:cantSplit/>
        </w:trPr>
        <w:tc>
          <w:tcPr>
            <w:tcW w:w="926" w:type="dxa"/>
          </w:tcPr>
          <w:p w14:paraId="6E0B9A0C" w14:textId="77777777" w:rsidR="00F716AC" w:rsidRPr="004F2763" w:rsidRDefault="00F716AC" w:rsidP="00CB791A">
            <w:pPr>
              <w:pStyle w:val="TableBodyText"/>
              <w:spacing w:before="40" w:after="40"/>
            </w:pPr>
            <w:r>
              <w:t xml:space="preserve">Schedule 5, </w:t>
            </w:r>
            <w:r w:rsidRPr="00813911">
              <w:t>Part 5, rule 3(</w:t>
            </w:r>
            <w:r>
              <w:t>3</w:t>
            </w:r>
            <w:r w:rsidRPr="00813911">
              <w:t>)</w:t>
            </w:r>
            <w:r>
              <w:t xml:space="preserve"> </w:t>
            </w:r>
          </w:p>
        </w:tc>
        <w:tc>
          <w:tcPr>
            <w:tcW w:w="5737" w:type="dxa"/>
          </w:tcPr>
          <w:p w14:paraId="4E21A83C" w14:textId="77777777" w:rsidR="00F716AC" w:rsidRPr="004F2763" w:rsidRDefault="00852BE1" w:rsidP="005600A7">
            <w:pPr>
              <w:pStyle w:val="TableBodyText"/>
              <w:spacing w:before="40" w:after="40"/>
            </w:pPr>
            <w:r>
              <w:t>A r</w:t>
            </w:r>
            <w:r w:rsidR="00F716AC">
              <w:t xml:space="preserve">eporting entity </w:t>
            </w:r>
            <w:r w:rsidR="00DA226C">
              <w:t xml:space="preserve">required under </w:t>
            </w:r>
            <w:r w:rsidR="005600A7">
              <w:t xml:space="preserve">Part 5 of </w:t>
            </w:r>
            <w:r w:rsidR="00AF2CBC">
              <w:t xml:space="preserve">Schedule 5 </w:t>
            </w:r>
            <w:r w:rsidR="00DA226C">
              <w:t xml:space="preserve">or the </w:t>
            </w:r>
            <w:r w:rsidR="003F74DD">
              <w:t>CT&amp;A</w:t>
            </w:r>
            <w:r w:rsidR="00DA226C">
              <w:t xml:space="preserve"> Procedures </w:t>
            </w:r>
            <w:r w:rsidR="005600A7">
              <w:t xml:space="preserve">to </w:t>
            </w:r>
            <w:r w:rsidR="00F716AC">
              <w:t xml:space="preserve">provide updated information and data to AEMO </w:t>
            </w:r>
            <w:r w:rsidR="005600A7">
              <w:t xml:space="preserve">must do so </w:t>
            </w:r>
            <w:r w:rsidR="00F716AC">
              <w:t xml:space="preserve">in accordance with the </w:t>
            </w:r>
            <w:r w:rsidR="00C14918">
              <w:t xml:space="preserve">Bulletin Board </w:t>
            </w:r>
            <w:r w:rsidR="00F716AC">
              <w:t>information standard</w:t>
            </w:r>
          </w:p>
        </w:tc>
        <w:tc>
          <w:tcPr>
            <w:tcW w:w="2267" w:type="dxa"/>
          </w:tcPr>
          <w:p w14:paraId="7C3FD298" w14:textId="77777777" w:rsidR="00F716AC" w:rsidRDefault="00F716AC" w:rsidP="00CB791A">
            <w:pPr>
              <w:pStyle w:val="TableBodyText"/>
              <w:spacing w:before="40" w:after="40"/>
            </w:pPr>
            <w:r w:rsidRPr="0037372D">
              <w:t xml:space="preserve">Civil penalty </w:t>
            </w:r>
          </w:p>
        </w:tc>
      </w:tr>
    </w:tbl>
    <w:p w14:paraId="21D781E2" w14:textId="77777777" w:rsidR="00CB791A" w:rsidRDefault="00CB791A" w:rsidP="00CB791A">
      <w:pPr>
        <w:pStyle w:val="BodyText"/>
        <w:rPr>
          <w:highlight w:val="yellow"/>
        </w:rPr>
      </w:pPr>
    </w:p>
    <w:p w14:paraId="639E6E80" w14:textId="77777777" w:rsidR="00200CAD" w:rsidRDefault="00200CAD" w:rsidP="00156D33">
      <w:pPr>
        <w:pStyle w:val="BodyText"/>
        <w:spacing w:before="0"/>
      </w:pPr>
      <w:r>
        <w:br w:type="page"/>
      </w:r>
    </w:p>
    <w:p w14:paraId="50021591" w14:textId="77777777" w:rsidR="00B454FE" w:rsidRPr="001868BC" w:rsidRDefault="00FD75C4" w:rsidP="00164D45">
      <w:pPr>
        <w:pStyle w:val="Heading1"/>
        <w:spacing w:after="120"/>
      </w:pPr>
      <w:bookmarkStart w:id="92" w:name="_Toc521818695"/>
      <w:bookmarkStart w:id="93" w:name="_Toc521836852"/>
      <w:bookmarkStart w:id="94" w:name="_Toc521839111"/>
      <w:bookmarkStart w:id="95" w:name="_Toc530546477"/>
      <w:bookmarkEnd w:id="92"/>
      <w:bookmarkEnd w:id="93"/>
      <w:bookmarkEnd w:id="94"/>
      <w:r>
        <w:lastRenderedPageBreak/>
        <w:t>Standard market timetable</w:t>
      </w:r>
      <w:bookmarkEnd w:id="95"/>
      <w:r>
        <w:t xml:space="preserve"> </w:t>
      </w:r>
    </w:p>
    <w:p w14:paraId="7B02392F" w14:textId="77777777" w:rsidR="00C861AB" w:rsidRDefault="00C861AB" w:rsidP="00164D45">
      <w:pPr>
        <w:pStyle w:val="BodyText"/>
        <w:spacing w:before="120"/>
      </w:pPr>
      <w:r>
        <w:t>The final element of the capacity trading reform package involves the implementation of a standard market timetable that will provide for:</w:t>
      </w:r>
    </w:p>
    <w:p w14:paraId="1F58B44A" w14:textId="77777777" w:rsidR="0096110B" w:rsidRPr="00FA400C" w:rsidRDefault="00C861AB" w:rsidP="00164D45">
      <w:pPr>
        <w:pStyle w:val="ListBullet"/>
        <w:spacing w:before="60" w:after="60"/>
        <w:ind w:left="357" w:hanging="357"/>
      </w:pPr>
      <w:r w:rsidRPr="00FA400C">
        <w:t>a common gas day start time</w:t>
      </w:r>
      <w:r w:rsidR="00273A43">
        <w:t xml:space="preserve"> </w:t>
      </w:r>
      <w:r>
        <w:t xml:space="preserve">that will </w:t>
      </w:r>
      <w:r w:rsidRPr="00FA400C">
        <w:t>apply to</w:t>
      </w:r>
      <w:r w:rsidR="00273A43">
        <w:t xml:space="preserve"> </w:t>
      </w:r>
      <w:r w:rsidRPr="00FA400C">
        <w:t>all production, pipeline, compress</w:t>
      </w:r>
      <w:r>
        <w:t>ion</w:t>
      </w:r>
      <w:r w:rsidRPr="00FA400C">
        <w:t xml:space="preserve"> and storage </w:t>
      </w:r>
      <w:r>
        <w:t xml:space="preserve">facilities </w:t>
      </w:r>
      <w:r w:rsidR="00273A43">
        <w:t xml:space="preserve">and </w:t>
      </w:r>
      <w:r w:rsidR="0096110B">
        <w:t>the facilitated markets operated by AEMO (</w:t>
      </w:r>
      <w:r w:rsidR="005600A7">
        <w:t>i.e.</w:t>
      </w:r>
      <w:r w:rsidR="0096110B">
        <w:t xml:space="preserve"> </w:t>
      </w:r>
      <w:r w:rsidR="00CB0E55">
        <w:t xml:space="preserve">the </w:t>
      </w:r>
      <w:r w:rsidR="0096110B">
        <w:t>GSH, STTM and retail markets);</w:t>
      </w:r>
      <w:r w:rsidR="00CB0E55">
        <w:rPr>
          <w:rStyle w:val="FootnoteReference"/>
        </w:rPr>
        <w:footnoteReference w:id="375"/>
      </w:r>
    </w:p>
    <w:p w14:paraId="29094A3C" w14:textId="77777777" w:rsidR="00C861AB" w:rsidRDefault="00C861AB" w:rsidP="00164D45">
      <w:pPr>
        <w:pStyle w:val="ListBullet"/>
        <w:spacing w:before="60" w:after="60"/>
        <w:ind w:left="357" w:hanging="357"/>
      </w:pPr>
      <w:r w:rsidRPr="00FA400C">
        <w:t xml:space="preserve">a common nomination cut-off time </w:t>
      </w:r>
      <w:r w:rsidR="00273A43">
        <w:t xml:space="preserve">that will apply to </w:t>
      </w:r>
      <w:r w:rsidR="00CB0E55">
        <w:t>Part 24 facilities</w:t>
      </w:r>
      <w:r w:rsidR="00273A43">
        <w:t xml:space="preserve"> and auction facilities</w:t>
      </w:r>
      <w:r>
        <w:t xml:space="preserve">; and </w:t>
      </w:r>
    </w:p>
    <w:p w14:paraId="6471A0FC" w14:textId="77777777" w:rsidR="00C861AB" w:rsidRPr="00FA400C" w:rsidRDefault="00C861AB" w:rsidP="00C861AB">
      <w:pPr>
        <w:pStyle w:val="ListBullet"/>
      </w:pPr>
      <w:r>
        <w:t>a</w:t>
      </w:r>
      <w:r w:rsidR="00273A43">
        <w:t xml:space="preserve"> common</w:t>
      </w:r>
      <w:r>
        <w:t xml:space="preserve"> auction service nomination cut-off time </w:t>
      </w:r>
      <w:r w:rsidR="00C14918">
        <w:t xml:space="preserve">that will apply to </w:t>
      </w:r>
      <w:r>
        <w:t>auction</w:t>
      </w:r>
      <w:r w:rsidR="00CB0E55">
        <w:t xml:space="preserve"> facilities</w:t>
      </w:r>
      <w:r>
        <w:t>.</w:t>
      </w:r>
    </w:p>
    <w:p w14:paraId="7639BE6F" w14:textId="77777777" w:rsidR="00C861AB" w:rsidRDefault="00C861AB" w:rsidP="00C861AB">
      <w:pPr>
        <w:pStyle w:val="BodyText"/>
      </w:pPr>
      <w:r>
        <w:t xml:space="preserve">This reform, which is to be implemented by 1 October 2019, is </w:t>
      </w:r>
      <w:r w:rsidR="00F716AC">
        <w:t>expected</w:t>
      </w:r>
      <w:r>
        <w:t xml:space="preserve"> to:</w:t>
      </w:r>
      <w:r>
        <w:rPr>
          <w:rStyle w:val="FootnoteReference"/>
        </w:rPr>
        <w:footnoteReference w:id="376"/>
      </w:r>
    </w:p>
    <w:p w14:paraId="204B8ED4" w14:textId="77777777" w:rsidR="00C861AB" w:rsidRDefault="00C861AB" w:rsidP="00164D45">
      <w:pPr>
        <w:pStyle w:val="ListBullet"/>
        <w:spacing w:before="60" w:after="60"/>
        <w:ind w:left="357" w:hanging="357"/>
      </w:pPr>
      <w:r>
        <w:t>reduce the costs and complexities that market participants operating (or wishing to operate) across multiple jurisdictions face, including facility operators located at the interface of jurisdictions with different gas day start times; and</w:t>
      </w:r>
    </w:p>
    <w:p w14:paraId="0DB32114" w14:textId="77777777" w:rsidR="00C861AB" w:rsidRDefault="00C861AB" w:rsidP="00164D45">
      <w:pPr>
        <w:pStyle w:val="ListBullet"/>
        <w:spacing w:before="60" w:after="60"/>
        <w:ind w:left="357" w:hanging="357"/>
      </w:pPr>
      <w:r>
        <w:t>increase the interoperability and interconnection between facilitated markets and, in so doing, promote participation and liquidity in these markets and trade between locations.</w:t>
      </w:r>
    </w:p>
    <w:p w14:paraId="2C08A960" w14:textId="77777777" w:rsidR="001974F6" w:rsidRDefault="001974F6" w:rsidP="00C14918">
      <w:pPr>
        <w:pStyle w:val="BodyText"/>
        <w:spacing w:after="240"/>
      </w:pPr>
      <w:r>
        <w:t>Further detail on the standard market timetable is provided below, along with an overview of the changes that have been made to the NGL, NGR and Regulations to give effect to this element of the reform package.</w:t>
      </w:r>
    </w:p>
    <w:p w14:paraId="635688B0" w14:textId="77777777" w:rsidR="001974F6" w:rsidRPr="00086528" w:rsidRDefault="001974F6" w:rsidP="001974F6">
      <w:pPr>
        <w:pStyle w:val="Heading2"/>
        <w:spacing w:before="120" w:after="120" w:line="252" w:lineRule="auto"/>
      </w:pPr>
      <w:bookmarkStart w:id="96" w:name="_Toc530546478"/>
      <w:r>
        <w:t>Overview of the standard market timetable</w:t>
      </w:r>
      <w:bookmarkEnd w:id="96"/>
    </w:p>
    <w:p w14:paraId="09C6A65A" w14:textId="7431D320" w:rsidR="00C14918" w:rsidRDefault="00C861AB" w:rsidP="00756268">
      <w:pPr>
        <w:pStyle w:val="BodyText"/>
        <w:spacing w:before="120" w:line="259" w:lineRule="auto"/>
        <w:rPr>
          <w:i/>
        </w:rPr>
      </w:pPr>
      <w:r>
        <w:fldChar w:fldCharType="begin"/>
      </w:r>
      <w:r>
        <w:instrText xml:space="preserve"> REF _Ref516416428 \h </w:instrText>
      </w:r>
      <w:r>
        <w:fldChar w:fldCharType="separate"/>
      </w:r>
      <w:r w:rsidR="0026074F">
        <w:t xml:space="preserve">Table </w:t>
      </w:r>
      <w:r w:rsidR="0026074F">
        <w:rPr>
          <w:noProof/>
        </w:rPr>
        <w:t>9</w:t>
      </w:r>
      <w:r w:rsidR="0026074F">
        <w:t>.</w:t>
      </w:r>
      <w:r w:rsidR="0026074F">
        <w:rPr>
          <w:noProof/>
        </w:rPr>
        <w:t>1</w:t>
      </w:r>
      <w:r>
        <w:fldChar w:fldCharType="end"/>
      </w:r>
      <w:r>
        <w:t xml:space="preserve"> </w:t>
      </w:r>
      <w:r w:rsidR="00FD75C4" w:rsidRPr="001E0EEB">
        <w:t>provides a</w:t>
      </w:r>
      <w:r w:rsidR="00345B14">
        <w:t xml:space="preserve">n overview </w:t>
      </w:r>
      <w:r w:rsidR="00FD75C4" w:rsidRPr="001E0EEB">
        <w:t xml:space="preserve">of the </w:t>
      </w:r>
      <w:r w:rsidR="00FD75C4">
        <w:t>final design of the standard market timetable and the arrangements required to facilitate the transition to this timetable.</w:t>
      </w:r>
      <w:r w:rsidR="00C14918">
        <w:t xml:space="preserve"> This table should be read in conjunction with GMRG’s final recommendations on the design of the capacity trading reform package, which provides further detail on the rationale for adopting a standard market timetable</w:t>
      </w:r>
      <w:r w:rsidR="00C14918" w:rsidRPr="006B34E4">
        <w:rPr>
          <w:i/>
        </w:rPr>
        <w:t>.</w:t>
      </w:r>
      <w:r w:rsidR="00C14918">
        <w:rPr>
          <w:rStyle w:val="FootnoteReference"/>
          <w:i/>
        </w:rPr>
        <w:footnoteReference w:id="377"/>
      </w:r>
      <w:r w:rsidR="00C14918">
        <w:rPr>
          <w:i/>
        </w:rPr>
        <w:t xml:space="preserve"> </w:t>
      </w:r>
    </w:p>
    <w:p w14:paraId="24E87914" w14:textId="77777777" w:rsidR="00164D45" w:rsidRDefault="00C14918" w:rsidP="00756268">
      <w:pPr>
        <w:pStyle w:val="BodyText"/>
        <w:spacing w:line="259" w:lineRule="auto"/>
      </w:pPr>
      <w:r w:rsidRPr="006B34E4">
        <w:t>As noted</w:t>
      </w:r>
      <w:r>
        <w:t xml:space="preserve"> in Chapter 1, the only substantive change</w:t>
      </w:r>
      <w:r w:rsidR="00164D45">
        <w:t>s</w:t>
      </w:r>
      <w:r>
        <w:t xml:space="preserve"> that </w:t>
      </w:r>
      <w:r w:rsidR="00164D45">
        <w:t xml:space="preserve">have </w:t>
      </w:r>
      <w:r>
        <w:t xml:space="preserve">been made to the final recommendations </w:t>
      </w:r>
      <w:r w:rsidR="00164D45">
        <w:t xml:space="preserve">are </w:t>
      </w:r>
      <w:r>
        <w:t xml:space="preserve">that </w:t>
      </w:r>
      <w:r w:rsidR="00164D45">
        <w:t xml:space="preserve">transitional provisions have been included in the legal and regulatory framework to: </w:t>
      </w:r>
    </w:p>
    <w:p w14:paraId="0579B874" w14:textId="77777777" w:rsidR="00164D45" w:rsidRDefault="00164D45" w:rsidP="00756268">
      <w:pPr>
        <w:pStyle w:val="ListBullet"/>
        <w:spacing w:before="60" w:after="60" w:line="259" w:lineRule="auto"/>
        <w:ind w:left="357" w:hanging="357"/>
      </w:pPr>
      <w:r>
        <w:t xml:space="preserve">require AEMO and certain facility operators to publish information </w:t>
      </w:r>
      <w:r w:rsidR="001C0945">
        <w:t xml:space="preserve">in the first half of 2019 </w:t>
      </w:r>
      <w:r>
        <w:t xml:space="preserve">on the arrangements for transitioning to the standard market timetable; </w:t>
      </w:r>
    </w:p>
    <w:p w14:paraId="29A5F8DB" w14:textId="77777777" w:rsidR="00164D45" w:rsidRDefault="00164D45" w:rsidP="00756268">
      <w:pPr>
        <w:pStyle w:val="ListBullet"/>
        <w:spacing w:before="60" w:after="60" w:line="259" w:lineRule="auto"/>
        <w:ind w:left="357" w:hanging="357"/>
      </w:pPr>
      <w:r>
        <w:t>require parties to negotiate in good faith if amendments to contracts are required to implement the new timetable and include a dispute resolution mechanism that parties can have recourse to if agreement cannot be reached; and</w:t>
      </w:r>
    </w:p>
    <w:p w14:paraId="5F48C4AB" w14:textId="77777777" w:rsidR="00164D45" w:rsidRDefault="00164D45" w:rsidP="00756268">
      <w:pPr>
        <w:pStyle w:val="ListBullet"/>
        <w:spacing w:before="60" w:after="60" w:line="259" w:lineRule="auto"/>
        <w:ind w:left="357" w:hanging="357"/>
      </w:pPr>
      <w:r>
        <w:t xml:space="preserve">provide </w:t>
      </w:r>
      <w:r w:rsidR="00756268">
        <w:t xml:space="preserve">parties that are required to implement the standard market timetable </w:t>
      </w:r>
      <w:r>
        <w:t xml:space="preserve">an immunity from civil monetary liability that may otherwise arise from </w:t>
      </w:r>
      <w:r w:rsidR="00756268">
        <w:t xml:space="preserve">its </w:t>
      </w:r>
      <w:r>
        <w:t xml:space="preserve">implementation. </w:t>
      </w:r>
    </w:p>
    <w:p w14:paraId="05ADCF88" w14:textId="77777777" w:rsidR="0036561B" w:rsidRDefault="00164D45" w:rsidP="00156D33">
      <w:pPr>
        <w:pStyle w:val="BodyText"/>
      </w:pPr>
      <w:r>
        <w:t xml:space="preserve">These </w:t>
      </w:r>
      <w:r w:rsidR="00C14918">
        <w:t>refinement</w:t>
      </w:r>
      <w:r>
        <w:t>s</w:t>
      </w:r>
      <w:r w:rsidR="00C14918">
        <w:t xml:space="preserve"> to the final recommendations </w:t>
      </w:r>
      <w:r>
        <w:t>are expected to promote the NGO by providing for an orderly transition to the standard market timetable</w:t>
      </w:r>
      <w:r w:rsidR="00C14918">
        <w:t>.</w:t>
      </w:r>
      <w:r>
        <w:t xml:space="preserve"> </w:t>
      </w:r>
    </w:p>
    <w:p w14:paraId="77FF4E19" w14:textId="77777777" w:rsidR="00C861AB" w:rsidRDefault="00C861AB" w:rsidP="00156D33">
      <w:pPr>
        <w:pStyle w:val="BodyText"/>
        <w:sectPr w:rsidR="00C861AB" w:rsidSect="001250A3">
          <w:headerReference w:type="default" r:id="rId54"/>
          <w:footerReference w:type="default" r:id="rId55"/>
          <w:pgSz w:w="11907" w:h="16840" w:code="9"/>
          <w:pgMar w:top="1701" w:right="1418" w:bottom="851" w:left="1701" w:header="425" w:footer="397" w:gutter="0"/>
          <w:cols w:space="708"/>
          <w:docGrid w:linePitch="360"/>
        </w:sectPr>
      </w:pPr>
    </w:p>
    <w:p w14:paraId="1864100B" w14:textId="0E4B0B97" w:rsidR="00C861AB" w:rsidRDefault="00C861AB" w:rsidP="00594CA3">
      <w:pPr>
        <w:pStyle w:val="Caption"/>
        <w:spacing w:before="0" w:after="0"/>
        <w:rPr>
          <w:rFonts w:asciiTheme="majorHAnsi" w:hAnsiTheme="majorHAnsi" w:cstheme="majorHAnsi"/>
        </w:rPr>
      </w:pPr>
      <w:bookmarkStart w:id="97" w:name="_Ref516416428"/>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9</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bookmarkEnd w:id="97"/>
      <w:r>
        <w:t xml:space="preserve">: </w:t>
      </w:r>
      <w:bookmarkStart w:id="98" w:name="_Hlk516416513"/>
      <w:r w:rsidRPr="00C37D44">
        <w:rPr>
          <w:rFonts w:asciiTheme="majorHAnsi" w:hAnsiTheme="majorHAnsi" w:cstheme="majorHAnsi"/>
        </w:rPr>
        <w:t xml:space="preserve">Final design of the </w:t>
      </w:r>
      <w:r>
        <w:rPr>
          <w:rFonts w:asciiTheme="majorHAnsi" w:hAnsiTheme="majorHAnsi" w:cstheme="majorHAnsi"/>
        </w:rPr>
        <w:t>standard market timetable and arrangements to facilitate the transition to the standard timetable</w:t>
      </w:r>
      <w:bookmarkEnd w:id="98"/>
    </w:p>
    <w:tbl>
      <w:tblPr>
        <w:tblW w:w="5015" w:type="pct"/>
        <w:tblCellMar>
          <w:left w:w="0" w:type="dxa"/>
          <w:right w:w="0" w:type="dxa"/>
        </w:tblCellMar>
        <w:tblLook w:val="0420" w:firstRow="1" w:lastRow="0" w:firstColumn="0" w:lastColumn="0" w:noHBand="0" w:noVBand="1"/>
      </w:tblPr>
      <w:tblGrid>
        <w:gridCol w:w="1693"/>
        <w:gridCol w:w="12048"/>
      </w:tblGrid>
      <w:tr w:rsidR="00A76F4F" w:rsidRPr="00C37D44" w14:paraId="7F5629B8" w14:textId="77777777" w:rsidTr="009A6387">
        <w:trPr>
          <w:trHeight w:val="19"/>
          <w:tblHeader/>
        </w:trPr>
        <w:tc>
          <w:tcPr>
            <w:tcW w:w="616" w:type="pct"/>
            <w:tcBorders>
              <w:top w:val="single" w:sz="4" w:space="0" w:color="auto"/>
              <w:left w:val="single" w:sz="8" w:space="0" w:color="FFFFFF"/>
              <w:bottom w:val="single" w:sz="4" w:space="0" w:color="auto"/>
              <w:right w:val="single" w:sz="4" w:space="0" w:color="auto"/>
            </w:tcBorders>
            <w:shd w:val="clear" w:color="auto" w:fill="0099CC"/>
            <w:tcMar>
              <w:top w:w="72" w:type="dxa"/>
              <w:left w:w="144" w:type="dxa"/>
              <w:bottom w:w="72" w:type="dxa"/>
              <w:right w:w="144" w:type="dxa"/>
            </w:tcMar>
            <w:hideMark/>
          </w:tcPr>
          <w:p w14:paraId="51C82C51" w14:textId="77777777" w:rsidR="00A76F4F" w:rsidRPr="00D30678" w:rsidRDefault="00A76F4F" w:rsidP="009A6387">
            <w:pPr>
              <w:pStyle w:val="BodyText"/>
              <w:keepNext/>
              <w:spacing w:before="0" w:after="40" w:line="247" w:lineRule="auto"/>
              <w:rPr>
                <w:rFonts w:asciiTheme="majorHAnsi" w:hAnsiTheme="majorHAnsi" w:cstheme="majorHAnsi"/>
                <w:color w:val="FFFFFF" w:themeColor="background1"/>
                <w:sz w:val="18"/>
                <w:szCs w:val="18"/>
              </w:rPr>
            </w:pPr>
            <w:r w:rsidRPr="00D30678">
              <w:rPr>
                <w:rFonts w:asciiTheme="majorHAnsi" w:hAnsiTheme="majorHAnsi" w:cstheme="majorHAnsi"/>
                <w:b/>
                <w:bCs/>
                <w:color w:val="FFFFFF" w:themeColor="background1"/>
                <w:sz w:val="18"/>
                <w:szCs w:val="18"/>
              </w:rPr>
              <w:t>Design Element</w:t>
            </w:r>
          </w:p>
        </w:tc>
        <w:tc>
          <w:tcPr>
            <w:tcW w:w="4384" w:type="pct"/>
            <w:tcBorders>
              <w:top w:val="single" w:sz="4" w:space="0" w:color="auto"/>
              <w:left w:val="single" w:sz="4" w:space="0" w:color="auto"/>
              <w:bottom w:val="single" w:sz="4" w:space="0" w:color="auto"/>
              <w:right w:val="single" w:sz="8" w:space="0" w:color="FFFFFF"/>
            </w:tcBorders>
            <w:shd w:val="clear" w:color="auto" w:fill="0099CC"/>
            <w:tcMar>
              <w:top w:w="72" w:type="dxa"/>
              <w:left w:w="144" w:type="dxa"/>
              <w:bottom w:w="72" w:type="dxa"/>
              <w:right w:w="144" w:type="dxa"/>
            </w:tcMar>
            <w:hideMark/>
          </w:tcPr>
          <w:p w14:paraId="075913B8" w14:textId="77777777" w:rsidR="00A76F4F" w:rsidRPr="00F04A8E" w:rsidRDefault="00A76F4F" w:rsidP="009A6387">
            <w:pPr>
              <w:pStyle w:val="BodyText"/>
              <w:keepNext/>
              <w:spacing w:before="0" w:after="40" w:line="247" w:lineRule="auto"/>
              <w:rPr>
                <w:rFonts w:asciiTheme="majorHAnsi" w:hAnsiTheme="majorHAnsi" w:cstheme="majorHAnsi"/>
                <w:color w:val="FFFFFF" w:themeColor="background1"/>
                <w:sz w:val="18"/>
                <w:szCs w:val="18"/>
              </w:rPr>
            </w:pPr>
            <w:r w:rsidRPr="00F04A8E">
              <w:rPr>
                <w:rFonts w:asciiTheme="majorHAnsi" w:hAnsiTheme="majorHAnsi" w:cstheme="majorHAnsi"/>
                <w:b/>
                <w:bCs/>
                <w:color w:val="FFFFFF" w:themeColor="background1"/>
                <w:sz w:val="18"/>
                <w:szCs w:val="18"/>
              </w:rPr>
              <w:t>Detail</w:t>
            </w:r>
          </w:p>
        </w:tc>
      </w:tr>
      <w:tr w:rsidR="00A76F4F" w:rsidRPr="00C37D44" w14:paraId="7D07BC93" w14:textId="77777777" w:rsidTr="00590352">
        <w:trPr>
          <w:trHeight w:val="969"/>
        </w:trPr>
        <w:tc>
          <w:tcPr>
            <w:tcW w:w="616"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hideMark/>
          </w:tcPr>
          <w:p w14:paraId="278B7AAC" w14:textId="77777777" w:rsidR="00A76F4F" w:rsidRPr="00F04A8E" w:rsidRDefault="00F716AC" w:rsidP="009A6387">
            <w:pPr>
              <w:pStyle w:val="BodyText"/>
              <w:spacing w:before="20" w:after="20" w:line="247" w:lineRule="auto"/>
              <w:rPr>
                <w:rFonts w:asciiTheme="majorHAnsi" w:hAnsiTheme="majorHAnsi" w:cstheme="majorHAnsi"/>
                <w:sz w:val="18"/>
                <w:szCs w:val="18"/>
              </w:rPr>
            </w:pPr>
            <w:r>
              <w:rPr>
                <w:rFonts w:asciiTheme="majorHAnsi" w:hAnsiTheme="majorHAnsi" w:cstheme="majorHAnsi"/>
                <w:sz w:val="18"/>
                <w:szCs w:val="18"/>
              </w:rPr>
              <w:t>Standard market timetable</w:t>
            </w:r>
          </w:p>
        </w:tc>
        <w:tc>
          <w:tcPr>
            <w:tcW w:w="4384"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hideMark/>
          </w:tcPr>
          <w:p w14:paraId="2CEDD1A8" w14:textId="77777777" w:rsidR="00A76F4F" w:rsidRPr="00C37D44" w:rsidRDefault="00A76F4F" w:rsidP="009A6387">
            <w:pPr>
              <w:pStyle w:val="BodyText"/>
              <w:spacing w:before="20" w:after="20" w:line="247" w:lineRule="auto"/>
              <w:rPr>
                <w:rFonts w:asciiTheme="majorHAnsi" w:hAnsiTheme="majorHAnsi" w:cstheme="majorHAnsi"/>
                <w:sz w:val="18"/>
                <w:szCs w:val="18"/>
              </w:rPr>
            </w:pPr>
            <w:r w:rsidRPr="00C37D44">
              <w:rPr>
                <w:rFonts w:asciiTheme="majorHAnsi" w:hAnsiTheme="majorHAnsi" w:cstheme="majorHAnsi"/>
                <w:sz w:val="18"/>
                <w:szCs w:val="18"/>
              </w:rPr>
              <w:t xml:space="preserve">The standard market timetable will commence on </w:t>
            </w:r>
            <w:r w:rsidRPr="00C37D44">
              <w:rPr>
                <w:rFonts w:asciiTheme="majorHAnsi" w:hAnsiTheme="majorHAnsi" w:cstheme="majorHAnsi"/>
                <w:b/>
                <w:sz w:val="18"/>
                <w:szCs w:val="18"/>
              </w:rPr>
              <w:t>1 October 2019</w:t>
            </w:r>
            <w:r w:rsidRPr="00C37D44">
              <w:rPr>
                <w:rFonts w:asciiTheme="majorHAnsi" w:hAnsiTheme="majorHAnsi" w:cstheme="majorHAnsi"/>
                <w:sz w:val="18"/>
                <w:szCs w:val="18"/>
              </w:rPr>
              <w:t xml:space="preserve"> and provide for:</w:t>
            </w:r>
          </w:p>
          <w:p w14:paraId="3A90E436" w14:textId="77777777" w:rsidR="00A76F4F" w:rsidRPr="00C37D44" w:rsidRDefault="00A76F4F" w:rsidP="009A6387">
            <w:pPr>
              <w:pStyle w:val="TableBullet1"/>
              <w:spacing w:before="20" w:after="20" w:line="247" w:lineRule="auto"/>
              <w:rPr>
                <w:rFonts w:asciiTheme="majorHAnsi" w:hAnsiTheme="majorHAnsi" w:cstheme="majorHAnsi"/>
              </w:rPr>
            </w:pPr>
            <w:r w:rsidRPr="00C37D44">
              <w:rPr>
                <w:rFonts w:asciiTheme="majorHAnsi" w:hAnsiTheme="majorHAnsi" w:cstheme="majorHAnsi"/>
              </w:rPr>
              <w:t xml:space="preserve">a </w:t>
            </w:r>
            <w:r w:rsidR="00CB0E55">
              <w:rPr>
                <w:rFonts w:asciiTheme="majorHAnsi" w:hAnsiTheme="majorHAnsi" w:cstheme="majorHAnsi"/>
              </w:rPr>
              <w:t xml:space="preserve">standard </w:t>
            </w:r>
            <w:r w:rsidRPr="00C37D44">
              <w:rPr>
                <w:rFonts w:asciiTheme="majorHAnsi" w:hAnsiTheme="majorHAnsi" w:cstheme="majorHAnsi"/>
              </w:rPr>
              <w:t xml:space="preserve">gas day start time of 6 am (AEST) </w:t>
            </w:r>
            <w:r w:rsidR="00756268">
              <w:rPr>
                <w:rFonts w:asciiTheme="majorHAnsi" w:hAnsiTheme="majorHAnsi" w:cstheme="majorHAnsi"/>
              </w:rPr>
              <w:t>to be adopted by</w:t>
            </w:r>
            <w:r w:rsidRPr="00C37D44">
              <w:rPr>
                <w:rFonts w:asciiTheme="majorHAnsi" w:hAnsiTheme="majorHAnsi" w:cstheme="majorHAnsi"/>
              </w:rPr>
              <w:t xml:space="preserve"> the operators of all production, </w:t>
            </w:r>
            <w:r w:rsidR="00E42998">
              <w:rPr>
                <w:rFonts w:asciiTheme="majorHAnsi" w:hAnsiTheme="majorHAnsi" w:cstheme="majorHAnsi"/>
              </w:rPr>
              <w:t xml:space="preserve">transportation </w:t>
            </w:r>
            <w:r w:rsidRPr="00C37D44">
              <w:rPr>
                <w:rFonts w:asciiTheme="majorHAnsi" w:hAnsiTheme="majorHAnsi" w:cstheme="majorHAnsi"/>
              </w:rPr>
              <w:t xml:space="preserve">and storage facilities </w:t>
            </w:r>
            <w:r w:rsidR="00540C48">
              <w:rPr>
                <w:rFonts w:asciiTheme="majorHAnsi" w:hAnsiTheme="majorHAnsi" w:cstheme="majorHAnsi"/>
              </w:rPr>
              <w:t>(excluding those in Western Australia)</w:t>
            </w:r>
            <w:r w:rsidR="00540C48">
              <w:rPr>
                <w:rStyle w:val="FootnoteReference"/>
                <w:rFonts w:asciiTheme="majorHAnsi" w:hAnsiTheme="majorHAnsi" w:cstheme="majorHAnsi"/>
              </w:rPr>
              <w:footnoteReference w:id="378"/>
            </w:r>
            <w:r w:rsidR="00540C48">
              <w:rPr>
                <w:rFonts w:asciiTheme="majorHAnsi" w:hAnsiTheme="majorHAnsi" w:cstheme="majorHAnsi"/>
              </w:rPr>
              <w:t xml:space="preserve"> </w:t>
            </w:r>
            <w:r w:rsidRPr="00C37D44">
              <w:rPr>
                <w:rFonts w:asciiTheme="majorHAnsi" w:hAnsiTheme="majorHAnsi" w:cstheme="majorHAnsi"/>
              </w:rPr>
              <w:t xml:space="preserve">and in the facilitated markets (e.g. the GSH, STTM and retail markets); </w:t>
            </w:r>
          </w:p>
          <w:p w14:paraId="638FBEB6" w14:textId="77777777" w:rsidR="00A76F4F" w:rsidRPr="00C37D44" w:rsidRDefault="00A76F4F" w:rsidP="009A6387">
            <w:pPr>
              <w:pStyle w:val="TableBullet1"/>
              <w:spacing w:before="20" w:after="20" w:line="247" w:lineRule="auto"/>
              <w:rPr>
                <w:rFonts w:asciiTheme="majorHAnsi" w:hAnsiTheme="majorHAnsi" w:cstheme="majorHAnsi"/>
              </w:rPr>
            </w:pPr>
            <w:r w:rsidRPr="00C37D44">
              <w:rPr>
                <w:rFonts w:asciiTheme="majorHAnsi" w:hAnsiTheme="majorHAnsi" w:cstheme="majorHAnsi"/>
              </w:rPr>
              <w:t xml:space="preserve">a </w:t>
            </w:r>
            <w:r w:rsidR="00CB0E55">
              <w:rPr>
                <w:rFonts w:asciiTheme="majorHAnsi" w:hAnsiTheme="majorHAnsi" w:cstheme="majorHAnsi"/>
              </w:rPr>
              <w:t xml:space="preserve">standard </w:t>
            </w:r>
            <w:r w:rsidRPr="00C37D44">
              <w:rPr>
                <w:rFonts w:asciiTheme="majorHAnsi" w:hAnsiTheme="majorHAnsi" w:cstheme="majorHAnsi"/>
              </w:rPr>
              <w:t xml:space="preserve">nomination cut-off time of 3 pm (AEST) </w:t>
            </w:r>
            <w:r w:rsidR="00756268">
              <w:rPr>
                <w:rFonts w:asciiTheme="majorHAnsi" w:hAnsiTheme="majorHAnsi" w:cstheme="majorHAnsi"/>
              </w:rPr>
              <w:t xml:space="preserve">to be adopted by </w:t>
            </w:r>
            <w:r w:rsidR="00CF2EAC">
              <w:rPr>
                <w:rFonts w:asciiTheme="majorHAnsi" w:hAnsiTheme="majorHAnsi" w:cstheme="majorHAnsi"/>
              </w:rPr>
              <w:t>the operators of Part 24 facilities</w:t>
            </w:r>
            <w:r w:rsidR="00756268">
              <w:rPr>
                <w:rFonts w:asciiTheme="majorHAnsi" w:hAnsiTheme="majorHAnsi" w:cstheme="majorHAnsi"/>
              </w:rPr>
              <w:t xml:space="preserve"> and auction facilities</w:t>
            </w:r>
            <w:r w:rsidRPr="00C37D44">
              <w:rPr>
                <w:rFonts w:asciiTheme="majorHAnsi" w:hAnsiTheme="majorHAnsi" w:cstheme="majorHAnsi"/>
              </w:rPr>
              <w:t xml:space="preserve">; and </w:t>
            </w:r>
          </w:p>
          <w:p w14:paraId="1C9436D1" w14:textId="77777777" w:rsidR="00A76F4F" w:rsidRPr="00C37D44" w:rsidRDefault="00A76F4F" w:rsidP="009A6387">
            <w:pPr>
              <w:pStyle w:val="TableBullet1"/>
              <w:spacing w:before="20" w:after="20" w:line="247" w:lineRule="auto"/>
              <w:rPr>
                <w:rFonts w:asciiTheme="majorHAnsi" w:hAnsiTheme="majorHAnsi" w:cstheme="majorHAnsi"/>
              </w:rPr>
            </w:pPr>
            <w:r w:rsidRPr="00C37D44">
              <w:rPr>
                <w:rFonts w:asciiTheme="majorHAnsi" w:hAnsiTheme="majorHAnsi" w:cstheme="majorHAnsi"/>
              </w:rPr>
              <w:t>a</w:t>
            </w:r>
            <w:r w:rsidR="00F9038F">
              <w:rPr>
                <w:rFonts w:asciiTheme="majorHAnsi" w:hAnsiTheme="majorHAnsi" w:cstheme="majorHAnsi"/>
              </w:rPr>
              <w:t xml:space="preserve"> </w:t>
            </w:r>
            <w:r w:rsidR="00CB0E55">
              <w:rPr>
                <w:rFonts w:asciiTheme="majorHAnsi" w:hAnsiTheme="majorHAnsi" w:cstheme="majorHAnsi"/>
              </w:rPr>
              <w:t xml:space="preserve">standard </w:t>
            </w:r>
            <w:r w:rsidRPr="00C37D44">
              <w:rPr>
                <w:rFonts w:asciiTheme="majorHAnsi" w:hAnsiTheme="majorHAnsi" w:cstheme="majorHAnsi"/>
              </w:rPr>
              <w:t xml:space="preserve">auction service nomination cut-off time of 6:45 pm (AEST) </w:t>
            </w:r>
            <w:r w:rsidR="00756268">
              <w:rPr>
                <w:rFonts w:asciiTheme="majorHAnsi" w:hAnsiTheme="majorHAnsi" w:cstheme="majorHAnsi"/>
              </w:rPr>
              <w:t xml:space="preserve">to be adopted by </w:t>
            </w:r>
            <w:r w:rsidR="00CF2EAC">
              <w:rPr>
                <w:rFonts w:asciiTheme="majorHAnsi" w:hAnsiTheme="majorHAnsi" w:cstheme="majorHAnsi"/>
              </w:rPr>
              <w:t>the operators of auction facilities</w:t>
            </w:r>
            <w:r w:rsidRPr="00C37D44">
              <w:rPr>
                <w:rFonts w:asciiTheme="majorHAnsi" w:hAnsiTheme="majorHAnsi" w:cstheme="majorHAnsi"/>
              </w:rPr>
              <w:t>.</w:t>
            </w:r>
          </w:p>
        </w:tc>
      </w:tr>
      <w:tr w:rsidR="00A76F4F" w:rsidRPr="00C37D44" w14:paraId="62EBB3FD" w14:textId="77777777" w:rsidTr="00590352">
        <w:trPr>
          <w:trHeight w:val="114"/>
        </w:trPr>
        <w:tc>
          <w:tcPr>
            <w:tcW w:w="616" w:type="pct"/>
            <w:tcBorders>
              <w:top w:val="single" w:sz="4" w:space="0" w:color="auto"/>
              <w:bottom w:val="single" w:sz="4" w:space="0" w:color="auto"/>
              <w:right w:val="single" w:sz="4" w:space="0" w:color="auto"/>
            </w:tcBorders>
            <w:shd w:val="clear" w:color="auto" w:fill="E1E2E7" w:themeFill="background2"/>
            <w:tcMar>
              <w:top w:w="72" w:type="dxa"/>
              <w:left w:w="144" w:type="dxa"/>
              <w:bottom w:w="72" w:type="dxa"/>
              <w:right w:w="144" w:type="dxa"/>
            </w:tcMar>
          </w:tcPr>
          <w:p w14:paraId="2CDA4CA3" w14:textId="77777777" w:rsidR="00A76F4F" w:rsidRPr="00485260" w:rsidRDefault="00A76F4F" w:rsidP="009A6387">
            <w:pPr>
              <w:pStyle w:val="BodyText"/>
              <w:spacing w:before="60" w:after="60" w:line="247" w:lineRule="auto"/>
              <w:rPr>
                <w:rFonts w:asciiTheme="majorHAnsi" w:hAnsiTheme="majorHAnsi" w:cstheme="majorHAnsi"/>
                <w:sz w:val="18"/>
                <w:szCs w:val="18"/>
              </w:rPr>
            </w:pPr>
            <w:r w:rsidRPr="00485260">
              <w:rPr>
                <w:rFonts w:asciiTheme="majorHAnsi" w:hAnsiTheme="majorHAnsi" w:cstheme="majorHAnsi"/>
                <w:sz w:val="18"/>
                <w:szCs w:val="18"/>
              </w:rPr>
              <w:t xml:space="preserve">Transition to the </w:t>
            </w:r>
            <w:r w:rsidR="00485260" w:rsidRPr="00485260">
              <w:rPr>
                <w:rFonts w:asciiTheme="majorHAnsi" w:hAnsiTheme="majorHAnsi" w:cstheme="majorHAnsi"/>
                <w:sz w:val="18"/>
                <w:szCs w:val="18"/>
              </w:rPr>
              <w:t>standard market timetable</w:t>
            </w:r>
          </w:p>
        </w:tc>
        <w:tc>
          <w:tcPr>
            <w:tcW w:w="4384" w:type="pct"/>
            <w:tcBorders>
              <w:top w:val="single" w:sz="4" w:space="0" w:color="auto"/>
              <w:left w:val="single" w:sz="4" w:space="0" w:color="auto"/>
              <w:bottom w:val="single" w:sz="4" w:space="0" w:color="auto"/>
            </w:tcBorders>
            <w:shd w:val="clear" w:color="auto" w:fill="E1E2E7" w:themeFill="background2"/>
            <w:tcMar>
              <w:top w:w="72" w:type="dxa"/>
              <w:left w:w="144" w:type="dxa"/>
              <w:bottom w:w="72" w:type="dxa"/>
              <w:right w:w="144" w:type="dxa"/>
            </w:tcMar>
          </w:tcPr>
          <w:p w14:paraId="4DBADF28" w14:textId="77777777" w:rsidR="00A76F4F" w:rsidRPr="00485260" w:rsidRDefault="00A76F4F" w:rsidP="009A6387">
            <w:pPr>
              <w:pStyle w:val="TableBullet1"/>
              <w:numPr>
                <w:ilvl w:val="0"/>
                <w:numId w:val="0"/>
              </w:numPr>
              <w:spacing w:line="247" w:lineRule="auto"/>
              <w:ind w:left="85"/>
              <w:rPr>
                <w:rFonts w:asciiTheme="majorHAnsi" w:hAnsiTheme="majorHAnsi" w:cstheme="majorHAnsi"/>
                <w:szCs w:val="18"/>
              </w:rPr>
            </w:pPr>
            <w:r w:rsidRPr="00485260">
              <w:rPr>
                <w:rFonts w:asciiTheme="majorHAnsi" w:hAnsiTheme="majorHAnsi" w:cstheme="majorHAnsi"/>
                <w:szCs w:val="18"/>
              </w:rPr>
              <w:t>To help market participants transition to the standard market timetable:</w:t>
            </w:r>
          </w:p>
          <w:p w14:paraId="150FE87C" w14:textId="77777777" w:rsidR="00A76F4F" w:rsidRPr="00485260" w:rsidRDefault="00A76F4F" w:rsidP="009A6387">
            <w:pPr>
              <w:pStyle w:val="TableBullet1"/>
              <w:spacing w:line="247" w:lineRule="auto"/>
              <w:rPr>
                <w:rFonts w:asciiTheme="majorHAnsi" w:hAnsiTheme="majorHAnsi" w:cstheme="majorHAnsi"/>
                <w:szCs w:val="18"/>
              </w:rPr>
            </w:pPr>
            <w:r w:rsidRPr="00485260">
              <w:rPr>
                <w:rFonts w:asciiTheme="majorHAnsi" w:hAnsiTheme="majorHAnsi" w:cstheme="majorHAnsi"/>
                <w:b/>
                <w:szCs w:val="18"/>
              </w:rPr>
              <w:t>AEMO</w:t>
            </w:r>
            <w:r w:rsidRPr="00485260">
              <w:rPr>
                <w:rFonts w:asciiTheme="majorHAnsi" w:hAnsiTheme="majorHAnsi" w:cstheme="majorHAnsi"/>
                <w:szCs w:val="18"/>
              </w:rPr>
              <w:t xml:space="preserve"> </w:t>
            </w:r>
            <w:r w:rsidR="00F9038F" w:rsidRPr="00485260">
              <w:rPr>
                <w:rFonts w:asciiTheme="majorHAnsi" w:hAnsiTheme="majorHAnsi" w:cstheme="majorHAnsi"/>
                <w:szCs w:val="18"/>
              </w:rPr>
              <w:t xml:space="preserve">must </w:t>
            </w:r>
            <w:r w:rsidRPr="00485260">
              <w:rPr>
                <w:rFonts w:asciiTheme="majorHAnsi" w:hAnsiTheme="majorHAnsi" w:cstheme="majorHAnsi"/>
                <w:szCs w:val="18"/>
              </w:rPr>
              <w:t>publish information on the arrangements to transition to the standard gas day in each facilitated market by 1 April 2019</w:t>
            </w:r>
            <w:r w:rsidR="00485260" w:rsidRPr="00485260">
              <w:rPr>
                <w:rFonts w:asciiTheme="majorHAnsi" w:hAnsiTheme="majorHAnsi" w:cstheme="majorHAnsi"/>
                <w:szCs w:val="18"/>
              </w:rPr>
              <w:t>.</w:t>
            </w:r>
            <w:r w:rsidR="00485260" w:rsidRPr="00485260">
              <w:rPr>
                <w:rStyle w:val="FootnoteReference"/>
                <w:rFonts w:asciiTheme="majorHAnsi" w:hAnsiTheme="majorHAnsi" w:cstheme="majorHAnsi"/>
                <w:szCs w:val="18"/>
              </w:rPr>
              <w:footnoteReference w:id="379"/>
            </w:r>
            <w:r w:rsidRPr="00485260">
              <w:rPr>
                <w:rFonts w:asciiTheme="majorHAnsi" w:hAnsiTheme="majorHAnsi" w:cstheme="majorHAnsi"/>
                <w:szCs w:val="18"/>
              </w:rPr>
              <w:t xml:space="preserve"> </w:t>
            </w:r>
          </w:p>
          <w:p w14:paraId="1E56A68E" w14:textId="77777777" w:rsidR="00CB0E55" w:rsidRPr="00695D95" w:rsidRDefault="00E42998" w:rsidP="009A6387">
            <w:pPr>
              <w:pStyle w:val="TableBullet1"/>
              <w:spacing w:line="247" w:lineRule="auto"/>
            </w:pPr>
            <w:r w:rsidRPr="003B2B86">
              <w:rPr>
                <w:b/>
                <w:szCs w:val="18"/>
              </w:rPr>
              <w:t xml:space="preserve">Production, transportation and storage </w:t>
            </w:r>
            <w:r w:rsidR="00594CA3" w:rsidRPr="003B2B86">
              <w:rPr>
                <w:b/>
                <w:szCs w:val="18"/>
              </w:rPr>
              <w:t>f</w:t>
            </w:r>
            <w:r w:rsidR="00A76F4F" w:rsidRPr="003B2B86">
              <w:rPr>
                <w:b/>
                <w:szCs w:val="18"/>
              </w:rPr>
              <w:t>acility operators</w:t>
            </w:r>
            <w:r w:rsidR="00594CA3" w:rsidRPr="002A7D69">
              <w:rPr>
                <w:rStyle w:val="FootnoteReference"/>
                <w:szCs w:val="18"/>
              </w:rPr>
              <w:footnoteReference w:id="380"/>
            </w:r>
            <w:r w:rsidR="00A76F4F" w:rsidRPr="003B2B86">
              <w:rPr>
                <w:b/>
                <w:szCs w:val="18"/>
              </w:rPr>
              <w:t xml:space="preserve"> </w:t>
            </w:r>
            <w:r w:rsidR="00594CA3" w:rsidRPr="003B2B86">
              <w:rPr>
                <w:szCs w:val="18"/>
              </w:rPr>
              <w:t xml:space="preserve">that </w:t>
            </w:r>
            <w:r w:rsidR="00A76F4F" w:rsidRPr="003B2B86">
              <w:rPr>
                <w:szCs w:val="18"/>
              </w:rPr>
              <w:t xml:space="preserve">provide services to third parties </w:t>
            </w:r>
            <w:r w:rsidR="00F9038F" w:rsidRPr="003B2B86">
              <w:rPr>
                <w:szCs w:val="18"/>
              </w:rPr>
              <w:t xml:space="preserve">must </w:t>
            </w:r>
            <w:r w:rsidR="00A76F4F" w:rsidRPr="003B2B86">
              <w:rPr>
                <w:szCs w:val="18"/>
              </w:rPr>
              <w:t xml:space="preserve">publish </w:t>
            </w:r>
            <w:r w:rsidR="00485260" w:rsidRPr="003B2B86">
              <w:rPr>
                <w:szCs w:val="18"/>
              </w:rPr>
              <w:t xml:space="preserve">and provide to AEMO </w:t>
            </w:r>
            <w:r w:rsidR="00A76F4F" w:rsidRPr="003B2B86">
              <w:rPr>
                <w:szCs w:val="18"/>
              </w:rPr>
              <w:t xml:space="preserve">information about the </w:t>
            </w:r>
            <w:r w:rsidR="00485260" w:rsidRPr="003B2B86">
              <w:rPr>
                <w:szCs w:val="18"/>
              </w:rPr>
              <w:t>facilit</w:t>
            </w:r>
            <w:r w:rsidR="00594CA3" w:rsidRPr="003B2B86">
              <w:rPr>
                <w:szCs w:val="18"/>
              </w:rPr>
              <w:t>y’s</w:t>
            </w:r>
            <w:r w:rsidR="00485260" w:rsidRPr="003B2B86">
              <w:rPr>
                <w:szCs w:val="18"/>
              </w:rPr>
              <w:t xml:space="preserve"> </w:t>
            </w:r>
            <w:r w:rsidR="00A76F4F" w:rsidRPr="003B2B86">
              <w:rPr>
                <w:szCs w:val="18"/>
              </w:rPr>
              <w:t xml:space="preserve">transition to the standard </w:t>
            </w:r>
            <w:r w:rsidR="00594CA3" w:rsidRPr="003B2B86">
              <w:rPr>
                <w:szCs w:val="18"/>
              </w:rPr>
              <w:t xml:space="preserve">market timetable </w:t>
            </w:r>
            <w:r w:rsidR="00A76F4F" w:rsidRPr="003B2B86">
              <w:rPr>
                <w:szCs w:val="18"/>
              </w:rPr>
              <w:t>by the earlier of</w:t>
            </w:r>
            <w:r w:rsidR="00CB0E55">
              <w:rPr>
                <w:szCs w:val="18"/>
              </w:rPr>
              <w:t>:</w:t>
            </w:r>
            <w:r w:rsidR="00A76F4F" w:rsidRPr="003B2B86">
              <w:rPr>
                <w:szCs w:val="18"/>
              </w:rPr>
              <w:t xml:space="preserve"> </w:t>
            </w:r>
          </w:p>
          <w:p w14:paraId="7D405054" w14:textId="77777777" w:rsidR="00CB0E55" w:rsidRPr="00695D95" w:rsidRDefault="00A76F4F" w:rsidP="009A6387">
            <w:pPr>
              <w:pStyle w:val="TableBullet2"/>
              <w:spacing w:line="247" w:lineRule="auto"/>
            </w:pPr>
            <w:r w:rsidRPr="003B2B86">
              <w:t>30 June 2019</w:t>
            </w:r>
            <w:r w:rsidR="00CB0E55">
              <w:t>;</w:t>
            </w:r>
            <w:r w:rsidRPr="003B2B86">
              <w:t xml:space="preserve"> and </w:t>
            </w:r>
          </w:p>
          <w:p w14:paraId="27568FF1" w14:textId="77777777" w:rsidR="00CB0E55" w:rsidRPr="00695D95" w:rsidRDefault="00A76F4F" w:rsidP="009A6387">
            <w:pPr>
              <w:pStyle w:val="TableBullet2"/>
              <w:spacing w:line="247" w:lineRule="auto"/>
            </w:pPr>
            <w:r w:rsidRPr="003B2B86">
              <w:t>20 business days before they implement the new gas day</w:t>
            </w:r>
            <w:r w:rsidR="00485260" w:rsidRPr="003B2B86">
              <w:t xml:space="preserve"> (this information may be updated from time to time)</w:t>
            </w:r>
            <w:r w:rsidRPr="003B2B86">
              <w:t>.</w:t>
            </w:r>
            <w:r w:rsidR="00485260" w:rsidRPr="00485260">
              <w:rPr>
                <w:rStyle w:val="FootnoteReference"/>
                <w:rFonts w:asciiTheme="majorHAnsi" w:hAnsiTheme="majorHAnsi" w:cstheme="majorHAnsi"/>
                <w:szCs w:val="18"/>
              </w:rPr>
              <w:footnoteReference w:id="381"/>
            </w:r>
            <w:r w:rsidR="00485260" w:rsidRPr="003B2B86">
              <w:t xml:space="preserve"> </w:t>
            </w:r>
          </w:p>
          <w:p w14:paraId="3EDCD9E8" w14:textId="77777777" w:rsidR="00485260" w:rsidRDefault="00485260" w:rsidP="009A6387">
            <w:pPr>
              <w:pStyle w:val="TableBullet1"/>
              <w:numPr>
                <w:ilvl w:val="0"/>
                <w:numId w:val="0"/>
              </w:numPr>
              <w:spacing w:line="247" w:lineRule="auto"/>
              <w:ind w:left="312"/>
            </w:pPr>
            <w:r w:rsidRPr="003B2B86">
              <w:rPr>
                <w:szCs w:val="18"/>
              </w:rPr>
              <w:t>To encourage a consistent approach</w:t>
            </w:r>
            <w:r w:rsidR="00CB0E55">
              <w:rPr>
                <w:szCs w:val="18"/>
              </w:rPr>
              <w:t xml:space="preserve"> to the transition</w:t>
            </w:r>
            <w:r w:rsidRPr="003B2B86">
              <w:rPr>
                <w:szCs w:val="18"/>
              </w:rPr>
              <w:t xml:space="preserve">, facility operators </w:t>
            </w:r>
            <w:r w:rsidR="00E42998" w:rsidRPr="003B2B86">
              <w:rPr>
                <w:szCs w:val="18"/>
              </w:rPr>
              <w:t xml:space="preserve">are </w:t>
            </w:r>
            <w:r w:rsidRPr="003B2B86">
              <w:rPr>
                <w:szCs w:val="18"/>
              </w:rPr>
              <w:t>required to use reasonable endeavours to ensure the arrangements are, to the extent reasonably practicable, consistent with</w:t>
            </w:r>
            <w:r w:rsidR="003B2B86" w:rsidRPr="003B2B86">
              <w:rPr>
                <w:szCs w:val="18"/>
              </w:rPr>
              <w:t xml:space="preserve"> </w:t>
            </w:r>
            <w:r>
              <w:t xml:space="preserve">the arrangements adopted by a </w:t>
            </w:r>
            <w:r w:rsidR="00594CA3">
              <w:t xml:space="preserve">connecting </w:t>
            </w:r>
            <w:r>
              <w:t>facility and the facilitated gas markets to which its facility is connected.</w:t>
            </w:r>
            <w:r w:rsidR="0019671E">
              <w:rPr>
                <w:rStyle w:val="FootnoteReference"/>
              </w:rPr>
              <w:footnoteReference w:id="382"/>
            </w:r>
            <w:r>
              <w:t xml:space="preserve"> </w:t>
            </w:r>
          </w:p>
          <w:p w14:paraId="39A06C74" w14:textId="578243B1" w:rsidR="00CB0E55" w:rsidRDefault="00485260" w:rsidP="009A6387">
            <w:pPr>
              <w:pStyle w:val="TableBullet1"/>
              <w:numPr>
                <w:ilvl w:val="0"/>
                <w:numId w:val="0"/>
              </w:numPr>
              <w:spacing w:line="247" w:lineRule="auto"/>
              <w:ind w:left="85"/>
              <w:rPr>
                <w:rFonts w:asciiTheme="majorHAnsi" w:hAnsiTheme="majorHAnsi" w:cstheme="majorHAnsi"/>
                <w:szCs w:val="18"/>
              </w:rPr>
            </w:pPr>
            <w:r>
              <w:rPr>
                <w:szCs w:val="18"/>
              </w:rPr>
              <w:t xml:space="preserve">The </w:t>
            </w:r>
            <w:r w:rsidRPr="00485260">
              <w:rPr>
                <w:szCs w:val="18"/>
              </w:rPr>
              <w:t xml:space="preserve">information </w:t>
            </w:r>
            <w:r>
              <w:rPr>
                <w:szCs w:val="18"/>
              </w:rPr>
              <w:t xml:space="preserve">published by facility operators </w:t>
            </w:r>
            <w:r w:rsidRPr="00485260">
              <w:rPr>
                <w:szCs w:val="18"/>
              </w:rPr>
              <w:t xml:space="preserve">must </w:t>
            </w:r>
            <w:r w:rsidR="0019671E">
              <w:rPr>
                <w:szCs w:val="18"/>
              </w:rPr>
              <w:t xml:space="preserve">include information </w:t>
            </w:r>
            <w:r w:rsidRPr="00485260">
              <w:rPr>
                <w:szCs w:val="18"/>
              </w:rPr>
              <w:t xml:space="preserve">that would reasonably </w:t>
            </w:r>
            <w:r w:rsidR="00C855EC">
              <w:rPr>
                <w:szCs w:val="18"/>
              </w:rPr>
              <w:t xml:space="preserve">be </w:t>
            </w:r>
            <w:r w:rsidRPr="00485260">
              <w:rPr>
                <w:szCs w:val="18"/>
              </w:rPr>
              <w:t xml:space="preserve">expected to be required by a person to whom services are provided by means of the facility, the operator of a facility to which its facility is connected, or AEMO in its capacity as operator of a </w:t>
            </w:r>
            <w:r w:rsidRPr="00485260">
              <w:rPr>
                <w:rFonts w:asciiTheme="majorHAnsi" w:hAnsiTheme="majorHAnsi" w:cstheme="majorHAnsi"/>
                <w:szCs w:val="18"/>
              </w:rPr>
              <w:t>gas market. The information could, for example, include</w:t>
            </w:r>
            <w:r w:rsidR="0019671E">
              <w:rPr>
                <w:rFonts w:asciiTheme="majorHAnsi" w:hAnsiTheme="majorHAnsi" w:cstheme="majorHAnsi"/>
                <w:szCs w:val="18"/>
              </w:rPr>
              <w:t>:</w:t>
            </w:r>
            <w:r w:rsidRPr="00485260">
              <w:rPr>
                <w:rFonts w:asciiTheme="majorHAnsi" w:hAnsiTheme="majorHAnsi" w:cstheme="majorHAnsi"/>
                <w:szCs w:val="18"/>
              </w:rPr>
              <w:t xml:space="preserve"> </w:t>
            </w:r>
          </w:p>
          <w:p w14:paraId="5A6D6971" w14:textId="77777777" w:rsidR="00CB0E55" w:rsidRDefault="00485260" w:rsidP="009A6387">
            <w:pPr>
              <w:pStyle w:val="TableBullet1"/>
              <w:spacing w:line="247" w:lineRule="auto"/>
            </w:pPr>
            <w:r w:rsidRPr="00485260">
              <w:t xml:space="preserve">the nomination and scheduling </w:t>
            </w:r>
            <w:r>
              <w:t xml:space="preserve">arrangements </w:t>
            </w:r>
            <w:r w:rsidRPr="00485260">
              <w:t>on the last gas day before the timetable applies to the facility (if it will be shorter than 24 hours</w:t>
            </w:r>
            <w:r w:rsidR="00CB0E55" w:rsidRPr="00485260">
              <w:t>)</w:t>
            </w:r>
            <w:r w:rsidR="00CB0E55">
              <w:t>;</w:t>
            </w:r>
            <w:r w:rsidR="00CB0E55" w:rsidRPr="00485260">
              <w:t xml:space="preserve"> </w:t>
            </w:r>
          </w:p>
          <w:p w14:paraId="327302F2" w14:textId="77777777" w:rsidR="00CB0E55" w:rsidRDefault="00485260" w:rsidP="009A6387">
            <w:pPr>
              <w:pStyle w:val="TableBullet1"/>
              <w:spacing w:line="247" w:lineRule="auto"/>
            </w:pPr>
            <w:r w:rsidRPr="00485260">
              <w:t>any adjustments to capacity entitlements for that day for nomination, scheduling and billing purposes</w:t>
            </w:r>
            <w:r w:rsidR="00CB0E55">
              <w:t>;</w:t>
            </w:r>
            <w:r w:rsidRPr="00485260">
              <w:t xml:space="preserve"> and </w:t>
            </w:r>
          </w:p>
          <w:p w14:paraId="0144D12A" w14:textId="77777777" w:rsidR="00485260" w:rsidRPr="00485260" w:rsidRDefault="00485260" w:rsidP="009A6387">
            <w:pPr>
              <w:pStyle w:val="TableBullet1"/>
              <w:spacing w:line="247" w:lineRule="auto"/>
            </w:pPr>
            <w:r w:rsidRPr="00485260">
              <w:t>the proposed date for the transition (or parts of it, such as metering), if earlier than the transition date.</w:t>
            </w:r>
            <w:r w:rsidR="00EE0806">
              <w:rPr>
                <w:rStyle w:val="FootnoteReference"/>
                <w:rFonts w:asciiTheme="majorHAnsi" w:hAnsiTheme="majorHAnsi" w:cstheme="majorHAnsi"/>
                <w:szCs w:val="18"/>
              </w:rPr>
              <w:footnoteReference w:id="383"/>
            </w:r>
          </w:p>
          <w:p w14:paraId="4818E42A" w14:textId="77777777" w:rsidR="00DB1CFC" w:rsidRDefault="00F9038F" w:rsidP="009A6387">
            <w:pPr>
              <w:pStyle w:val="TableBullet1"/>
              <w:numPr>
                <w:ilvl w:val="0"/>
                <w:numId w:val="0"/>
              </w:numPr>
              <w:spacing w:line="247" w:lineRule="auto"/>
              <w:ind w:left="85"/>
              <w:rPr>
                <w:rFonts w:asciiTheme="majorHAnsi" w:hAnsiTheme="majorHAnsi" w:cstheme="majorHAnsi"/>
                <w:szCs w:val="18"/>
                <w:lang w:val="en-US"/>
              </w:rPr>
            </w:pPr>
            <w:r w:rsidRPr="00485260">
              <w:rPr>
                <w:rFonts w:asciiTheme="majorHAnsi" w:hAnsiTheme="majorHAnsi" w:cstheme="majorHAnsi"/>
                <w:szCs w:val="18"/>
              </w:rPr>
              <w:t xml:space="preserve">In those cases where contracts must be amended to implement the standard market timetable, </w:t>
            </w:r>
            <w:r w:rsidRPr="00485260">
              <w:rPr>
                <w:rFonts w:asciiTheme="majorHAnsi" w:hAnsiTheme="majorHAnsi" w:cstheme="majorHAnsi"/>
                <w:szCs w:val="18"/>
                <w:lang w:val="en-US"/>
              </w:rPr>
              <w:t xml:space="preserve">parties </w:t>
            </w:r>
            <w:r w:rsidR="00DB1CFC">
              <w:rPr>
                <w:rFonts w:asciiTheme="majorHAnsi" w:hAnsiTheme="majorHAnsi" w:cstheme="majorHAnsi"/>
                <w:szCs w:val="18"/>
                <w:lang w:val="en-US"/>
              </w:rPr>
              <w:t xml:space="preserve">must </w:t>
            </w:r>
            <w:r w:rsidRPr="00485260">
              <w:rPr>
                <w:rFonts w:asciiTheme="majorHAnsi" w:hAnsiTheme="majorHAnsi" w:cstheme="majorHAnsi"/>
                <w:szCs w:val="18"/>
                <w:lang w:val="en-US"/>
              </w:rPr>
              <w:t xml:space="preserve">negotiate in good faith to amend their contracts and </w:t>
            </w:r>
            <w:r w:rsidR="00DB1CFC">
              <w:rPr>
                <w:rFonts w:asciiTheme="majorHAnsi" w:hAnsiTheme="majorHAnsi" w:cstheme="majorHAnsi"/>
                <w:szCs w:val="18"/>
                <w:lang w:val="en-US"/>
              </w:rPr>
              <w:t xml:space="preserve">can </w:t>
            </w:r>
            <w:r w:rsidRPr="00485260">
              <w:rPr>
                <w:rFonts w:asciiTheme="majorHAnsi" w:hAnsiTheme="majorHAnsi" w:cstheme="majorHAnsi"/>
                <w:szCs w:val="18"/>
                <w:lang w:val="en-US"/>
              </w:rPr>
              <w:t xml:space="preserve">have recourse to a dispute resolution mechanism </w:t>
            </w:r>
            <w:r w:rsidR="00CB0E55">
              <w:rPr>
                <w:rFonts w:asciiTheme="majorHAnsi" w:hAnsiTheme="majorHAnsi" w:cstheme="majorHAnsi"/>
                <w:szCs w:val="18"/>
                <w:lang w:val="en-US"/>
              </w:rPr>
              <w:t>if the mechanism in their contract does not apply to this type of dispute</w:t>
            </w:r>
            <w:r w:rsidRPr="00485260">
              <w:rPr>
                <w:rFonts w:asciiTheme="majorHAnsi" w:hAnsiTheme="majorHAnsi" w:cstheme="majorHAnsi"/>
                <w:szCs w:val="18"/>
                <w:lang w:val="en-US"/>
              </w:rPr>
              <w:t>.</w:t>
            </w:r>
            <w:r w:rsidR="00594CA3">
              <w:rPr>
                <w:rStyle w:val="FootnoteReference"/>
                <w:rFonts w:asciiTheme="majorHAnsi" w:hAnsiTheme="majorHAnsi" w:cstheme="majorHAnsi"/>
                <w:szCs w:val="18"/>
                <w:lang w:val="en-US"/>
              </w:rPr>
              <w:footnoteReference w:id="384"/>
            </w:r>
            <w:r w:rsidRPr="00485260">
              <w:rPr>
                <w:rFonts w:asciiTheme="majorHAnsi" w:hAnsiTheme="majorHAnsi" w:cstheme="majorHAnsi"/>
                <w:szCs w:val="18"/>
                <w:lang w:val="en-US"/>
              </w:rPr>
              <w:t xml:space="preserve"> </w:t>
            </w:r>
          </w:p>
          <w:p w14:paraId="7DF60A07" w14:textId="77777777" w:rsidR="00F9038F" w:rsidRPr="00485260" w:rsidRDefault="00F9038F" w:rsidP="009A6387">
            <w:pPr>
              <w:pStyle w:val="TableBullet1"/>
              <w:numPr>
                <w:ilvl w:val="0"/>
                <w:numId w:val="0"/>
              </w:numPr>
              <w:spacing w:line="247" w:lineRule="auto"/>
              <w:ind w:left="85"/>
              <w:rPr>
                <w:rFonts w:asciiTheme="majorHAnsi" w:hAnsiTheme="majorHAnsi" w:cstheme="majorHAnsi"/>
                <w:szCs w:val="18"/>
              </w:rPr>
            </w:pPr>
            <w:r w:rsidRPr="00485260">
              <w:rPr>
                <w:rFonts w:asciiTheme="majorHAnsi" w:hAnsiTheme="majorHAnsi" w:cstheme="majorHAnsi"/>
                <w:szCs w:val="18"/>
                <w:lang w:val="en-US"/>
              </w:rPr>
              <w:t xml:space="preserve">Those required to implement the standard market timetable will also have a transitional immunity from </w:t>
            </w:r>
            <w:r w:rsidR="001E4302">
              <w:rPr>
                <w:rFonts w:asciiTheme="majorHAnsi" w:hAnsiTheme="majorHAnsi" w:cstheme="majorHAnsi"/>
                <w:szCs w:val="18"/>
                <w:lang w:val="en-US"/>
              </w:rPr>
              <w:t xml:space="preserve">any </w:t>
            </w:r>
            <w:r w:rsidRPr="00485260">
              <w:rPr>
                <w:rFonts w:asciiTheme="majorHAnsi" w:hAnsiTheme="majorHAnsi" w:cstheme="majorHAnsi"/>
                <w:szCs w:val="18"/>
                <w:lang w:val="en-US"/>
              </w:rPr>
              <w:t xml:space="preserve">civil monetary liability they may incur from </w:t>
            </w:r>
            <w:r w:rsidR="001E4302">
              <w:rPr>
                <w:rFonts w:asciiTheme="majorHAnsi" w:hAnsiTheme="majorHAnsi" w:cstheme="majorHAnsi"/>
                <w:szCs w:val="18"/>
                <w:lang w:val="en-US"/>
              </w:rPr>
              <w:t xml:space="preserve">the </w:t>
            </w:r>
            <w:r w:rsidRPr="00485260">
              <w:rPr>
                <w:rFonts w:asciiTheme="majorHAnsi" w:hAnsiTheme="majorHAnsi" w:cstheme="majorHAnsi"/>
                <w:szCs w:val="18"/>
                <w:lang w:val="en-US"/>
              </w:rPr>
              <w:t>use of the standard market timetable</w:t>
            </w:r>
            <w:r w:rsidR="001E4302">
              <w:rPr>
                <w:rFonts w:asciiTheme="majorHAnsi" w:hAnsiTheme="majorHAnsi" w:cstheme="majorHAnsi"/>
                <w:szCs w:val="18"/>
                <w:lang w:val="en-US"/>
              </w:rPr>
              <w:t xml:space="preserve"> under their existing contracts</w:t>
            </w:r>
            <w:r w:rsidRPr="00485260">
              <w:rPr>
                <w:rFonts w:asciiTheme="majorHAnsi" w:hAnsiTheme="majorHAnsi" w:cstheme="majorHAnsi"/>
                <w:szCs w:val="18"/>
                <w:lang w:val="en-US"/>
              </w:rPr>
              <w:t>.</w:t>
            </w:r>
            <w:r w:rsidR="00594CA3">
              <w:rPr>
                <w:rStyle w:val="FootnoteReference"/>
                <w:rFonts w:asciiTheme="majorHAnsi" w:hAnsiTheme="majorHAnsi" w:cstheme="majorHAnsi"/>
                <w:szCs w:val="18"/>
                <w:lang w:val="en-US"/>
              </w:rPr>
              <w:footnoteReference w:id="385"/>
            </w:r>
            <w:r w:rsidRPr="00485260">
              <w:rPr>
                <w:rFonts w:asciiTheme="majorHAnsi" w:hAnsiTheme="majorHAnsi" w:cstheme="majorHAnsi"/>
                <w:szCs w:val="18"/>
                <w:lang w:val="en-US"/>
              </w:rPr>
              <w:t xml:space="preserve"> </w:t>
            </w:r>
          </w:p>
        </w:tc>
      </w:tr>
    </w:tbl>
    <w:p w14:paraId="0764DE16" w14:textId="77777777" w:rsidR="00C861AB" w:rsidRDefault="00C861AB" w:rsidP="00156D33">
      <w:pPr>
        <w:pStyle w:val="BodyText"/>
        <w:sectPr w:rsidR="00C861AB" w:rsidSect="00C861AB">
          <w:pgSz w:w="16839" w:h="11907" w:orient="landscape" w:code="9"/>
          <w:pgMar w:top="1701" w:right="1418" w:bottom="851" w:left="1701" w:header="425" w:footer="397" w:gutter="0"/>
          <w:cols w:space="708"/>
          <w:docGrid w:linePitch="360"/>
        </w:sectPr>
      </w:pPr>
    </w:p>
    <w:p w14:paraId="43A8980E" w14:textId="77777777" w:rsidR="00330F39" w:rsidRDefault="00330F39" w:rsidP="00330F39">
      <w:pPr>
        <w:pStyle w:val="Heading2"/>
      </w:pPr>
      <w:bookmarkStart w:id="99" w:name="_Toc530546479"/>
      <w:r>
        <w:lastRenderedPageBreak/>
        <w:t>Legal and regulatory framework</w:t>
      </w:r>
      <w:bookmarkEnd w:id="99"/>
      <w:r>
        <w:t xml:space="preserve"> </w:t>
      </w:r>
    </w:p>
    <w:p w14:paraId="35DE356A" w14:textId="77777777" w:rsidR="00F716AC" w:rsidRDefault="00F716AC" w:rsidP="00F716AC">
      <w:pPr>
        <w:pStyle w:val="BodyText"/>
      </w:pPr>
      <w:r>
        <w:t xml:space="preserve">To implement the standard market timetable, a number of amendments have been made to the NGL, the NGR and the Regulations. It has also been necessary to: </w:t>
      </w:r>
    </w:p>
    <w:p w14:paraId="28B405AA" w14:textId="77777777" w:rsidR="00F716AC" w:rsidRDefault="00F716AC" w:rsidP="00F716AC">
      <w:pPr>
        <w:pStyle w:val="ListBullet"/>
      </w:pPr>
      <w:r>
        <w:t xml:space="preserve">revoke the AEMC’s </w:t>
      </w:r>
      <w:r w:rsidRPr="00594CA3">
        <w:rPr>
          <w:i/>
        </w:rPr>
        <w:t xml:space="preserve">National Gas Amendment (Gas </w:t>
      </w:r>
      <w:r w:rsidR="005600A7">
        <w:rPr>
          <w:i/>
        </w:rPr>
        <w:t>D</w:t>
      </w:r>
      <w:r w:rsidRPr="00594CA3">
        <w:rPr>
          <w:i/>
        </w:rPr>
        <w:t xml:space="preserve">ay </w:t>
      </w:r>
      <w:r w:rsidR="005600A7">
        <w:rPr>
          <w:i/>
        </w:rPr>
        <w:t>H</w:t>
      </w:r>
      <w:r w:rsidRPr="00594CA3">
        <w:rPr>
          <w:i/>
        </w:rPr>
        <w:t>armonisation) Rule 2017 No. 2</w:t>
      </w:r>
      <w:r>
        <w:t xml:space="preserve">, which provided for the harmonisation of gas day start times in the facilitated markets on 1 April 2021; and </w:t>
      </w:r>
    </w:p>
    <w:p w14:paraId="1D4A22A7" w14:textId="77777777" w:rsidR="00F716AC" w:rsidRDefault="00F716AC" w:rsidP="00F716AC">
      <w:pPr>
        <w:pStyle w:val="ListBullet"/>
      </w:pPr>
      <w:r>
        <w:t xml:space="preserve">remake this rule to require </w:t>
      </w:r>
      <w:r w:rsidR="00756268">
        <w:t xml:space="preserve">the </w:t>
      </w:r>
      <w:r>
        <w:t xml:space="preserve">harmonisation </w:t>
      </w:r>
      <w:r w:rsidR="00756268">
        <w:t xml:space="preserve">of gas day start times in the facilitated markets to occur </w:t>
      </w:r>
      <w:r>
        <w:t xml:space="preserve">by 1 October 2019. </w:t>
      </w:r>
    </w:p>
    <w:p w14:paraId="4020169E" w14:textId="77777777" w:rsidR="00330F39" w:rsidRDefault="00330F39" w:rsidP="00330F39">
      <w:pPr>
        <w:pStyle w:val="BodyText"/>
      </w:pPr>
      <w:r>
        <w:t xml:space="preserve">Further detail on the changes that have been made </w:t>
      </w:r>
      <w:r w:rsidR="00F716AC">
        <w:t xml:space="preserve">to the NGL, NGR and Regulations </w:t>
      </w:r>
      <w:r>
        <w:t xml:space="preserve">is provided below. </w:t>
      </w:r>
    </w:p>
    <w:p w14:paraId="2A107CD9" w14:textId="77777777" w:rsidR="00156D33" w:rsidRDefault="00693529" w:rsidP="00330F39">
      <w:pPr>
        <w:pStyle w:val="Heading3"/>
      </w:pPr>
      <w:r>
        <w:t>C</w:t>
      </w:r>
      <w:r w:rsidR="00156D33">
        <w:t>hanges to the NGL</w:t>
      </w:r>
    </w:p>
    <w:p w14:paraId="55925551" w14:textId="77777777" w:rsidR="00156D33" w:rsidRDefault="001E4302" w:rsidP="00156D33">
      <w:pPr>
        <w:pStyle w:val="BodyText"/>
      </w:pPr>
      <w:r>
        <w:t xml:space="preserve">To give effect to the standard market timetable, the </w:t>
      </w:r>
      <w:r w:rsidR="00156D33">
        <w:t>NGL</w:t>
      </w:r>
      <w:r w:rsidR="00594CA3">
        <w:t xml:space="preserve"> has been amended to</w:t>
      </w:r>
      <w:r w:rsidR="00156D33">
        <w:t>:</w:t>
      </w:r>
    </w:p>
    <w:p w14:paraId="69DFDF03" w14:textId="77777777" w:rsidR="00156D33" w:rsidRDefault="00594CA3" w:rsidP="00156D33">
      <w:pPr>
        <w:pStyle w:val="ListBullet"/>
        <w:ind w:left="357" w:hanging="357"/>
      </w:pPr>
      <w:r>
        <w:t>D</w:t>
      </w:r>
      <w:r w:rsidR="00156D33">
        <w:t xml:space="preserve">efine the </w:t>
      </w:r>
      <w:r>
        <w:t xml:space="preserve">scope of the standard market timetable </w:t>
      </w:r>
      <w:r w:rsidR="004F06A0">
        <w:t xml:space="preserve">and the </w:t>
      </w:r>
      <w:r w:rsidR="00156D33">
        <w:t>standard gas day</w:t>
      </w:r>
      <w:r>
        <w:t>.</w:t>
      </w:r>
      <w:r w:rsidR="00156D33">
        <w:rPr>
          <w:rStyle w:val="FootnoteReference"/>
        </w:rPr>
        <w:footnoteReference w:id="386"/>
      </w:r>
    </w:p>
    <w:p w14:paraId="4C7B6715" w14:textId="77777777" w:rsidR="00156D33" w:rsidRDefault="004F06A0" w:rsidP="00156D33">
      <w:pPr>
        <w:pStyle w:val="ListBullet"/>
        <w:ind w:left="357" w:hanging="357"/>
      </w:pPr>
      <w:r>
        <w:t xml:space="preserve">Identify </w:t>
      </w:r>
      <w:r w:rsidR="00DD59DC">
        <w:t xml:space="preserve">the </w:t>
      </w:r>
      <w:r w:rsidR="00156D33">
        <w:t xml:space="preserve">persons </w:t>
      </w:r>
      <w:r w:rsidR="00DD59DC">
        <w:t xml:space="preserve">that may be </w:t>
      </w:r>
      <w:r w:rsidR="00156D33">
        <w:t>required by the NGR to implement the standard market timetable in accordance with the NGR</w:t>
      </w:r>
      <w:r>
        <w:t xml:space="preserve">, which include </w:t>
      </w:r>
      <w:r w:rsidR="006B7EA4">
        <w:t xml:space="preserve">transportation </w:t>
      </w:r>
      <w:r>
        <w:t>service providers, producers, storage providers</w:t>
      </w:r>
      <w:r w:rsidR="001E4302">
        <w:t>,</w:t>
      </w:r>
      <w:r>
        <w:t xml:space="preserve"> </w:t>
      </w:r>
      <w:r w:rsidR="001E4302">
        <w:t xml:space="preserve">transportation facility users, allocation agents </w:t>
      </w:r>
      <w:r>
        <w:t>and any other persons of a kind prescribed in the Regulations</w:t>
      </w:r>
      <w:r w:rsidR="00594CA3">
        <w:t>.</w:t>
      </w:r>
      <w:r w:rsidR="00156D33">
        <w:rPr>
          <w:rStyle w:val="FootnoteReference"/>
        </w:rPr>
        <w:footnoteReference w:id="387"/>
      </w:r>
      <w:r w:rsidR="00156D33">
        <w:t xml:space="preserve"> </w:t>
      </w:r>
    </w:p>
    <w:p w14:paraId="352E672C" w14:textId="77777777" w:rsidR="004F06A0" w:rsidRPr="004F06A0" w:rsidRDefault="004F06A0" w:rsidP="00156D33">
      <w:pPr>
        <w:pStyle w:val="ListBullet"/>
        <w:ind w:left="357" w:hanging="357"/>
      </w:pPr>
      <w:r>
        <w:rPr>
          <w:szCs w:val="18"/>
        </w:rPr>
        <w:t>Impose an obligation on those persons that are required by the NGR to use the standard market timetable to do so in accordance with the NGR.</w:t>
      </w:r>
      <w:r>
        <w:rPr>
          <w:rStyle w:val="FootnoteReference"/>
          <w:szCs w:val="18"/>
        </w:rPr>
        <w:footnoteReference w:id="388"/>
      </w:r>
    </w:p>
    <w:p w14:paraId="5038D4F5" w14:textId="77777777" w:rsidR="00156D33" w:rsidRDefault="004F06A0" w:rsidP="00156D33">
      <w:pPr>
        <w:pStyle w:val="ListBullet"/>
        <w:ind w:left="357" w:hanging="357"/>
      </w:pPr>
      <w:r>
        <w:rPr>
          <w:szCs w:val="18"/>
        </w:rPr>
        <w:t>Prohibit those persons that are required by the NGR to use the standard market timetable from making a false or misleading representation about the effect of the requirement to use the standard market timetable on prices of goods or services.</w:t>
      </w:r>
      <w:r w:rsidR="00156D33">
        <w:rPr>
          <w:rStyle w:val="FootnoteReference"/>
        </w:rPr>
        <w:footnoteReference w:id="389"/>
      </w:r>
      <w:r w:rsidR="00156D33">
        <w:t xml:space="preserve"> </w:t>
      </w:r>
    </w:p>
    <w:p w14:paraId="2F4E89E8" w14:textId="1114BC17" w:rsidR="00156D33" w:rsidRDefault="00C855EC" w:rsidP="00156D33">
      <w:pPr>
        <w:pStyle w:val="ListBullet"/>
        <w:ind w:left="357" w:hanging="357"/>
      </w:pPr>
      <w:r>
        <w:rPr>
          <w:szCs w:val="18"/>
        </w:rPr>
        <w:t xml:space="preserve">Make a consequential change to clarify that an obligation to use the standard market timetable prevails over the right for </w:t>
      </w:r>
      <w:r w:rsidR="006B7EA4">
        <w:rPr>
          <w:szCs w:val="18"/>
        </w:rPr>
        <w:t xml:space="preserve">a </w:t>
      </w:r>
      <w:r w:rsidR="001E4302">
        <w:rPr>
          <w:szCs w:val="18"/>
        </w:rPr>
        <w:t xml:space="preserve">pipeline </w:t>
      </w:r>
      <w:r w:rsidR="00156D33">
        <w:rPr>
          <w:szCs w:val="18"/>
        </w:rPr>
        <w:t xml:space="preserve">service provider to enter into </w:t>
      </w:r>
      <w:r w:rsidR="006B7EA4">
        <w:rPr>
          <w:szCs w:val="18"/>
        </w:rPr>
        <w:t xml:space="preserve">an </w:t>
      </w:r>
      <w:r w:rsidR="00156D33">
        <w:rPr>
          <w:szCs w:val="18"/>
        </w:rPr>
        <w:t>agreement for access that differ</w:t>
      </w:r>
      <w:r w:rsidR="006B7EA4">
        <w:rPr>
          <w:szCs w:val="18"/>
        </w:rPr>
        <w:t>s</w:t>
      </w:r>
      <w:r w:rsidR="00156D33">
        <w:rPr>
          <w:szCs w:val="18"/>
        </w:rPr>
        <w:t xml:space="preserve"> from </w:t>
      </w:r>
      <w:r w:rsidR="006B7EA4">
        <w:rPr>
          <w:szCs w:val="18"/>
        </w:rPr>
        <w:t xml:space="preserve">an </w:t>
      </w:r>
      <w:r w:rsidR="00156D33">
        <w:rPr>
          <w:szCs w:val="18"/>
        </w:rPr>
        <w:t>applicable access arrangement</w:t>
      </w:r>
      <w:r w:rsidR="00156D33">
        <w:t>.</w:t>
      </w:r>
      <w:r w:rsidR="00156D33">
        <w:rPr>
          <w:rStyle w:val="FootnoteReference"/>
        </w:rPr>
        <w:footnoteReference w:id="390"/>
      </w:r>
    </w:p>
    <w:p w14:paraId="730D4705" w14:textId="77777777" w:rsidR="00D6499E" w:rsidRDefault="00D6499E" w:rsidP="00156D33">
      <w:pPr>
        <w:pStyle w:val="ListBullet"/>
        <w:ind w:left="357" w:hanging="357"/>
      </w:pPr>
      <w:r>
        <w:t xml:space="preserve">Provide a </w:t>
      </w:r>
      <w:r w:rsidR="001E4302">
        <w:t xml:space="preserve">person that is required by the NGR to use the standard market timetable an </w:t>
      </w:r>
      <w:r>
        <w:t>immunity from civil monetary liability for using the standard market timetable in accordance with the NGR.</w:t>
      </w:r>
      <w:r>
        <w:rPr>
          <w:rStyle w:val="FootnoteReference"/>
        </w:rPr>
        <w:footnoteReference w:id="391"/>
      </w:r>
      <w:r w:rsidR="001E4302">
        <w:t xml:space="preserve"> This immunity only applies to contracts entered into prior to the implementation of the standard market timetable and is therefore only a transitional immunity. </w:t>
      </w:r>
    </w:p>
    <w:p w14:paraId="5F6A7E6E" w14:textId="77777777" w:rsidR="00CF2EAC" w:rsidRDefault="00CF2EAC" w:rsidP="00CF2EAC">
      <w:pPr>
        <w:pStyle w:val="ListBullet"/>
        <w:ind w:left="357" w:hanging="357"/>
      </w:pPr>
      <w:r>
        <w:t>Extend the subject matter of the NGR and the AEMC’s rule making functions to include the standard market timetable.</w:t>
      </w:r>
      <w:r>
        <w:rPr>
          <w:rStyle w:val="FootnoteReference"/>
        </w:rPr>
        <w:footnoteReference w:id="392"/>
      </w:r>
      <w:r>
        <w:t xml:space="preserve"> </w:t>
      </w:r>
    </w:p>
    <w:p w14:paraId="1381264B" w14:textId="77777777" w:rsidR="00156D33" w:rsidRDefault="00156D33" w:rsidP="002A7D69">
      <w:pPr>
        <w:pStyle w:val="BodyText"/>
      </w:pPr>
      <w:r>
        <w:lastRenderedPageBreak/>
        <w:t xml:space="preserve">The NGL </w:t>
      </w:r>
      <w:r w:rsidR="001E4302">
        <w:t xml:space="preserve">has </w:t>
      </w:r>
      <w:r w:rsidR="004F06A0">
        <w:t xml:space="preserve">also </w:t>
      </w:r>
      <w:r w:rsidR="001E4302">
        <w:t xml:space="preserve">been </w:t>
      </w:r>
      <w:r w:rsidR="004F06A0">
        <w:t xml:space="preserve">amended to </w:t>
      </w:r>
      <w:r>
        <w:t>give the SA Minister the power to r</w:t>
      </w:r>
      <w:r>
        <w:rPr>
          <w:szCs w:val="18"/>
        </w:rPr>
        <w:t xml:space="preserve">evoke and remake the rule </w:t>
      </w:r>
      <w:r>
        <w:t xml:space="preserve">made </w:t>
      </w:r>
      <w:r w:rsidR="006B7EA4">
        <w:t xml:space="preserve">by the AEMC </w:t>
      </w:r>
      <w:r>
        <w:t xml:space="preserve">in 2017 </w:t>
      </w:r>
      <w:r w:rsidR="006B7EA4">
        <w:t xml:space="preserve">which </w:t>
      </w:r>
      <w:r>
        <w:t>provided for the harmonisation of gas day start times in the facilitated markets to occur on 1 April 2021,</w:t>
      </w:r>
      <w:r>
        <w:rPr>
          <w:rStyle w:val="FootnoteReference"/>
        </w:rPr>
        <w:footnoteReference w:id="393"/>
      </w:r>
      <w:r>
        <w:t xml:space="preserve"> </w:t>
      </w:r>
      <w:r w:rsidR="006B7EA4">
        <w:t xml:space="preserve">to </w:t>
      </w:r>
      <w:r w:rsidR="00CF2EAC">
        <w:t xml:space="preserve">bring the </w:t>
      </w:r>
      <w:r>
        <w:t xml:space="preserve">commencement date </w:t>
      </w:r>
      <w:r w:rsidR="00CF2EAC">
        <w:t xml:space="preserve">forward </w:t>
      </w:r>
      <w:r w:rsidR="006B7EA4">
        <w:t xml:space="preserve">to </w:t>
      </w:r>
      <w:r>
        <w:t>1 October 2019.</w:t>
      </w:r>
      <w:r w:rsidR="006B7EA4">
        <w:rPr>
          <w:rStyle w:val="FootnoteReference"/>
        </w:rPr>
        <w:footnoteReference w:id="394"/>
      </w:r>
      <w:r>
        <w:t xml:space="preserve"> </w:t>
      </w:r>
    </w:p>
    <w:p w14:paraId="5CA6C70A" w14:textId="77777777" w:rsidR="00156D33" w:rsidRDefault="00693529" w:rsidP="00330F39">
      <w:pPr>
        <w:pStyle w:val="Heading3"/>
      </w:pPr>
      <w:r>
        <w:t>C</w:t>
      </w:r>
      <w:r w:rsidR="00156D33">
        <w:t xml:space="preserve">hanges to the NGR </w:t>
      </w:r>
    </w:p>
    <w:p w14:paraId="052EA287" w14:textId="77777777" w:rsidR="00156D33" w:rsidRDefault="004F06A0" w:rsidP="00156D33">
      <w:pPr>
        <w:pStyle w:val="BodyText"/>
      </w:pPr>
      <w:r>
        <w:t xml:space="preserve">In keeping with the amendments that have been made to the NGL and the final design of the standard market timetable, the </w:t>
      </w:r>
      <w:r w:rsidR="00156D33">
        <w:t>NGR</w:t>
      </w:r>
      <w:r>
        <w:t xml:space="preserve"> has been amended to include </w:t>
      </w:r>
      <w:r w:rsidRPr="004F06A0">
        <w:rPr>
          <w:b/>
        </w:rPr>
        <w:t xml:space="preserve">Part 26 (Standard </w:t>
      </w:r>
      <w:r>
        <w:rPr>
          <w:b/>
        </w:rPr>
        <w:t>m</w:t>
      </w:r>
      <w:r w:rsidRPr="004F06A0">
        <w:rPr>
          <w:b/>
        </w:rPr>
        <w:t xml:space="preserve">arket </w:t>
      </w:r>
      <w:r>
        <w:rPr>
          <w:b/>
        </w:rPr>
        <w:t>t</w:t>
      </w:r>
      <w:r w:rsidRPr="004F06A0">
        <w:rPr>
          <w:b/>
        </w:rPr>
        <w:t>imetable)</w:t>
      </w:r>
      <w:r>
        <w:rPr>
          <w:b/>
        </w:rPr>
        <w:t xml:space="preserve">. </w:t>
      </w:r>
      <w:r w:rsidRPr="004F06A0">
        <w:t>This part of the NGR</w:t>
      </w:r>
      <w:r w:rsidR="00156D33">
        <w:t xml:space="preserve">: </w:t>
      </w:r>
    </w:p>
    <w:p w14:paraId="691DCAFD" w14:textId="77777777" w:rsidR="00156D33" w:rsidRDefault="00756268" w:rsidP="00156D33">
      <w:pPr>
        <w:pStyle w:val="ListBullet"/>
        <w:ind w:left="357" w:hanging="357"/>
      </w:pPr>
      <w:r>
        <w:t>S</w:t>
      </w:r>
      <w:r w:rsidR="004F06A0">
        <w:t xml:space="preserve">pecifies </w:t>
      </w:r>
      <w:r w:rsidR="00156D33">
        <w:t xml:space="preserve">the </w:t>
      </w:r>
      <w:r w:rsidR="00156D33" w:rsidRPr="002A7D69">
        <w:rPr>
          <w:b/>
        </w:rPr>
        <w:t xml:space="preserve">standard </w:t>
      </w:r>
      <w:r w:rsidR="00156D33" w:rsidRPr="004F06A0">
        <w:rPr>
          <w:b/>
        </w:rPr>
        <w:t xml:space="preserve">gas day </w:t>
      </w:r>
      <w:r w:rsidR="00156D33" w:rsidRPr="002A7D69">
        <w:t>start time</w:t>
      </w:r>
      <w:r w:rsidR="00156D33">
        <w:t xml:space="preserve"> </w:t>
      </w:r>
      <w:r w:rsidR="004F06A0">
        <w:t xml:space="preserve">(6 am AEST) </w:t>
      </w:r>
      <w:r w:rsidR="00E42998">
        <w:t xml:space="preserve">to be employed by production, storage and transportation facilities </w:t>
      </w:r>
      <w:r w:rsidR="00156D33">
        <w:t>and require</w:t>
      </w:r>
      <w:r w:rsidR="004F06A0" w:rsidRPr="00E42998">
        <w:t>s</w:t>
      </w:r>
      <w:r w:rsidR="00156D33" w:rsidRPr="00E42998">
        <w:t xml:space="preserve"> the operators </w:t>
      </w:r>
      <w:r w:rsidR="00E42998" w:rsidRPr="00E42998">
        <w:t>of th</w:t>
      </w:r>
      <w:r w:rsidR="00E42998">
        <w:t xml:space="preserve">ese facilities </w:t>
      </w:r>
      <w:r w:rsidR="00156D33">
        <w:t xml:space="preserve">to </w:t>
      </w:r>
      <w:r w:rsidR="00E42998">
        <w:t>use the standard gas day for nomination, scheduling and the provision of services provided by means of a natural gas facility</w:t>
      </w:r>
      <w:r>
        <w:t>.</w:t>
      </w:r>
      <w:r w:rsidR="00156D33">
        <w:rPr>
          <w:rStyle w:val="FootnoteReference"/>
        </w:rPr>
        <w:footnoteReference w:id="395"/>
      </w:r>
    </w:p>
    <w:p w14:paraId="370143B9" w14:textId="77777777" w:rsidR="00156D33" w:rsidRDefault="00756268" w:rsidP="00156D33">
      <w:pPr>
        <w:pStyle w:val="ListBullet"/>
        <w:ind w:left="357" w:hanging="357"/>
      </w:pPr>
      <w:r>
        <w:t>S</w:t>
      </w:r>
      <w:r w:rsidR="004F06A0">
        <w:t xml:space="preserve">pecifies </w:t>
      </w:r>
      <w:r w:rsidR="00156D33">
        <w:t xml:space="preserve">the </w:t>
      </w:r>
      <w:r w:rsidR="00156D33" w:rsidRPr="002A7D69">
        <w:rPr>
          <w:b/>
        </w:rPr>
        <w:t>standard</w:t>
      </w:r>
      <w:r w:rsidR="00156D33">
        <w:t xml:space="preserve"> </w:t>
      </w:r>
      <w:r w:rsidR="00156D33" w:rsidRPr="00E42998">
        <w:rPr>
          <w:b/>
        </w:rPr>
        <w:t xml:space="preserve">nomination cut-off time </w:t>
      </w:r>
      <w:r w:rsidR="004F06A0">
        <w:t xml:space="preserve">(3 pm AEST on gas day D-1) </w:t>
      </w:r>
      <w:r w:rsidR="00E42998">
        <w:t xml:space="preserve">to be employed by operators of </w:t>
      </w:r>
      <w:r w:rsidR="001B2022">
        <w:t xml:space="preserve">Part 24 </w:t>
      </w:r>
      <w:r w:rsidR="00156D33">
        <w:t>facilities</w:t>
      </w:r>
      <w:r w:rsidR="00273A43">
        <w:t xml:space="preserve"> and auction facility operators</w:t>
      </w:r>
      <w:r>
        <w:t>.</w:t>
      </w:r>
      <w:r w:rsidR="00156D33">
        <w:rPr>
          <w:rStyle w:val="FootnoteReference"/>
        </w:rPr>
        <w:footnoteReference w:id="396"/>
      </w:r>
    </w:p>
    <w:p w14:paraId="468FD4B1" w14:textId="77777777" w:rsidR="00DD59DC" w:rsidRPr="00DD59DC" w:rsidRDefault="00756268" w:rsidP="00156D33">
      <w:pPr>
        <w:pStyle w:val="ListBullet"/>
        <w:ind w:left="357" w:hanging="357"/>
      </w:pPr>
      <w:r>
        <w:t>S</w:t>
      </w:r>
      <w:r w:rsidR="004F06A0">
        <w:t xml:space="preserve">pecifies </w:t>
      </w:r>
      <w:r w:rsidR="00DD59DC">
        <w:t xml:space="preserve">the </w:t>
      </w:r>
      <w:r w:rsidR="00DD59DC" w:rsidRPr="00E42998">
        <w:rPr>
          <w:b/>
        </w:rPr>
        <w:t>auction service nomination cut-off time</w:t>
      </w:r>
      <w:r w:rsidR="00DD59DC">
        <w:t xml:space="preserve"> </w:t>
      </w:r>
      <w:r w:rsidR="004F06A0">
        <w:t xml:space="preserve">(6.45 pm AEST on gas D-1) </w:t>
      </w:r>
      <w:r w:rsidR="00E42998">
        <w:t>to be employed by auction facility operators</w:t>
      </w:r>
      <w:r>
        <w:t>.</w:t>
      </w:r>
      <w:r w:rsidR="00DD59DC">
        <w:rPr>
          <w:rStyle w:val="FootnoteReference"/>
        </w:rPr>
        <w:footnoteReference w:id="397"/>
      </w:r>
    </w:p>
    <w:p w14:paraId="16DF64E4" w14:textId="77777777" w:rsidR="00E42998" w:rsidRPr="00E42998" w:rsidRDefault="00756268" w:rsidP="00156D33">
      <w:pPr>
        <w:pStyle w:val="ListBullet"/>
        <w:ind w:left="357" w:hanging="357"/>
      </w:pPr>
      <w:r>
        <w:rPr>
          <w:rFonts w:cs="Arial"/>
          <w:szCs w:val="18"/>
        </w:rPr>
        <w:t>R</w:t>
      </w:r>
      <w:r w:rsidR="00156D33">
        <w:rPr>
          <w:rFonts w:cs="Arial"/>
          <w:szCs w:val="18"/>
        </w:rPr>
        <w:t>equire</w:t>
      </w:r>
      <w:r w:rsidR="00E42998">
        <w:rPr>
          <w:rFonts w:cs="Arial"/>
          <w:szCs w:val="18"/>
        </w:rPr>
        <w:t>s</w:t>
      </w:r>
      <w:r w:rsidR="00156D33">
        <w:rPr>
          <w:rFonts w:cs="Arial"/>
          <w:szCs w:val="18"/>
        </w:rPr>
        <w:t xml:space="preserve"> facility operators to ensure that the measurement and recording of quantities of gas correspond to the standard gas day (or periods shorter than a gas day if the first such period starts at the start of the standard gas day and last such period ends at the end of the standard gas day)</w:t>
      </w:r>
      <w:r w:rsidR="00E42998">
        <w:rPr>
          <w:rFonts w:cs="Arial"/>
          <w:szCs w:val="18"/>
        </w:rPr>
        <w:t xml:space="preserve"> in the following circumstances:</w:t>
      </w:r>
    </w:p>
    <w:p w14:paraId="132E4976" w14:textId="77777777" w:rsidR="00156D33" w:rsidRDefault="00E42998" w:rsidP="00E42998">
      <w:pPr>
        <w:pStyle w:val="ListBullet2"/>
      </w:pPr>
      <w:r>
        <w:t>in the case of distribution pipeline</w:t>
      </w:r>
      <w:r w:rsidR="00DB1CFC">
        <w:t>s</w:t>
      </w:r>
      <w:r>
        <w:t>, when the measurement and recording is carried out on an hourly or daily basis (e.g. an interval mete</w:t>
      </w:r>
      <w:r w:rsidR="00CF2EAC">
        <w:t>r</w:t>
      </w:r>
      <w:r>
        <w:t>);</w:t>
      </w:r>
      <w:r w:rsidR="00CF2EAC">
        <w:rPr>
          <w:rStyle w:val="FootnoteReference"/>
        </w:rPr>
        <w:footnoteReference w:id="398"/>
      </w:r>
      <w:r>
        <w:t xml:space="preserve"> and</w:t>
      </w:r>
    </w:p>
    <w:p w14:paraId="71C4E40B" w14:textId="77777777" w:rsidR="00E42998" w:rsidRDefault="00DB1CFC" w:rsidP="00E42998">
      <w:pPr>
        <w:pStyle w:val="ListBullet2"/>
      </w:pPr>
      <w:r>
        <w:t>in the case of other production, storage and transportation facilities, where the measurement and recording relates to gas injected into</w:t>
      </w:r>
      <w:r w:rsidR="006F50C7">
        <w:t>,</w:t>
      </w:r>
      <w:r>
        <w:t xml:space="preserve"> or withdrawn from</w:t>
      </w:r>
      <w:r w:rsidR="006F50C7">
        <w:t>,</w:t>
      </w:r>
      <w:r>
        <w:t xml:space="preserve"> the facility or produced by the facility.</w:t>
      </w:r>
      <w:r w:rsidR="001B2022" w:rsidRPr="001B2022">
        <w:rPr>
          <w:rStyle w:val="FootnoteReference"/>
        </w:rPr>
        <w:t xml:space="preserve"> </w:t>
      </w:r>
      <w:r w:rsidR="001B2022">
        <w:rPr>
          <w:rStyle w:val="FootnoteReference"/>
        </w:rPr>
        <w:footnoteReference w:id="399"/>
      </w:r>
    </w:p>
    <w:p w14:paraId="296D7255" w14:textId="347B926C" w:rsidR="00156D33" w:rsidRDefault="004F06A0" w:rsidP="00DB1CFC">
      <w:pPr>
        <w:pStyle w:val="BodyText"/>
      </w:pPr>
      <w:r>
        <w:t xml:space="preserve">To deal with some of the transitional issues associated with the implementation of the standard market timetable, a number of transitional rules have also been included in </w:t>
      </w:r>
      <w:r w:rsidR="00C855EC">
        <w:t xml:space="preserve">Part 6 of </w:t>
      </w:r>
      <w:r>
        <w:t>Schedule 5 of the NGR. These transitional rules</w:t>
      </w:r>
      <w:r w:rsidR="00156D33">
        <w:t>:</w:t>
      </w:r>
    </w:p>
    <w:p w14:paraId="66C7F5ED" w14:textId="77777777" w:rsidR="0096110B" w:rsidRDefault="0096110B" w:rsidP="00DB1CFC">
      <w:pPr>
        <w:pStyle w:val="ListBullet"/>
      </w:pPr>
      <w:r>
        <w:t xml:space="preserve">Provide for the standard market timetable to </w:t>
      </w:r>
      <w:r w:rsidRPr="0096110B">
        <w:rPr>
          <w:b/>
        </w:rPr>
        <w:t>commence</w:t>
      </w:r>
      <w:r>
        <w:t xml:space="preserve"> on 1 October 2019 and require facility operators to take all necessary steps to ensure the timetable is in use in relation to their facilities no later than this date.</w:t>
      </w:r>
      <w:r>
        <w:rPr>
          <w:rStyle w:val="FootnoteReference"/>
        </w:rPr>
        <w:footnoteReference w:id="400"/>
      </w:r>
    </w:p>
    <w:p w14:paraId="20327724" w14:textId="77777777" w:rsidR="00156D33" w:rsidRPr="00DB1CFC" w:rsidRDefault="0096110B" w:rsidP="00DB1CFC">
      <w:pPr>
        <w:pStyle w:val="ListBullet"/>
      </w:pPr>
      <w:r w:rsidRPr="0096110B">
        <w:t>Require</w:t>
      </w:r>
      <w:r>
        <w:rPr>
          <w:b/>
        </w:rPr>
        <w:t xml:space="preserve"> </w:t>
      </w:r>
      <w:r w:rsidR="00156D33" w:rsidRPr="00DB1CFC">
        <w:rPr>
          <w:b/>
        </w:rPr>
        <w:t>AEMO</w:t>
      </w:r>
      <w:r w:rsidR="00156D33" w:rsidRPr="00DB1CFC">
        <w:t xml:space="preserve"> to publish information on the arrangements for transition to the standard gas day in each </w:t>
      </w:r>
      <w:r w:rsidR="00DB1CFC" w:rsidRPr="00DB1CFC">
        <w:t xml:space="preserve">facilitated </w:t>
      </w:r>
      <w:r w:rsidR="00156D33" w:rsidRPr="00DB1CFC">
        <w:t xml:space="preserve">gas market </w:t>
      </w:r>
      <w:r w:rsidR="00187005">
        <w:t>no later than</w:t>
      </w:r>
      <w:r w:rsidR="00156D33" w:rsidRPr="00DB1CFC">
        <w:t xml:space="preserve"> 1 April 2019</w:t>
      </w:r>
      <w:r w:rsidR="00DB1CFC" w:rsidRPr="00DB1CFC">
        <w:t>.</w:t>
      </w:r>
      <w:r w:rsidRPr="0096110B">
        <w:rPr>
          <w:rStyle w:val="FootnoteReference"/>
        </w:rPr>
        <w:t xml:space="preserve"> </w:t>
      </w:r>
      <w:r>
        <w:rPr>
          <w:rStyle w:val="FootnoteReference"/>
        </w:rPr>
        <w:footnoteReference w:id="401"/>
      </w:r>
    </w:p>
    <w:p w14:paraId="4B116516" w14:textId="77777777" w:rsidR="00DB1CFC" w:rsidRDefault="0096110B" w:rsidP="00DB1CFC">
      <w:pPr>
        <w:pStyle w:val="ListBullet"/>
      </w:pPr>
      <w:r w:rsidRPr="0096110B">
        <w:lastRenderedPageBreak/>
        <w:t>Require</w:t>
      </w:r>
      <w:r>
        <w:rPr>
          <w:b/>
        </w:rPr>
        <w:t xml:space="preserve"> f</w:t>
      </w:r>
      <w:r w:rsidR="00156D33" w:rsidRPr="00DB1CFC">
        <w:rPr>
          <w:b/>
        </w:rPr>
        <w:t>acility operators</w:t>
      </w:r>
      <w:r w:rsidR="00156D33" w:rsidRPr="00DB1CFC">
        <w:t xml:space="preserve"> </w:t>
      </w:r>
      <w:r w:rsidR="00DB1CFC">
        <w:t xml:space="preserve">that provide </w:t>
      </w:r>
      <w:r w:rsidR="00156D33" w:rsidRPr="00DB1CFC">
        <w:t>services to third parties to</w:t>
      </w:r>
      <w:r w:rsidR="00DB1CFC">
        <w:t>:</w:t>
      </w:r>
      <w:r>
        <w:rPr>
          <w:rStyle w:val="FootnoteReference"/>
        </w:rPr>
        <w:footnoteReference w:id="402"/>
      </w:r>
      <w:r w:rsidR="00156D33" w:rsidRPr="00DB1CFC">
        <w:t xml:space="preserve"> </w:t>
      </w:r>
    </w:p>
    <w:p w14:paraId="755FE1FE" w14:textId="77777777" w:rsidR="00992B5F" w:rsidRDefault="00156D33" w:rsidP="00EA491F">
      <w:pPr>
        <w:pStyle w:val="ListBullet2"/>
        <w:numPr>
          <w:ilvl w:val="0"/>
          <w:numId w:val="43"/>
        </w:numPr>
      </w:pPr>
      <w:r w:rsidRPr="00DB1CFC">
        <w:t xml:space="preserve">publish information (as may be reasonably expected by </w:t>
      </w:r>
      <w:r w:rsidR="00DB1CFC">
        <w:t xml:space="preserve">facility </w:t>
      </w:r>
      <w:r w:rsidRPr="00DB1CFC">
        <w:t xml:space="preserve">users, operators of connected facilities or AEMO) on the </w:t>
      </w:r>
      <w:r w:rsidR="00DB1CFC">
        <w:t xml:space="preserve">arrangements </w:t>
      </w:r>
      <w:r w:rsidRPr="00DB1CFC">
        <w:t xml:space="preserve">to </w:t>
      </w:r>
      <w:r w:rsidR="00DB1CFC">
        <w:t xml:space="preserve">transition to </w:t>
      </w:r>
      <w:r w:rsidRPr="00DB1CFC">
        <w:t xml:space="preserve">the standard </w:t>
      </w:r>
      <w:r w:rsidR="00DB1CFC" w:rsidRPr="00DB1CFC">
        <w:t xml:space="preserve">market timetable by the earlier of 30 June 2019 and 20 business days before they implement the </w:t>
      </w:r>
      <w:r w:rsidR="00DB1CFC">
        <w:t xml:space="preserve">timetable </w:t>
      </w:r>
      <w:r w:rsidR="00DB1CFC" w:rsidRPr="00DB1CFC">
        <w:t>(this information may be updated from time to time)</w:t>
      </w:r>
      <w:r w:rsidR="00DB1CFC">
        <w:t>; and</w:t>
      </w:r>
    </w:p>
    <w:p w14:paraId="7A6DC7C7" w14:textId="77777777" w:rsidR="00DB1CFC" w:rsidRDefault="00DB1CFC" w:rsidP="00EA491F">
      <w:pPr>
        <w:pStyle w:val="ListBullet2"/>
        <w:numPr>
          <w:ilvl w:val="0"/>
          <w:numId w:val="43"/>
        </w:numPr>
      </w:pPr>
      <w:r>
        <w:t xml:space="preserve">use reasonable endeavours to ensure the arrangements in (a) </w:t>
      </w:r>
      <w:r w:rsidR="003B2B86">
        <w:t>are, to the extent reasonably practicable, consistent with:</w:t>
      </w:r>
    </w:p>
    <w:p w14:paraId="60961CE5" w14:textId="77777777" w:rsidR="003B2B86" w:rsidRPr="003B2B86" w:rsidRDefault="003B2B86" w:rsidP="00EA491F">
      <w:pPr>
        <w:pStyle w:val="TableBullet2"/>
        <w:numPr>
          <w:ilvl w:val="1"/>
          <w:numId w:val="44"/>
        </w:numPr>
        <w:ind w:left="1071" w:hanging="357"/>
        <w:rPr>
          <w:sz w:val="22"/>
        </w:rPr>
      </w:pPr>
      <w:r w:rsidRPr="003B2B86">
        <w:rPr>
          <w:sz w:val="22"/>
        </w:rPr>
        <w:t xml:space="preserve">the arrangements adopted by a connecting facility; and </w:t>
      </w:r>
    </w:p>
    <w:p w14:paraId="79DF63EA" w14:textId="77777777" w:rsidR="003B2B86" w:rsidRPr="003B2B86" w:rsidRDefault="003B2B86" w:rsidP="00EA491F">
      <w:pPr>
        <w:pStyle w:val="TableBullet2"/>
        <w:numPr>
          <w:ilvl w:val="1"/>
          <w:numId w:val="44"/>
        </w:numPr>
        <w:ind w:left="1071" w:hanging="357"/>
        <w:rPr>
          <w:sz w:val="22"/>
        </w:rPr>
      </w:pPr>
      <w:r w:rsidRPr="003B2B86">
        <w:rPr>
          <w:sz w:val="22"/>
        </w:rPr>
        <w:t xml:space="preserve">the facilitated gas markets to which its facility is connected, or in which users of its facility may participate. </w:t>
      </w:r>
    </w:p>
    <w:p w14:paraId="0A090956" w14:textId="77777777" w:rsidR="003B2B86" w:rsidRDefault="0096110B" w:rsidP="00DB1CFC">
      <w:pPr>
        <w:pStyle w:val="ListBullet"/>
      </w:pPr>
      <w:r>
        <w:t>Set out w</w:t>
      </w:r>
      <w:r w:rsidR="003B2B86">
        <w:t xml:space="preserve">hat will occur if there are </w:t>
      </w:r>
      <w:r w:rsidR="00DB1CFC">
        <w:t xml:space="preserve">contracts </w:t>
      </w:r>
      <w:r w:rsidR="003B2B86">
        <w:t xml:space="preserve">that were entered into prior to the commencement of </w:t>
      </w:r>
      <w:r w:rsidR="008F7B2E">
        <w:t>P</w:t>
      </w:r>
      <w:r w:rsidR="003B2B86">
        <w:t xml:space="preserve">art 26 </w:t>
      </w:r>
      <w:r w:rsidR="00756268">
        <w:t xml:space="preserve">of the NGR </w:t>
      </w:r>
      <w:r w:rsidR="00CF2EAC">
        <w:t>(</w:t>
      </w:r>
      <w:r w:rsidR="00756268">
        <w:t>referred to as ‘</w:t>
      </w:r>
      <w:r w:rsidR="00CF2EAC">
        <w:t>pre-harmonisation contracts</w:t>
      </w:r>
      <w:r w:rsidR="00756268">
        <w:t>’</w:t>
      </w:r>
      <w:r w:rsidR="00CF2EAC">
        <w:t xml:space="preserve">) </w:t>
      </w:r>
      <w:r w:rsidR="003B2B86">
        <w:t xml:space="preserve">that use a different gas day or nomination cut-off time to the standard market timetable. In </w:t>
      </w:r>
      <w:r>
        <w:t>short</w:t>
      </w:r>
      <w:r w:rsidR="003B2B86">
        <w:t>, the transitional rules provide for:</w:t>
      </w:r>
      <w:r w:rsidR="00273A43">
        <w:rPr>
          <w:rStyle w:val="FootnoteReference"/>
        </w:rPr>
        <w:footnoteReference w:id="403"/>
      </w:r>
      <w:r w:rsidR="0079432A" w:rsidRPr="0079432A">
        <w:rPr>
          <w:vertAlign w:val="superscript"/>
        </w:rPr>
        <w:t>,</w:t>
      </w:r>
      <w:r w:rsidR="003B2B86">
        <w:rPr>
          <w:rStyle w:val="FootnoteReference"/>
        </w:rPr>
        <w:footnoteReference w:id="404"/>
      </w:r>
    </w:p>
    <w:p w14:paraId="17B7EF80" w14:textId="2090DF49" w:rsidR="003B2B86" w:rsidRDefault="003B2B86" w:rsidP="0096110B">
      <w:pPr>
        <w:pStyle w:val="ListBullet2"/>
      </w:pPr>
      <w:r>
        <w:t>a party to such a contract to request an amendment to the contract to adopt the standard market timetable and other fair and reasonable amendments consequential on this amendment;</w:t>
      </w:r>
    </w:p>
    <w:p w14:paraId="066BD161" w14:textId="77777777" w:rsidR="003B2B86" w:rsidRDefault="003B2B86" w:rsidP="0096110B">
      <w:pPr>
        <w:pStyle w:val="ListBullet2"/>
      </w:pPr>
      <w:r>
        <w:t xml:space="preserve">the parties to the contract to negotiate in good faith and </w:t>
      </w:r>
      <w:r w:rsidR="0096110B">
        <w:t xml:space="preserve">execute an agreement </w:t>
      </w:r>
      <w:r w:rsidR="00CF2EAC">
        <w:t xml:space="preserve">that gives </w:t>
      </w:r>
      <w:r w:rsidR="0096110B">
        <w:t>effect to the amendments</w:t>
      </w:r>
      <w:r w:rsidR="00273A43">
        <w:t>;</w:t>
      </w:r>
      <w:r w:rsidR="0096110B">
        <w:t xml:space="preserve"> and</w:t>
      </w:r>
    </w:p>
    <w:p w14:paraId="714C1B7A" w14:textId="77777777" w:rsidR="00156D33" w:rsidRDefault="0096110B" w:rsidP="0096110B">
      <w:pPr>
        <w:pStyle w:val="ListBullet2"/>
      </w:pPr>
      <w:r>
        <w:t>the parties to the contract to refer a dispute for determination by an expert under the expert determination rules if they are unable to reach an agreement and the dispute resolution mechanism in their existing contract does not apply to this type of dispute</w:t>
      </w:r>
      <w:r w:rsidR="00273A43">
        <w:t>.</w:t>
      </w:r>
      <w:r w:rsidR="00156D33">
        <w:t xml:space="preserve"> </w:t>
      </w:r>
    </w:p>
    <w:p w14:paraId="0FC6FBBA" w14:textId="77777777" w:rsidR="00156D33" w:rsidRDefault="00693529" w:rsidP="00330F39">
      <w:pPr>
        <w:pStyle w:val="Heading3"/>
      </w:pPr>
      <w:r>
        <w:t>C</w:t>
      </w:r>
      <w:r w:rsidR="00156D33">
        <w:t xml:space="preserve">hanges to the Regulations </w:t>
      </w:r>
    </w:p>
    <w:p w14:paraId="5FB3D154" w14:textId="77777777" w:rsidR="00CB791A" w:rsidRDefault="00CB791A" w:rsidP="00CB791A">
      <w:pPr>
        <w:pStyle w:val="BodyText"/>
      </w:pPr>
      <w:r>
        <w:t>Schedule 3 of the Regulations has been amended to classify the obligation to use the standard market timetable in the NGL as a civil penalty</w:t>
      </w:r>
      <w:r w:rsidR="00756268">
        <w:t xml:space="preserve"> provision</w:t>
      </w:r>
      <w:r>
        <w:t>.</w:t>
      </w:r>
    </w:p>
    <w:p w14:paraId="10727DA7" w14:textId="77777777" w:rsidR="00FD75C4" w:rsidRDefault="00FD75C4" w:rsidP="00FD75C4">
      <w:pPr>
        <w:pStyle w:val="BodyText"/>
        <w:rPr>
          <w:highlight w:val="yellow"/>
        </w:rPr>
      </w:pPr>
    </w:p>
    <w:p w14:paraId="134B25FE" w14:textId="77777777" w:rsidR="00FD75C4" w:rsidRPr="00FD75C4" w:rsidRDefault="00FD75C4" w:rsidP="00FD75C4">
      <w:pPr>
        <w:pStyle w:val="BodyText"/>
        <w:rPr>
          <w:highlight w:val="yellow"/>
        </w:rPr>
        <w:sectPr w:rsidR="00FD75C4" w:rsidRPr="00FD75C4" w:rsidSect="001250A3">
          <w:headerReference w:type="default" r:id="rId56"/>
          <w:footerReference w:type="default" r:id="rId57"/>
          <w:pgSz w:w="11907" w:h="16840" w:code="9"/>
          <w:pgMar w:top="1701" w:right="1418" w:bottom="851" w:left="1701" w:header="425" w:footer="397" w:gutter="0"/>
          <w:cols w:space="708"/>
          <w:docGrid w:linePitch="360"/>
        </w:sectPr>
      </w:pPr>
    </w:p>
    <w:p w14:paraId="44FD4F33" w14:textId="77777777" w:rsidR="003E36EC" w:rsidRPr="00FD75C4" w:rsidRDefault="008E5C1F" w:rsidP="00FD75C4">
      <w:pPr>
        <w:pStyle w:val="Heading1"/>
      </w:pPr>
      <w:bookmarkStart w:id="100" w:name="_Toc530546480"/>
      <w:r>
        <w:lastRenderedPageBreak/>
        <w:t>K</w:t>
      </w:r>
      <w:r w:rsidR="00B15C07" w:rsidRPr="00FD75C4">
        <w:t>ey timings</w:t>
      </w:r>
      <w:r w:rsidR="00D42CCB">
        <w:t xml:space="preserve"> for obligations under the reform package</w:t>
      </w:r>
      <w:bookmarkEnd w:id="100"/>
    </w:p>
    <w:bookmarkEnd w:id="38"/>
    <w:p w14:paraId="44D42DC5" w14:textId="77777777" w:rsidR="00F81C94" w:rsidRDefault="00D42CCB" w:rsidP="00F81C94">
      <w:pPr>
        <w:pStyle w:val="ListBullet"/>
        <w:numPr>
          <w:ilvl w:val="0"/>
          <w:numId w:val="0"/>
        </w:numPr>
      </w:pPr>
      <w:r>
        <w:t xml:space="preserve">The tables on the following pages provide a </w:t>
      </w:r>
      <w:r w:rsidR="00F81C94">
        <w:t>summary of the key timing</w:t>
      </w:r>
      <w:r>
        <w:t>s</w:t>
      </w:r>
      <w:r w:rsidR="00F81C94">
        <w:t xml:space="preserve"> associated with the </w:t>
      </w:r>
      <w:r>
        <w:t xml:space="preserve">various </w:t>
      </w:r>
      <w:r w:rsidR="00F81C94">
        <w:t xml:space="preserve">obligations that market participants will </w:t>
      </w:r>
      <w:r>
        <w:t xml:space="preserve">be subject to under the capacity trading reform package. To aid those market participants that will be subject to the reforms, separate tables have been developed for: </w:t>
      </w:r>
    </w:p>
    <w:p w14:paraId="1AECBB08" w14:textId="77777777" w:rsidR="00047DAB" w:rsidRDefault="00D42CCB">
      <w:pPr>
        <w:pStyle w:val="ListBullet"/>
        <w:tabs>
          <w:tab w:val="num" w:pos="357"/>
        </w:tabs>
        <w:ind w:left="357" w:hanging="357"/>
      </w:pPr>
      <w:r>
        <w:t xml:space="preserve">those </w:t>
      </w:r>
      <w:bookmarkStart w:id="101" w:name="_Hlk516416890"/>
      <w:r>
        <w:t xml:space="preserve">transportation facilities and allocation agents </w:t>
      </w:r>
      <w:r w:rsidR="00047DAB">
        <w:t xml:space="preserve">located in the </w:t>
      </w:r>
      <w:r w:rsidR="00047DAB" w:rsidRPr="00050692">
        <w:t xml:space="preserve">Australian Capital Territory, New South Wales, Queensland, South Australia, </w:t>
      </w:r>
      <w:r w:rsidR="00047DAB">
        <w:t xml:space="preserve">Tasmania and </w:t>
      </w:r>
      <w:r w:rsidR="00047DAB" w:rsidRPr="00050692">
        <w:t>Victoria</w:t>
      </w:r>
      <w:r w:rsidR="00047DAB">
        <w:t xml:space="preserve"> (outside the DTS)</w:t>
      </w:r>
      <w:bookmarkEnd w:id="101"/>
      <w:r w:rsidR="008E5C1F">
        <w:t xml:space="preserve"> that are in existence </w:t>
      </w:r>
      <w:r>
        <w:t xml:space="preserve">at the commencement of the amendments to Parts 18 and 24 of the </w:t>
      </w:r>
      <w:r w:rsidR="008E5C1F">
        <w:t xml:space="preserve">NGR </w:t>
      </w:r>
      <w:r>
        <w:t xml:space="preserve">(see Table </w:t>
      </w:r>
      <w:r w:rsidR="00A34EF2">
        <w:t>10</w:t>
      </w:r>
      <w:r>
        <w:t>.1)</w:t>
      </w:r>
      <w:r w:rsidR="00047DAB">
        <w:t xml:space="preserve">; </w:t>
      </w:r>
    </w:p>
    <w:p w14:paraId="06CFDAEE" w14:textId="77777777" w:rsidR="008E5C1F" w:rsidRDefault="00D42CCB" w:rsidP="00F81C94">
      <w:pPr>
        <w:pStyle w:val="ListBullet"/>
        <w:ind w:left="357" w:hanging="357"/>
      </w:pPr>
      <w:r>
        <w:t xml:space="preserve">those transportation facilities </w:t>
      </w:r>
      <w:r w:rsidR="008E5C1F">
        <w:t xml:space="preserve">that become </w:t>
      </w:r>
      <w:r>
        <w:t xml:space="preserve">subject to the reforms </w:t>
      </w:r>
      <w:r w:rsidR="008E5C1F">
        <w:t xml:space="preserve">after Part 24 </w:t>
      </w:r>
      <w:r w:rsidR="00642C20">
        <w:t xml:space="preserve">of the NGR </w:t>
      </w:r>
      <w:r w:rsidR="008E5C1F">
        <w:t>commence</w:t>
      </w:r>
      <w:r>
        <w:t>s</w:t>
      </w:r>
      <w:r w:rsidR="008E5C1F">
        <w:t xml:space="preserve">, either because </w:t>
      </w:r>
      <w:r>
        <w:t xml:space="preserve">the facilities </w:t>
      </w:r>
      <w:r w:rsidR="008E5C1F">
        <w:t>were commissioned after this date</w:t>
      </w:r>
      <w:r w:rsidR="00CF2EAC">
        <w:t>,</w:t>
      </w:r>
      <w:r w:rsidR="008E5C1F">
        <w:t xml:space="preserve"> or </w:t>
      </w:r>
      <w:r>
        <w:t xml:space="preserve">because </w:t>
      </w:r>
      <w:r w:rsidR="00F81C94">
        <w:t>an exemption has been revoked</w:t>
      </w:r>
      <w:r>
        <w:t xml:space="preserve"> (see Table </w:t>
      </w:r>
      <w:r w:rsidR="00A34EF2">
        <w:t>10</w:t>
      </w:r>
      <w:r>
        <w:t>.2)</w:t>
      </w:r>
      <w:r w:rsidR="008E5C1F" w:rsidRPr="00BD28C3">
        <w:t xml:space="preserve">; </w:t>
      </w:r>
      <w:r w:rsidR="008E5C1F">
        <w:t>and</w:t>
      </w:r>
    </w:p>
    <w:p w14:paraId="6F0E98B3" w14:textId="77777777" w:rsidR="00047DAB" w:rsidRDefault="00D42CCB" w:rsidP="00047DAB">
      <w:pPr>
        <w:pStyle w:val="ListBullet"/>
        <w:tabs>
          <w:tab w:val="num" w:pos="357"/>
        </w:tabs>
        <w:ind w:left="357" w:hanging="357"/>
      </w:pPr>
      <w:bookmarkStart w:id="102" w:name="_Hlk516416911"/>
      <w:r>
        <w:t xml:space="preserve">those transportation facilities that are </w:t>
      </w:r>
      <w:r w:rsidR="00047DAB">
        <w:t xml:space="preserve">wholly or </w:t>
      </w:r>
      <w:r>
        <w:t xml:space="preserve">partially </w:t>
      </w:r>
      <w:r w:rsidR="00047DAB">
        <w:t xml:space="preserve">located in the </w:t>
      </w:r>
      <w:bookmarkEnd w:id="102"/>
      <w:r w:rsidR="00CB0E55">
        <w:t xml:space="preserve">NT </w:t>
      </w:r>
      <w:r>
        <w:t xml:space="preserve">(see Table </w:t>
      </w:r>
      <w:r w:rsidR="00A34EF2">
        <w:t>10</w:t>
      </w:r>
      <w:r>
        <w:t>.3)</w:t>
      </w:r>
      <w:r w:rsidR="00047DAB">
        <w:t>.</w:t>
      </w:r>
    </w:p>
    <w:p w14:paraId="1E050CBB" w14:textId="1904DF41" w:rsidR="00047DAB" w:rsidRPr="00B901E1" w:rsidRDefault="00D42CCB" w:rsidP="00CF72C1">
      <w:pPr>
        <w:pStyle w:val="Caption"/>
        <w:keepNext w:val="0"/>
        <w:keepLines w:val="0"/>
        <w:spacing w:after="0"/>
        <w:rPr>
          <w:rFonts w:cs="Arial"/>
        </w:rPr>
      </w:pPr>
      <w:bookmarkStart w:id="103" w:name="_Hlk516416723"/>
      <w:r>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10</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1</w:t>
      </w:r>
      <w:r w:rsidR="002B13EB">
        <w:rPr>
          <w:noProof/>
        </w:rPr>
        <w:fldChar w:fldCharType="end"/>
      </w:r>
      <w:r>
        <w:t xml:space="preserve">: </w:t>
      </w:r>
      <w:r w:rsidR="00047DAB" w:rsidRPr="00C37D44">
        <w:rPr>
          <w:rFonts w:cs="Arial"/>
        </w:rPr>
        <w:t>Key timings for existing transportation facilities and allocation agents (</w:t>
      </w:r>
      <w:r w:rsidR="00047DAB">
        <w:rPr>
          <w:rFonts w:cs="Arial"/>
        </w:rPr>
        <w:t>excluding facilities located wholly or partly in the NT</w:t>
      </w:r>
      <w:r w:rsidR="00047DAB" w:rsidRPr="00C37D44">
        <w:rPr>
          <w:rFonts w:cs="Arial"/>
        </w:rPr>
        <w:t>)</w:t>
      </w:r>
    </w:p>
    <w:tbl>
      <w:tblPr>
        <w:tblStyle w:val="TableGrid"/>
        <w:tblW w:w="5162" w:type="pct"/>
        <w:tblLook w:val="04A0" w:firstRow="1" w:lastRow="0" w:firstColumn="1" w:lastColumn="0" w:noHBand="0" w:noVBand="1"/>
        <w:tblCaption w:val="Table 9.1: Commencement of key reform measures"/>
        <w:tblDescription w:val="Table outlining timing for commencement of key reform measures"/>
      </w:tblPr>
      <w:tblGrid>
        <w:gridCol w:w="1701"/>
        <w:gridCol w:w="7372"/>
      </w:tblGrid>
      <w:tr w:rsidR="00047DAB" w:rsidRPr="00B901E1" w14:paraId="12EA39B4" w14:textId="77777777" w:rsidTr="00315F2F">
        <w:trPr>
          <w:cnfStyle w:val="100000000000" w:firstRow="1" w:lastRow="0" w:firstColumn="0" w:lastColumn="0" w:oddVBand="0" w:evenVBand="0" w:oddHBand="0" w:evenHBand="0" w:firstRowFirstColumn="0" w:firstRowLastColumn="0" w:lastRowFirstColumn="0" w:lastRowLastColumn="0"/>
          <w:tblHeader/>
        </w:trPr>
        <w:tc>
          <w:tcPr>
            <w:tcW w:w="1701" w:type="dxa"/>
            <w:shd w:val="clear" w:color="auto" w:fill="0099CC"/>
          </w:tcPr>
          <w:p w14:paraId="42C62598" w14:textId="77777777" w:rsidR="00047DAB" w:rsidRPr="00B901E1" w:rsidRDefault="00047DAB" w:rsidP="00CF72C1">
            <w:pPr>
              <w:pStyle w:val="TableBodyText"/>
              <w:spacing w:before="20" w:after="20" w:line="252" w:lineRule="auto"/>
              <w:rPr>
                <w:b w:val="0"/>
                <w:szCs w:val="18"/>
              </w:rPr>
            </w:pPr>
            <w:r w:rsidRPr="00B901E1">
              <w:rPr>
                <w:szCs w:val="18"/>
              </w:rPr>
              <w:t>Date</w:t>
            </w:r>
          </w:p>
        </w:tc>
        <w:tc>
          <w:tcPr>
            <w:tcW w:w="7372" w:type="dxa"/>
            <w:shd w:val="clear" w:color="auto" w:fill="0099CC"/>
          </w:tcPr>
          <w:p w14:paraId="469D12E2" w14:textId="77777777" w:rsidR="00047DAB" w:rsidRPr="00B901E1" w:rsidRDefault="00047DAB" w:rsidP="00CF72C1">
            <w:pPr>
              <w:pStyle w:val="TableBodyText"/>
              <w:spacing w:before="20" w:after="20" w:line="252" w:lineRule="auto"/>
              <w:rPr>
                <w:b w:val="0"/>
                <w:szCs w:val="18"/>
              </w:rPr>
            </w:pPr>
            <w:r w:rsidRPr="00B901E1">
              <w:rPr>
                <w:szCs w:val="18"/>
              </w:rPr>
              <w:t>Activity</w:t>
            </w:r>
          </w:p>
        </w:tc>
      </w:tr>
      <w:tr w:rsidR="009A5382" w:rsidRPr="00B901E1" w14:paraId="731D5700" w14:textId="77777777" w:rsidTr="00315F2F">
        <w:trPr>
          <w:trHeight w:val="458"/>
        </w:trPr>
        <w:tc>
          <w:tcPr>
            <w:tcW w:w="1701" w:type="dxa"/>
            <w:vMerge w:val="restart"/>
            <w:shd w:val="clear" w:color="auto" w:fill="E1E2E7" w:themeFill="background2"/>
          </w:tcPr>
          <w:p w14:paraId="3EB45A73" w14:textId="77777777" w:rsidR="009A5382" w:rsidRPr="00B901E1" w:rsidRDefault="009A5382" w:rsidP="00CF72C1">
            <w:pPr>
              <w:pStyle w:val="TableBodyText"/>
              <w:spacing w:before="20" w:after="20" w:line="252" w:lineRule="auto"/>
              <w:rPr>
                <w:szCs w:val="18"/>
              </w:rPr>
            </w:pPr>
            <w:r w:rsidRPr="00B901E1">
              <w:rPr>
                <w:szCs w:val="18"/>
              </w:rPr>
              <w:t>Rules start date on or before 1</w:t>
            </w:r>
            <w:r>
              <w:rPr>
                <w:szCs w:val="18"/>
              </w:rPr>
              <w:t> </w:t>
            </w:r>
            <w:r w:rsidRPr="00B901E1">
              <w:rPr>
                <w:szCs w:val="18"/>
              </w:rPr>
              <w:t>December 2018</w:t>
            </w:r>
          </w:p>
        </w:tc>
        <w:tc>
          <w:tcPr>
            <w:tcW w:w="7372" w:type="dxa"/>
            <w:tcBorders>
              <w:bottom w:val="single" w:sz="4" w:space="0" w:color="auto"/>
            </w:tcBorders>
            <w:shd w:val="clear" w:color="auto" w:fill="E1E2E7" w:themeFill="background2"/>
          </w:tcPr>
          <w:p w14:paraId="27FEC020" w14:textId="77777777" w:rsidR="009A5382" w:rsidRPr="00B901E1" w:rsidRDefault="009A5382" w:rsidP="00CF72C1">
            <w:pPr>
              <w:spacing w:before="20" w:after="20" w:line="252" w:lineRule="auto"/>
              <w:rPr>
                <w:rFonts w:cs="Arial"/>
                <w:szCs w:val="18"/>
              </w:rPr>
            </w:pPr>
            <w:r>
              <w:rPr>
                <w:rFonts w:cs="Arial"/>
                <w:szCs w:val="18"/>
              </w:rPr>
              <w:t xml:space="preserve">A transportation facility commissioned on or before this date is </w:t>
            </w:r>
            <w:r w:rsidRPr="00B901E1">
              <w:rPr>
                <w:rFonts w:cs="Arial"/>
                <w:szCs w:val="18"/>
              </w:rPr>
              <w:t xml:space="preserve">an </w:t>
            </w:r>
            <w:r>
              <w:rPr>
                <w:rFonts w:cs="Arial"/>
                <w:szCs w:val="18"/>
              </w:rPr>
              <w:t xml:space="preserve">“existing transportation </w:t>
            </w:r>
            <w:r w:rsidRPr="00B901E1">
              <w:rPr>
                <w:rFonts w:cs="Arial"/>
                <w:szCs w:val="18"/>
              </w:rPr>
              <w:t>facility</w:t>
            </w:r>
            <w:r>
              <w:rPr>
                <w:rFonts w:cs="Arial"/>
                <w:szCs w:val="18"/>
              </w:rPr>
              <w:t>” for the purposes of the transitional arrangements in the NGR.</w:t>
            </w:r>
            <w:r w:rsidDel="004865D6">
              <w:rPr>
                <w:rFonts w:cs="Arial"/>
                <w:szCs w:val="18"/>
              </w:rPr>
              <w:t xml:space="preserve"> </w:t>
            </w:r>
          </w:p>
        </w:tc>
      </w:tr>
      <w:tr w:rsidR="009A5382" w:rsidRPr="00B901E1" w14:paraId="459497A9" w14:textId="77777777" w:rsidTr="00315F2F">
        <w:trPr>
          <w:cnfStyle w:val="000000010000" w:firstRow="0" w:lastRow="0" w:firstColumn="0" w:lastColumn="0" w:oddVBand="0" w:evenVBand="0" w:oddHBand="0" w:evenHBand="1" w:firstRowFirstColumn="0" w:firstRowLastColumn="0" w:lastRowFirstColumn="0" w:lastRowLastColumn="0"/>
          <w:trHeight w:val="457"/>
        </w:trPr>
        <w:tc>
          <w:tcPr>
            <w:tcW w:w="1701" w:type="dxa"/>
            <w:vMerge/>
          </w:tcPr>
          <w:p w14:paraId="479F90DD" w14:textId="77777777" w:rsidR="009A5382" w:rsidRPr="00B901E1" w:rsidRDefault="009A5382" w:rsidP="00CF72C1">
            <w:pPr>
              <w:pStyle w:val="TableBodyText"/>
              <w:spacing w:before="20" w:after="20" w:line="252" w:lineRule="auto"/>
              <w:rPr>
                <w:szCs w:val="18"/>
              </w:rPr>
            </w:pPr>
          </w:p>
        </w:tc>
        <w:tc>
          <w:tcPr>
            <w:tcW w:w="7372" w:type="dxa"/>
          </w:tcPr>
          <w:p w14:paraId="4F853D7C" w14:textId="77777777" w:rsidR="009A5382" w:rsidRPr="00B901E1" w:rsidRDefault="009A5382" w:rsidP="00CF72C1">
            <w:pPr>
              <w:spacing w:before="20" w:after="20" w:line="252" w:lineRule="auto"/>
              <w:rPr>
                <w:rFonts w:cs="Arial"/>
                <w:szCs w:val="18"/>
              </w:rPr>
            </w:pPr>
            <w:r>
              <w:rPr>
                <w:rFonts w:cs="Arial"/>
                <w:szCs w:val="18"/>
              </w:rPr>
              <w:t xml:space="preserve">A system injection point or system withdrawal point in the DTS that meets the relevant criteria in the NGR becomes an “existing BB </w:t>
            </w:r>
            <w:r w:rsidRPr="00B901E1">
              <w:rPr>
                <w:rFonts w:cs="Arial"/>
                <w:szCs w:val="18"/>
              </w:rPr>
              <w:t xml:space="preserve">allocation </w:t>
            </w:r>
            <w:r>
              <w:rPr>
                <w:rFonts w:cs="Arial"/>
                <w:szCs w:val="18"/>
              </w:rPr>
              <w:t xml:space="preserve">point” and the agent responsible for the point becomes an “existing BB </w:t>
            </w:r>
            <w:r w:rsidRPr="00B901E1">
              <w:rPr>
                <w:rFonts w:cs="Arial"/>
                <w:szCs w:val="18"/>
              </w:rPr>
              <w:t xml:space="preserve">allocation </w:t>
            </w:r>
            <w:r>
              <w:rPr>
                <w:rFonts w:cs="Arial"/>
                <w:szCs w:val="18"/>
              </w:rPr>
              <w:t>agent” for the purposes of the transitional arrangements in the NGR.</w:t>
            </w:r>
          </w:p>
        </w:tc>
      </w:tr>
      <w:tr w:rsidR="009A5382" w:rsidRPr="00B901E1" w14:paraId="12F19A94" w14:textId="77777777" w:rsidTr="009A5382">
        <w:trPr>
          <w:trHeight w:val="570"/>
        </w:trPr>
        <w:tc>
          <w:tcPr>
            <w:tcW w:w="1701" w:type="dxa"/>
            <w:vMerge/>
          </w:tcPr>
          <w:p w14:paraId="708B1186" w14:textId="77777777" w:rsidR="009A5382" w:rsidRPr="00B901E1" w:rsidRDefault="009A5382" w:rsidP="00CF72C1">
            <w:pPr>
              <w:pStyle w:val="TableBodyText"/>
              <w:spacing w:before="20" w:after="20" w:line="252" w:lineRule="auto"/>
              <w:rPr>
                <w:szCs w:val="18"/>
              </w:rPr>
            </w:pPr>
          </w:p>
        </w:tc>
        <w:tc>
          <w:tcPr>
            <w:tcW w:w="7372" w:type="dxa"/>
            <w:shd w:val="clear" w:color="auto" w:fill="E1E2E7" w:themeFill="background2"/>
          </w:tcPr>
          <w:p w14:paraId="222C276F" w14:textId="77777777" w:rsidR="009A5382" w:rsidRDefault="009A5382" w:rsidP="009A5382">
            <w:pPr>
              <w:spacing w:before="20" w:after="20" w:line="252" w:lineRule="auto"/>
              <w:rPr>
                <w:rFonts w:cs="Arial"/>
                <w:szCs w:val="18"/>
              </w:rPr>
            </w:pPr>
            <w:r>
              <w:rPr>
                <w:rFonts w:cs="Arial"/>
                <w:szCs w:val="18"/>
              </w:rPr>
              <w:t>Shippers using a Part 24 facility or a conditionally exempt facility can seek amendments to existing facility agreements if required to enable capacity trading to occur and can also use the new framework in the NGR to request changes to receipt and delivery points.</w:t>
            </w:r>
          </w:p>
        </w:tc>
      </w:tr>
      <w:tr w:rsidR="009A5382" w:rsidRPr="00B901E1" w14:paraId="1507AD5C" w14:textId="77777777" w:rsidTr="00315F2F">
        <w:trPr>
          <w:cnfStyle w:val="000000010000" w:firstRow="0" w:lastRow="0" w:firstColumn="0" w:lastColumn="0" w:oddVBand="0" w:evenVBand="0" w:oddHBand="0" w:evenHBand="1" w:firstRowFirstColumn="0" w:firstRowLastColumn="0" w:lastRowFirstColumn="0" w:lastRowLastColumn="0"/>
          <w:trHeight w:val="569"/>
        </w:trPr>
        <w:tc>
          <w:tcPr>
            <w:tcW w:w="1701" w:type="dxa"/>
            <w:vMerge/>
          </w:tcPr>
          <w:p w14:paraId="59C3DDA8" w14:textId="77777777" w:rsidR="009A5382" w:rsidRPr="00B901E1" w:rsidRDefault="009A5382" w:rsidP="00CF72C1">
            <w:pPr>
              <w:pStyle w:val="TableBodyText"/>
              <w:spacing w:before="20" w:after="20" w:line="252" w:lineRule="auto"/>
              <w:rPr>
                <w:szCs w:val="18"/>
              </w:rPr>
            </w:pPr>
          </w:p>
        </w:tc>
        <w:tc>
          <w:tcPr>
            <w:tcW w:w="7372" w:type="dxa"/>
          </w:tcPr>
          <w:p w14:paraId="4A1B5138" w14:textId="77777777" w:rsidR="009A5382" w:rsidRDefault="009A5382" w:rsidP="00CF72C1">
            <w:pPr>
              <w:spacing w:before="20" w:after="20" w:line="252" w:lineRule="auto"/>
              <w:rPr>
                <w:rFonts w:cs="Arial"/>
                <w:szCs w:val="18"/>
              </w:rPr>
            </w:pPr>
            <w:r>
              <w:rPr>
                <w:rFonts w:cs="Arial"/>
                <w:szCs w:val="18"/>
              </w:rPr>
              <w:t>New facility agreements must include provisions that permit shippers to sell capacity under an OTSA and must also give effect to the facilitation of trade principles in the NGR.</w:t>
            </w:r>
          </w:p>
        </w:tc>
      </w:tr>
      <w:tr w:rsidR="00047DAB" w:rsidRPr="00B901E1" w14:paraId="68726165" w14:textId="77777777" w:rsidTr="00315F2F">
        <w:trPr>
          <w:trHeight w:val="156"/>
        </w:trPr>
        <w:tc>
          <w:tcPr>
            <w:tcW w:w="1701" w:type="dxa"/>
            <w:vMerge w:val="restart"/>
            <w:shd w:val="clear" w:color="auto" w:fill="auto"/>
          </w:tcPr>
          <w:p w14:paraId="629257FE" w14:textId="77777777" w:rsidR="00047DAB" w:rsidRPr="00B901E1" w:rsidRDefault="00047DAB" w:rsidP="00CF72C1">
            <w:pPr>
              <w:pStyle w:val="TableBodyText"/>
              <w:spacing w:before="20" w:after="20" w:line="252" w:lineRule="auto"/>
              <w:rPr>
                <w:szCs w:val="18"/>
              </w:rPr>
            </w:pPr>
            <w:r w:rsidRPr="00B901E1">
              <w:rPr>
                <w:szCs w:val="18"/>
              </w:rPr>
              <w:t>Rules start date + 20 business days</w:t>
            </w:r>
          </w:p>
        </w:tc>
        <w:tc>
          <w:tcPr>
            <w:tcW w:w="7372" w:type="dxa"/>
            <w:shd w:val="clear" w:color="auto" w:fill="auto"/>
          </w:tcPr>
          <w:p w14:paraId="2346A69C" w14:textId="77777777" w:rsidR="00047DAB" w:rsidRPr="00B901E1" w:rsidRDefault="00047DAB" w:rsidP="006F50C7">
            <w:pPr>
              <w:spacing w:before="20" w:after="20" w:line="252" w:lineRule="auto"/>
              <w:rPr>
                <w:rFonts w:cs="Arial"/>
                <w:szCs w:val="18"/>
              </w:rPr>
            </w:pPr>
            <w:r w:rsidRPr="00B901E1">
              <w:rPr>
                <w:rFonts w:cs="Arial"/>
                <w:szCs w:val="18"/>
              </w:rPr>
              <w:t xml:space="preserve">Last date for </w:t>
            </w:r>
            <w:r w:rsidR="00CF2EAC">
              <w:rPr>
                <w:rFonts w:cs="Arial"/>
                <w:szCs w:val="18"/>
              </w:rPr>
              <w:t xml:space="preserve">a </w:t>
            </w:r>
            <w:r w:rsidRPr="00B901E1">
              <w:rPr>
                <w:rFonts w:cs="Arial"/>
                <w:szCs w:val="18"/>
              </w:rPr>
              <w:t>transportation service provider for a</w:t>
            </w:r>
            <w:r>
              <w:rPr>
                <w:rFonts w:cs="Arial"/>
                <w:szCs w:val="18"/>
              </w:rPr>
              <w:t xml:space="preserve">n existing transportation </w:t>
            </w:r>
            <w:r w:rsidRPr="00B901E1">
              <w:rPr>
                <w:rFonts w:cs="Arial"/>
                <w:szCs w:val="18"/>
              </w:rPr>
              <w:t xml:space="preserve">facility </w:t>
            </w:r>
            <w:r w:rsidR="00315F2F">
              <w:rPr>
                <w:rFonts w:cs="Arial"/>
                <w:szCs w:val="18"/>
              </w:rPr>
              <w:t xml:space="preserve">that is </w:t>
            </w:r>
            <w:r w:rsidRPr="00B901E1">
              <w:rPr>
                <w:rFonts w:cs="Arial"/>
                <w:szCs w:val="18"/>
              </w:rPr>
              <w:t xml:space="preserve">not the subject of </w:t>
            </w:r>
            <w:r>
              <w:rPr>
                <w:rFonts w:cs="Arial"/>
                <w:szCs w:val="18"/>
              </w:rPr>
              <w:t xml:space="preserve">an automatic exemption or </w:t>
            </w:r>
            <w:r w:rsidRPr="00B901E1">
              <w:rPr>
                <w:rFonts w:cs="Arial"/>
                <w:szCs w:val="18"/>
              </w:rPr>
              <w:t>a transitional exemption</w:t>
            </w:r>
            <w:r>
              <w:rPr>
                <w:rFonts w:cs="Arial"/>
                <w:szCs w:val="18"/>
              </w:rPr>
              <w:t xml:space="preserve"> </w:t>
            </w:r>
            <w:r w:rsidRPr="00B901E1">
              <w:rPr>
                <w:rFonts w:cs="Arial"/>
                <w:szCs w:val="18"/>
              </w:rPr>
              <w:t xml:space="preserve">to apply to </w:t>
            </w:r>
            <w:r>
              <w:rPr>
                <w:rFonts w:cs="Arial"/>
                <w:szCs w:val="18"/>
              </w:rPr>
              <w:t xml:space="preserve">AEMO to </w:t>
            </w:r>
            <w:r w:rsidRPr="00B901E1">
              <w:rPr>
                <w:rFonts w:cs="Arial"/>
                <w:szCs w:val="18"/>
              </w:rPr>
              <w:t xml:space="preserve">register </w:t>
            </w:r>
            <w:r>
              <w:rPr>
                <w:rFonts w:cs="Arial"/>
                <w:szCs w:val="18"/>
              </w:rPr>
              <w:t xml:space="preserve">as a </w:t>
            </w:r>
            <w:r w:rsidR="009A5382">
              <w:rPr>
                <w:rFonts w:cs="Arial"/>
                <w:szCs w:val="18"/>
              </w:rPr>
              <w:t xml:space="preserve">transportation </w:t>
            </w:r>
            <w:r>
              <w:rPr>
                <w:rFonts w:cs="Arial"/>
                <w:szCs w:val="18"/>
              </w:rPr>
              <w:t>service provider and to register the transportation facility.</w:t>
            </w:r>
            <w:r>
              <w:rPr>
                <w:rStyle w:val="FootnoteReference"/>
                <w:rFonts w:cs="Arial"/>
                <w:szCs w:val="18"/>
              </w:rPr>
              <w:footnoteReference w:id="405"/>
            </w:r>
            <w:r>
              <w:rPr>
                <w:rFonts w:cs="Arial"/>
                <w:szCs w:val="18"/>
              </w:rPr>
              <w:t xml:space="preserve"> </w:t>
            </w:r>
          </w:p>
        </w:tc>
      </w:tr>
      <w:tr w:rsidR="00047DAB" w:rsidRPr="00B901E1" w14:paraId="496DB450" w14:textId="77777777" w:rsidTr="009A5382">
        <w:trPr>
          <w:cnfStyle w:val="000000010000" w:firstRow="0" w:lastRow="0" w:firstColumn="0" w:lastColumn="0" w:oddVBand="0" w:evenVBand="0" w:oddHBand="0" w:evenHBand="1" w:firstRowFirstColumn="0" w:firstRowLastColumn="0" w:lastRowFirstColumn="0" w:lastRowLastColumn="0"/>
          <w:trHeight w:val="153"/>
        </w:trPr>
        <w:tc>
          <w:tcPr>
            <w:tcW w:w="1701" w:type="dxa"/>
            <w:vMerge/>
            <w:tcBorders>
              <w:bottom w:val="single" w:sz="4" w:space="0" w:color="auto"/>
            </w:tcBorders>
            <w:shd w:val="clear" w:color="auto" w:fill="auto"/>
          </w:tcPr>
          <w:p w14:paraId="070F5EC6" w14:textId="77777777" w:rsidR="00047DAB" w:rsidRPr="00B901E1" w:rsidRDefault="00047DAB" w:rsidP="00CF72C1">
            <w:pPr>
              <w:pStyle w:val="TableBodyText"/>
              <w:spacing w:before="20" w:after="20" w:line="252" w:lineRule="auto"/>
              <w:rPr>
                <w:szCs w:val="18"/>
              </w:rPr>
            </w:pPr>
          </w:p>
        </w:tc>
        <w:tc>
          <w:tcPr>
            <w:tcW w:w="7372" w:type="dxa"/>
            <w:tcBorders>
              <w:bottom w:val="single" w:sz="4" w:space="0" w:color="auto"/>
            </w:tcBorders>
            <w:shd w:val="clear" w:color="auto" w:fill="auto"/>
          </w:tcPr>
          <w:p w14:paraId="73B387CD" w14:textId="77777777" w:rsidR="00047DAB" w:rsidRPr="00B901E1" w:rsidRDefault="00047DAB" w:rsidP="00CF72C1">
            <w:pPr>
              <w:spacing w:before="20" w:after="20" w:line="252" w:lineRule="auto"/>
              <w:rPr>
                <w:rFonts w:cs="Arial"/>
                <w:szCs w:val="18"/>
              </w:rPr>
            </w:pPr>
            <w:r w:rsidRPr="00B901E1">
              <w:rPr>
                <w:rFonts w:cs="Arial"/>
                <w:szCs w:val="18"/>
              </w:rPr>
              <w:t xml:space="preserve">Last date for existing </w:t>
            </w:r>
            <w:r>
              <w:rPr>
                <w:rFonts w:cs="Arial"/>
                <w:szCs w:val="18"/>
              </w:rPr>
              <w:t xml:space="preserve">BB </w:t>
            </w:r>
            <w:r w:rsidRPr="00B901E1">
              <w:rPr>
                <w:rFonts w:cs="Arial"/>
                <w:szCs w:val="18"/>
              </w:rPr>
              <w:t>allocation agent</w:t>
            </w:r>
            <w:r>
              <w:rPr>
                <w:rFonts w:cs="Arial"/>
                <w:szCs w:val="18"/>
              </w:rPr>
              <w:t>s</w:t>
            </w:r>
            <w:r w:rsidRPr="00B901E1">
              <w:rPr>
                <w:rFonts w:cs="Arial"/>
                <w:szCs w:val="18"/>
              </w:rPr>
              <w:t xml:space="preserve"> </w:t>
            </w:r>
            <w:r>
              <w:rPr>
                <w:rFonts w:cs="Arial"/>
                <w:szCs w:val="18"/>
              </w:rPr>
              <w:t xml:space="preserve">for system injection and withdrawal points in the DTS that are existing BB allocation points </w:t>
            </w:r>
            <w:r w:rsidRPr="00B901E1">
              <w:rPr>
                <w:rFonts w:cs="Arial"/>
                <w:szCs w:val="18"/>
              </w:rPr>
              <w:t xml:space="preserve">to apply </w:t>
            </w:r>
            <w:r>
              <w:rPr>
                <w:rFonts w:cs="Arial"/>
                <w:szCs w:val="18"/>
              </w:rPr>
              <w:t>to AEMO</w:t>
            </w:r>
            <w:r w:rsidRPr="00B901E1">
              <w:rPr>
                <w:rFonts w:cs="Arial"/>
                <w:szCs w:val="18"/>
              </w:rPr>
              <w:t xml:space="preserve"> to register</w:t>
            </w:r>
            <w:r>
              <w:rPr>
                <w:rFonts w:cs="Arial"/>
                <w:szCs w:val="18"/>
              </w:rPr>
              <w:t xml:space="preserve"> as the allocation agent and to register the existing BB allocation point.</w:t>
            </w:r>
          </w:p>
        </w:tc>
      </w:tr>
      <w:tr w:rsidR="00047DAB" w:rsidRPr="00B901E1" w14:paraId="2238D032" w14:textId="77777777" w:rsidTr="009A5382">
        <w:trPr>
          <w:trHeight w:val="153"/>
        </w:trPr>
        <w:tc>
          <w:tcPr>
            <w:tcW w:w="1701" w:type="dxa"/>
            <w:shd w:val="clear" w:color="auto" w:fill="E1E2E7" w:themeFill="background2"/>
          </w:tcPr>
          <w:p w14:paraId="10AB502F" w14:textId="77777777" w:rsidR="00047DAB" w:rsidRPr="00B901E1" w:rsidRDefault="00047DAB" w:rsidP="00CF72C1">
            <w:pPr>
              <w:pStyle w:val="TableBodyText"/>
              <w:spacing w:before="20" w:after="20" w:line="252" w:lineRule="auto"/>
              <w:rPr>
                <w:szCs w:val="18"/>
              </w:rPr>
            </w:pPr>
            <w:r>
              <w:rPr>
                <w:szCs w:val="18"/>
              </w:rPr>
              <w:t>Registration date for existing transportation facilities</w:t>
            </w:r>
          </w:p>
        </w:tc>
        <w:tc>
          <w:tcPr>
            <w:tcW w:w="7372" w:type="dxa"/>
            <w:shd w:val="clear" w:color="auto" w:fill="E1E2E7" w:themeFill="background2"/>
          </w:tcPr>
          <w:p w14:paraId="172FDCDD" w14:textId="77777777" w:rsidR="00047DAB" w:rsidRPr="00B901E1" w:rsidRDefault="009A5382" w:rsidP="00CF72C1">
            <w:pPr>
              <w:spacing w:before="20" w:after="20" w:line="252" w:lineRule="auto"/>
              <w:rPr>
                <w:rFonts w:cs="Arial"/>
                <w:szCs w:val="18"/>
              </w:rPr>
            </w:pPr>
            <w:r>
              <w:rPr>
                <w:rFonts w:cs="Arial"/>
                <w:szCs w:val="18"/>
              </w:rPr>
              <w:t>Date on which the a</w:t>
            </w:r>
            <w:r w:rsidR="00047DAB">
              <w:rPr>
                <w:rFonts w:cs="Arial"/>
                <w:szCs w:val="18"/>
              </w:rPr>
              <w:t>llocation point</w:t>
            </w:r>
            <w:r w:rsidR="00315F2F">
              <w:rPr>
                <w:rFonts w:cs="Arial"/>
                <w:szCs w:val="18"/>
              </w:rPr>
              <w:t>s</w:t>
            </w:r>
            <w:r w:rsidR="00047DAB">
              <w:rPr>
                <w:rFonts w:cs="Arial"/>
                <w:szCs w:val="18"/>
              </w:rPr>
              <w:t xml:space="preserve"> on registered transportation </w:t>
            </w:r>
            <w:r w:rsidR="00047DAB" w:rsidRPr="00B901E1">
              <w:rPr>
                <w:rFonts w:cs="Arial"/>
                <w:szCs w:val="18"/>
              </w:rPr>
              <w:t>facilit</w:t>
            </w:r>
            <w:r>
              <w:rPr>
                <w:rFonts w:cs="Arial"/>
                <w:szCs w:val="18"/>
              </w:rPr>
              <w:t>ies</w:t>
            </w:r>
            <w:r w:rsidR="00047DAB">
              <w:rPr>
                <w:rFonts w:cs="Arial"/>
                <w:szCs w:val="18"/>
              </w:rPr>
              <w:t xml:space="preserve"> </w:t>
            </w:r>
            <w:r>
              <w:rPr>
                <w:rFonts w:cs="Arial"/>
                <w:szCs w:val="18"/>
              </w:rPr>
              <w:t xml:space="preserve">and on system injection points and system withdrawal points in the DTS </w:t>
            </w:r>
            <w:r w:rsidR="00047DAB">
              <w:rPr>
                <w:rFonts w:cs="Arial"/>
                <w:szCs w:val="18"/>
              </w:rPr>
              <w:t>become “existing BB allocation point</w:t>
            </w:r>
            <w:r>
              <w:rPr>
                <w:rFonts w:cs="Arial"/>
                <w:szCs w:val="18"/>
              </w:rPr>
              <w:t>s</w:t>
            </w:r>
            <w:r w:rsidR="00047DAB">
              <w:rPr>
                <w:rFonts w:cs="Arial"/>
                <w:szCs w:val="18"/>
              </w:rPr>
              <w:t xml:space="preserve">” and </w:t>
            </w:r>
            <w:r>
              <w:rPr>
                <w:rFonts w:cs="Arial"/>
                <w:szCs w:val="18"/>
              </w:rPr>
              <w:t xml:space="preserve">the </w:t>
            </w:r>
            <w:r w:rsidR="00047DAB">
              <w:rPr>
                <w:rFonts w:cs="Arial"/>
                <w:szCs w:val="18"/>
              </w:rPr>
              <w:t>agent</w:t>
            </w:r>
            <w:r>
              <w:rPr>
                <w:rFonts w:cs="Arial"/>
                <w:szCs w:val="18"/>
              </w:rPr>
              <w:t>s</w:t>
            </w:r>
            <w:r w:rsidR="00047DAB">
              <w:rPr>
                <w:rFonts w:cs="Arial"/>
                <w:szCs w:val="18"/>
              </w:rPr>
              <w:t xml:space="preserve"> responsible for the</w:t>
            </w:r>
            <w:r>
              <w:rPr>
                <w:rFonts w:cs="Arial"/>
                <w:szCs w:val="18"/>
              </w:rPr>
              <w:t>se</w:t>
            </w:r>
            <w:r w:rsidR="00047DAB">
              <w:rPr>
                <w:rFonts w:cs="Arial"/>
                <w:szCs w:val="18"/>
              </w:rPr>
              <w:t xml:space="preserve"> point</w:t>
            </w:r>
            <w:r>
              <w:rPr>
                <w:rFonts w:cs="Arial"/>
                <w:szCs w:val="18"/>
              </w:rPr>
              <w:t>s</w:t>
            </w:r>
            <w:r w:rsidR="001C0945">
              <w:rPr>
                <w:rFonts w:cs="Arial"/>
                <w:szCs w:val="18"/>
              </w:rPr>
              <w:t xml:space="preserve"> become</w:t>
            </w:r>
            <w:r w:rsidR="00047DAB">
              <w:rPr>
                <w:rFonts w:cs="Arial"/>
                <w:szCs w:val="18"/>
              </w:rPr>
              <w:t xml:space="preserve"> “existing BB </w:t>
            </w:r>
            <w:r w:rsidR="00047DAB" w:rsidRPr="00B901E1">
              <w:rPr>
                <w:rFonts w:cs="Arial"/>
                <w:szCs w:val="18"/>
              </w:rPr>
              <w:t xml:space="preserve">allocation </w:t>
            </w:r>
            <w:r w:rsidR="00047DAB">
              <w:rPr>
                <w:rFonts w:cs="Arial"/>
                <w:szCs w:val="18"/>
              </w:rPr>
              <w:t>agent</w:t>
            </w:r>
            <w:r>
              <w:rPr>
                <w:rFonts w:cs="Arial"/>
                <w:szCs w:val="18"/>
              </w:rPr>
              <w:t>s</w:t>
            </w:r>
            <w:r w:rsidR="00047DAB">
              <w:rPr>
                <w:rFonts w:cs="Arial"/>
                <w:szCs w:val="18"/>
              </w:rPr>
              <w:t>” for the purposes of the transitional arrangements in the NGR.</w:t>
            </w:r>
          </w:p>
        </w:tc>
      </w:tr>
      <w:tr w:rsidR="00047DAB" w:rsidRPr="00B901E1" w14:paraId="0C975A5E" w14:textId="77777777" w:rsidTr="009A5382">
        <w:trPr>
          <w:cnfStyle w:val="000000010000" w:firstRow="0" w:lastRow="0" w:firstColumn="0" w:lastColumn="0" w:oddVBand="0" w:evenVBand="0" w:oddHBand="0" w:evenHBand="1" w:firstRowFirstColumn="0" w:firstRowLastColumn="0" w:lastRowFirstColumn="0" w:lastRowLastColumn="0"/>
          <w:trHeight w:val="153"/>
        </w:trPr>
        <w:tc>
          <w:tcPr>
            <w:tcW w:w="1701" w:type="dxa"/>
            <w:tcBorders>
              <w:bottom w:val="single" w:sz="4" w:space="0" w:color="auto"/>
            </w:tcBorders>
            <w:shd w:val="clear" w:color="auto" w:fill="auto"/>
          </w:tcPr>
          <w:p w14:paraId="7897D3B2" w14:textId="77777777" w:rsidR="00047DAB" w:rsidRDefault="00047DAB" w:rsidP="00CF72C1">
            <w:pPr>
              <w:pStyle w:val="TableBodyText"/>
              <w:spacing w:before="20" w:after="20" w:line="252" w:lineRule="auto"/>
              <w:rPr>
                <w:szCs w:val="18"/>
              </w:rPr>
            </w:pPr>
            <w:r>
              <w:rPr>
                <w:szCs w:val="18"/>
              </w:rPr>
              <w:t>Registration date for existing transportation facilities + 20 business days</w:t>
            </w:r>
          </w:p>
        </w:tc>
        <w:tc>
          <w:tcPr>
            <w:tcW w:w="7372" w:type="dxa"/>
            <w:tcBorders>
              <w:bottom w:val="single" w:sz="4" w:space="0" w:color="auto"/>
            </w:tcBorders>
            <w:shd w:val="clear" w:color="auto" w:fill="auto"/>
          </w:tcPr>
          <w:p w14:paraId="73A14314" w14:textId="77777777" w:rsidR="00047DAB" w:rsidRDefault="00047DAB" w:rsidP="00CF72C1">
            <w:pPr>
              <w:spacing w:before="20" w:after="20" w:line="252" w:lineRule="auto"/>
              <w:rPr>
                <w:rFonts w:cs="Arial"/>
                <w:szCs w:val="18"/>
              </w:rPr>
            </w:pPr>
            <w:r>
              <w:rPr>
                <w:rFonts w:cs="Arial"/>
                <w:szCs w:val="18"/>
              </w:rPr>
              <w:t xml:space="preserve">Last date for existing BB allocation agents for non-DTS existing BB allocation points </w:t>
            </w:r>
            <w:r w:rsidRPr="00B901E1">
              <w:rPr>
                <w:rFonts w:cs="Arial"/>
                <w:szCs w:val="18"/>
              </w:rPr>
              <w:t xml:space="preserve">to apply </w:t>
            </w:r>
            <w:r>
              <w:rPr>
                <w:rFonts w:cs="Arial"/>
                <w:szCs w:val="18"/>
              </w:rPr>
              <w:t>to AEMO</w:t>
            </w:r>
            <w:r w:rsidRPr="00B901E1">
              <w:rPr>
                <w:rFonts w:cs="Arial"/>
                <w:szCs w:val="18"/>
              </w:rPr>
              <w:t xml:space="preserve"> to register</w:t>
            </w:r>
            <w:r>
              <w:rPr>
                <w:rFonts w:cs="Arial"/>
                <w:szCs w:val="18"/>
              </w:rPr>
              <w:t xml:space="preserve"> as the allocation agent (if not already registered) and to register the existing BB allocation points.</w:t>
            </w:r>
          </w:p>
        </w:tc>
      </w:tr>
      <w:tr w:rsidR="00047DAB" w:rsidRPr="00B901E1" w14:paraId="4F5E6061" w14:textId="77777777" w:rsidTr="009A5382">
        <w:tc>
          <w:tcPr>
            <w:tcW w:w="1701" w:type="dxa"/>
            <w:shd w:val="clear" w:color="auto" w:fill="E1E2E7" w:themeFill="background2"/>
          </w:tcPr>
          <w:p w14:paraId="2572849E" w14:textId="77777777" w:rsidR="00047DAB" w:rsidRPr="00B901E1" w:rsidRDefault="00047DAB" w:rsidP="00200CAD">
            <w:pPr>
              <w:pStyle w:val="TableBodyText"/>
              <w:keepNext/>
              <w:spacing w:before="20" w:after="20" w:line="252" w:lineRule="auto"/>
              <w:rPr>
                <w:szCs w:val="18"/>
              </w:rPr>
            </w:pPr>
            <w:r w:rsidRPr="00B901E1">
              <w:rPr>
                <w:szCs w:val="18"/>
              </w:rPr>
              <w:lastRenderedPageBreak/>
              <w:t>Rules start date + 40 business days</w:t>
            </w:r>
          </w:p>
        </w:tc>
        <w:tc>
          <w:tcPr>
            <w:tcW w:w="7372" w:type="dxa"/>
            <w:shd w:val="clear" w:color="auto" w:fill="E1E2E7" w:themeFill="background2"/>
          </w:tcPr>
          <w:p w14:paraId="35566B47" w14:textId="77777777" w:rsidR="00047DAB" w:rsidRPr="00B901E1" w:rsidRDefault="00047DAB" w:rsidP="00200CAD">
            <w:pPr>
              <w:pStyle w:val="TableBodyText"/>
              <w:keepNext/>
              <w:spacing w:before="20" w:after="20" w:line="252" w:lineRule="auto"/>
              <w:rPr>
                <w:szCs w:val="18"/>
              </w:rPr>
            </w:pPr>
            <w:r>
              <w:rPr>
                <w:szCs w:val="18"/>
              </w:rPr>
              <w:t>Last date for transportation service providers</w:t>
            </w:r>
            <w:r w:rsidR="00315F2F">
              <w:rPr>
                <w:szCs w:val="18"/>
              </w:rPr>
              <w:t xml:space="preserve"> for Part 24 facilities</w:t>
            </w:r>
            <w:r>
              <w:rPr>
                <w:szCs w:val="18"/>
              </w:rPr>
              <w:t xml:space="preserve"> to</w:t>
            </w:r>
            <w:r w:rsidRPr="00B901E1">
              <w:rPr>
                <w:szCs w:val="18"/>
              </w:rPr>
              <w:t xml:space="preserve"> publish a standard </w:t>
            </w:r>
            <w:r>
              <w:rPr>
                <w:szCs w:val="18"/>
              </w:rPr>
              <w:t xml:space="preserve">OTSA and a schedule of standardisation charges. If a shipper makes a request to enter into the standard OTSA, </w:t>
            </w:r>
            <w:r w:rsidR="00315F2F">
              <w:rPr>
                <w:szCs w:val="18"/>
              </w:rPr>
              <w:t xml:space="preserve">these transportation </w:t>
            </w:r>
            <w:r>
              <w:rPr>
                <w:szCs w:val="18"/>
              </w:rPr>
              <w:t>service providers have 20 business days (or longer if agreed to by the parties) to prepare and offer to enter into the agreement.</w:t>
            </w:r>
          </w:p>
        </w:tc>
      </w:tr>
      <w:tr w:rsidR="00047DAB" w:rsidRPr="00B901E1" w14:paraId="31D144FB" w14:textId="77777777" w:rsidTr="009A5382">
        <w:trPr>
          <w:cnfStyle w:val="000000010000" w:firstRow="0" w:lastRow="0" w:firstColumn="0" w:lastColumn="0" w:oddVBand="0" w:evenVBand="0" w:oddHBand="0" w:evenHBand="1" w:firstRowFirstColumn="0" w:firstRowLastColumn="0" w:lastRowFirstColumn="0" w:lastRowLastColumn="0"/>
        </w:trPr>
        <w:tc>
          <w:tcPr>
            <w:tcW w:w="1701" w:type="dxa"/>
            <w:tcBorders>
              <w:bottom w:val="single" w:sz="4" w:space="0" w:color="auto"/>
            </w:tcBorders>
            <w:shd w:val="clear" w:color="auto" w:fill="auto"/>
          </w:tcPr>
          <w:p w14:paraId="72A43E0E" w14:textId="77777777" w:rsidR="00047DAB" w:rsidRPr="00C37D44" w:rsidRDefault="00047DAB" w:rsidP="00200CAD">
            <w:pPr>
              <w:pStyle w:val="TableBodyText"/>
              <w:keepNext/>
              <w:spacing w:before="20" w:after="20" w:line="252" w:lineRule="auto"/>
              <w:rPr>
                <w:szCs w:val="18"/>
              </w:rPr>
            </w:pPr>
            <w:r w:rsidRPr="00C37D44">
              <w:rPr>
                <w:szCs w:val="18"/>
              </w:rPr>
              <w:t>16 January 2019</w:t>
            </w:r>
          </w:p>
        </w:tc>
        <w:tc>
          <w:tcPr>
            <w:tcW w:w="7372" w:type="dxa"/>
            <w:tcBorders>
              <w:bottom w:val="single" w:sz="4" w:space="0" w:color="auto"/>
            </w:tcBorders>
            <w:shd w:val="clear" w:color="auto" w:fill="auto"/>
          </w:tcPr>
          <w:p w14:paraId="21ED909B" w14:textId="77777777" w:rsidR="00047DAB" w:rsidRPr="00C37D44" w:rsidRDefault="00047DAB" w:rsidP="00200CAD">
            <w:pPr>
              <w:pStyle w:val="TableBodyText"/>
              <w:keepNext/>
              <w:spacing w:before="20" w:after="20" w:line="252" w:lineRule="auto"/>
              <w:rPr>
                <w:szCs w:val="18"/>
              </w:rPr>
            </w:pPr>
            <w:r>
              <w:rPr>
                <w:szCs w:val="18"/>
              </w:rPr>
              <w:t xml:space="preserve">Date by which </w:t>
            </w:r>
            <w:r w:rsidRPr="00C37D44">
              <w:rPr>
                <w:szCs w:val="18"/>
              </w:rPr>
              <w:t xml:space="preserve">auction facility operators </w:t>
            </w:r>
            <w:r>
              <w:rPr>
                <w:szCs w:val="18"/>
              </w:rPr>
              <w:t xml:space="preserve">must </w:t>
            </w:r>
            <w:r w:rsidRPr="00C37D44">
              <w:rPr>
                <w:szCs w:val="18"/>
              </w:rPr>
              <w:t xml:space="preserve">notify the AER that they intend to classify </w:t>
            </w:r>
            <w:r>
              <w:rPr>
                <w:szCs w:val="18"/>
              </w:rPr>
              <w:t xml:space="preserve">certain </w:t>
            </w:r>
            <w:r w:rsidRPr="00C37D44">
              <w:rPr>
                <w:szCs w:val="18"/>
              </w:rPr>
              <w:t xml:space="preserve">transportation </w:t>
            </w:r>
            <w:r>
              <w:rPr>
                <w:szCs w:val="18"/>
              </w:rPr>
              <w:t xml:space="preserve">services </w:t>
            </w:r>
            <w:r w:rsidRPr="00C37D44">
              <w:rPr>
                <w:szCs w:val="18"/>
              </w:rPr>
              <w:t xml:space="preserve">as </w:t>
            </w:r>
            <w:r>
              <w:rPr>
                <w:szCs w:val="18"/>
              </w:rPr>
              <w:t>‘transitional firm’ services</w:t>
            </w:r>
            <w:r w:rsidRPr="00C37D44">
              <w:rPr>
                <w:szCs w:val="18"/>
              </w:rPr>
              <w:t xml:space="preserve"> </w:t>
            </w:r>
            <w:r>
              <w:rPr>
                <w:szCs w:val="18"/>
              </w:rPr>
              <w:t xml:space="preserve">if the facility operator wishes the classification to apply from the </w:t>
            </w:r>
            <w:r w:rsidRPr="00C37D44">
              <w:rPr>
                <w:szCs w:val="18"/>
              </w:rPr>
              <w:t>commencement of the auction</w:t>
            </w:r>
            <w:r>
              <w:rPr>
                <w:szCs w:val="18"/>
              </w:rPr>
              <w:t>.</w:t>
            </w:r>
            <w:r>
              <w:rPr>
                <w:rStyle w:val="FootnoteReference"/>
                <w:szCs w:val="18"/>
              </w:rPr>
              <w:footnoteReference w:id="406"/>
            </w:r>
            <w:r w:rsidRPr="00C37D44">
              <w:rPr>
                <w:szCs w:val="18"/>
              </w:rPr>
              <w:t xml:space="preserve"> </w:t>
            </w:r>
          </w:p>
        </w:tc>
      </w:tr>
      <w:tr w:rsidR="00047DAB" w:rsidRPr="00B901E1" w14:paraId="5CD18BFD" w14:textId="77777777" w:rsidTr="009A5382">
        <w:tc>
          <w:tcPr>
            <w:tcW w:w="1701" w:type="dxa"/>
            <w:tcBorders>
              <w:bottom w:val="single" w:sz="4" w:space="0" w:color="auto"/>
            </w:tcBorders>
            <w:shd w:val="clear" w:color="auto" w:fill="E1E2E7" w:themeFill="background2"/>
          </w:tcPr>
          <w:p w14:paraId="44500D47" w14:textId="77777777" w:rsidR="00047DAB" w:rsidRPr="00B901E1" w:rsidRDefault="00047DAB" w:rsidP="00200CAD">
            <w:pPr>
              <w:pStyle w:val="TableBodyText"/>
              <w:spacing w:before="20" w:after="20" w:line="252" w:lineRule="auto"/>
              <w:rPr>
                <w:szCs w:val="18"/>
              </w:rPr>
            </w:pPr>
            <w:r w:rsidRPr="00B901E1">
              <w:rPr>
                <w:szCs w:val="18"/>
              </w:rPr>
              <w:t>1 February 2019</w:t>
            </w:r>
          </w:p>
        </w:tc>
        <w:tc>
          <w:tcPr>
            <w:tcW w:w="7372" w:type="dxa"/>
            <w:tcBorders>
              <w:bottom w:val="single" w:sz="4" w:space="0" w:color="auto"/>
            </w:tcBorders>
            <w:shd w:val="clear" w:color="auto" w:fill="E1E2E7" w:themeFill="background2"/>
          </w:tcPr>
          <w:p w14:paraId="4E1A2A32" w14:textId="77777777" w:rsidR="00047DAB" w:rsidRPr="00B901E1" w:rsidRDefault="009A5382" w:rsidP="00200CAD">
            <w:pPr>
              <w:pStyle w:val="TableBodyText"/>
              <w:spacing w:before="20" w:after="20" w:line="252" w:lineRule="auto"/>
              <w:rPr>
                <w:szCs w:val="18"/>
              </w:rPr>
            </w:pPr>
            <w:r>
              <w:rPr>
                <w:szCs w:val="18"/>
              </w:rPr>
              <w:t>The service providers of c</w:t>
            </w:r>
            <w:r w:rsidR="00047DAB" w:rsidRPr="00B901E1">
              <w:rPr>
                <w:szCs w:val="18"/>
              </w:rPr>
              <w:t xml:space="preserve">ompression facilities </w:t>
            </w:r>
            <w:r>
              <w:rPr>
                <w:szCs w:val="18"/>
              </w:rPr>
              <w:t xml:space="preserve">registered as Part 24 facilities </w:t>
            </w:r>
            <w:r w:rsidR="00047DAB" w:rsidRPr="00B901E1">
              <w:rPr>
                <w:szCs w:val="18"/>
              </w:rPr>
              <w:t xml:space="preserve">commence </w:t>
            </w:r>
            <w:r w:rsidR="00047DAB">
              <w:rPr>
                <w:szCs w:val="18"/>
              </w:rPr>
              <w:t xml:space="preserve">reporting a range of operational information to AEMO for publication on the BB. </w:t>
            </w:r>
          </w:p>
        </w:tc>
      </w:tr>
      <w:tr w:rsidR="00315F2F" w:rsidRPr="00B901E1" w14:paraId="64835063" w14:textId="77777777" w:rsidTr="00315F2F">
        <w:trPr>
          <w:cnfStyle w:val="000000010000" w:firstRow="0" w:lastRow="0" w:firstColumn="0" w:lastColumn="0" w:oddVBand="0" w:evenVBand="0" w:oddHBand="0" w:evenHBand="1" w:firstRowFirstColumn="0" w:firstRowLastColumn="0" w:lastRowFirstColumn="0" w:lastRowLastColumn="0"/>
        </w:trPr>
        <w:tc>
          <w:tcPr>
            <w:tcW w:w="1701" w:type="dxa"/>
            <w:vMerge w:val="restart"/>
            <w:shd w:val="clear" w:color="auto" w:fill="FFFFFF" w:themeFill="background1"/>
          </w:tcPr>
          <w:p w14:paraId="6DF46237" w14:textId="77777777" w:rsidR="00315F2F" w:rsidRPr="00B901E1" w:rsidRDefault="00315F2F" w:rsidP="00200CAD">
            <w:pPr>
              <w:pStyle w:val="TableBodyText"/>
              <w:keepNext/>
              <w:spacing w:before="20" w:after="20" w:line="252" w:lineRule="auto"/>
              <w:rPr>
                <w:szCs w:val="18"/>
              </w:rPr>
            </w:pPr>
            <w:r w:rsidRPr="00B901E1">
              <w:rPr>
                <w:szCs w:val="18"/>
              </w:rPr>
              <w:t>1 March 2019</w:t>
            </w:r>
          </w:p>
        </w:tc>
        <w:tc>
          <w:tcPr>
            <w:tcW w:w="7372" w:type="dxa"/>
            <w:shd w:val="clear" w:color="auto" w:fill="FFFFFF" w:themeFill="background1"/>
          </w:tcPr>
          <w:p w14:paraId="5368DB1B" w14:textId="77777777" w:rsidR="0079432A" w:rsidRDefault="00315F2F" w:rsidP="00200CAD">
            <w:pPr>
              <w:pStyle w:val="TableBodyText"/>
              <w:keepNext/>
              <w:spacing w:before="20" w:after="20" w:line="252" w:lineRule="auto"/>
              <w:rPr>
                <w:szCs w:val="18"/>
              </w:rPr>
            </w:pPr>
            <w:r w:rsidRPr="00B901E1">
              <w:rPr>
                <w:szCs w:val="18"/>
              </w:rPr>
              <w:t>First day o</w:t>
            </w:r>
            <w:r w:rsidR="00FB5A68">
              <w:rPr>
                <w:szCs w:val="18"/>
              </w:rPr>
              <w:t>n which</w:t>
            </w:r>
            <w:r w:rsidRPr="00B901E1">
              <w:rPr>
                <w:szCs w:val="18"/>
              </w:rPr>
              <w:t xml:space="preserve"> </w:t>
            </w:r>
            <w:r>
              <w:rPr>
                <w:szCs w:val="18"/>
              </w:rPr>
              <w:t xml:space="preserve">the day-ahead </w:t>
            </w:r>
            <w:r w:rsidRPr="00B901E1">
              <w:rPr>
                <w:szCs w:val="18"/>
              </w:rPr>
              <w:t xml:space="preserve">auction </w:t>
            </w:r>
            <w:r>
              <w:rPr>
                <w:szCs w:val="18"/>
              </w:rPr>
              <w:t>(excluding NT transportation facilities)</w:t>
            </w:r>
            <w:r w:rsidR="0079432A">
              <w:rPr>
                <w:szCs w:val="18"/>
              </w:rPr>
              <w:t xml:space="preserve"> </w:t>
            </w:r>
            <w:r w:rsidR="00FB5A68">
              <w:rPr>
                <w:szCs w:val="18"/>
              </w:rPr>
              <w:t xml:space="preserve">is conducted </w:t>
            </w:r>
            <w:r w:rsidR="0079432A">
              <w:rPr>
                <w:szCs w:val="18"/>
              </w:rPr>
              <w:t xml:space="preserve">and the </w:t>
            </w:r>
            <w:r w:rsidR="009A5382">
              <w:rPr>
                <w:szCs w:val="18"/>
              </w:rPr>
              <w:t xml:space="preserve">first day on which </w:t>
            </w:r>
            <w:r w:rsidR="0079432A">
              <w:rPr>
                <w:szCs w:val="18"/>
              </w:rPr>
              <w:t xml:space="preserve">auction </w:t>
            </w:r>
            <w:r w:rsidR="0079432A" w:rsidRPr="00D30678">
              <w:rPr>
                <w:szCs w:val="18"/>
              </w:rPr>
              <w:t>facility o</w:t>
            </w:r>
            <w:r w:rsidR="0079432A" w:rsidRPr="00050D60">
              <w:rPr>
                <w:szCs w:val="18"/>
              </w:rPr>
              <w:t>perator</w:t>
            </w:r>
            <w:r w:rsidR="0079432A" w:rsidRPr="00D30678">
              <w:rPr>
                <w:szCs w:val="18"/>
              </w:rPr>
              <w:t>s must</w:t>
            </w:r>
            <w:r w:rsidR="0079432A">
              <w:rPr>
                <w:szCs w:val="18"/>
              </w:rPr>
              <w:t>:</w:t>
            </w:r>
            <w:r w:rsidR="0079432A" w:rsidRPr="00D30678">
              <w:rPr>
                <w:szCs w:val="18"/>
              </w:rPr>
              <w:t xml:space="preserve"> </w:t>
            </w:r>
          </w:p>
          <w:p w14:paraId="78AA6FD9" w14:textId="77777777" w:rsidR="009A5382" w:rsidRDefault="009A5382" w:rsidP="0079432A">
            <w:pPr>
              <w:pStyle w:val="TableBullet1"/>
            </w:pPr>
            <w:r>
              <w:t>provide AEMO with the information required to conduct the auction (e.g. the auction quantity limits);</w:t>
            </w:r>
          </w:p>
          <w:p w14:paraId="3D91DE41" w14:textId="77777777" w:rsidR="0079432A" w:rsidRDefault="0079432A" w:rsidP="0079432A">
            <w:pPr>
              <w:pStyle w:val="TableBullet1"/>
            </w:pPr>
            <w:r>
              <w:t xml:space="preserve">give effect to the results of the auction; </w:t>
            </w:r>
          </w:p>
          <w:p w14:paraId="2008385C" w14:textId="77777777" w:rsidR="00315F2F" w:rsidRDefault="0079432A" w:rsidP="0079432A">
            <w:pPr>
              <w:pStyle w:val="TableBullet1"/>
            </w:pPr>
            <w:r w:rsidRPr="00D30678">
              <w:t>keep and maintain nomination and scheduling records</w:t>
            </w:r>
            <w:r>
              <w:t xml:space="preserve"> in accordance with the AER’s record keeping guidelines; and</w:t>
            </w:r>
          </w:p>
          <w:p w14:paraId="7666E59B" w14:textId="77777777" w:rsidR="0079432A" w:rsidRPr="00B901E1" w:rsidRDefault="0079432A" w:rsidP="0079432A">
            <w:pPr>
              <w:pStyle w:val="TableBullet1"/>
            </w:pPr>
            <w:r>
              <w:t>comply with auction reporting obligations.</w:t>
            </w:r>
          </w:p>
        </w:tc>
      </w:tr>
      <w:tr w:rsidR="0079432A" w:rsidRPr="00B901E1" w14:paraId="7E12ADA5" w14:textId="77777777" w:rsidTr="00315F2F">
        <w:tc>
          <w:tcPr>
            <w:tcW w:w="1701" w:type="dxa"/>
            <w:vMerge/>
            <w:shd w:val="clear" w:color="auto" w:fill="FFFFFF" w:themeFill="background1"/>
          </w:tcPr>
          <w:p w14:paraId="1CAFC128" w14:textId="77777777" w:rsidR="0079432A" w:rsidRPr="00B901E1" w:rsidRDefault="0079432A" w:rsidP="0079432A">
            <w:pPr>
              <w:pStyle w:val="TableBodyText"/>
              <w:spacing w:before="20" w:after="20" w:line="252" w:lineRule="auto"/>
              <w:rPr>
                <w:szCs w:val="18"/>
              </w:rPr>
            </w:pPr>
          </w:p>
        </w:tc>
        <w:tc>
          <w:tcPr>
            <w:tcW w:w="7372" w:type="dxa"/>
            <w:shd w:val="clear" w:color="auto" w:fill="FFFFFF" w:themeFill="background1"/>
          </w:tcPr>
          <w:p w14:paraId="1D91D12F" w14:textId="77777777" w:rsidR="0079432A" w:rsidRPr="00B901E1" w:rsidRDefault="0079432A" w:rsidP="0079432A">
            <w:pPr>
              <w:pStyle w:val="TableBodyText"/>
              <w:spacing w:before="20" w:after="20" w:line="252" w:lineRule="auto"/>
              <w:rPr>
                <w:szCs w:val="18"/>
              </w:rPr>
            </w:pPr>
            <w:r w:rsidRPr="00B901E1">
              <w:rPr>
                <w:szCs w:val="18"/>
              </w:rPr>
              <w:t xml:space="preserve">First day on which </w:t>
            </w:r>
            <w:r>
              <w:rPr>
                <w:szCs w:val="18"/>
              </w:rPr>
              <w:t xml:space="preserve">transportation </w:t>
            </w:r>
            <w:r w:rsidRPr="00B901E1">
              <w:rPr>
                <w:szCs w:val="18"/>
              </w:rPr>
              <w:t xml:space="preserve">service providers </w:t>
            </w:r>
            <w:r>
              <w:rPr>
                <w:szCs w:val="18"/>
              </w:rPr>
              <w:t xml:space="preserve">of Part 24 facilities </w:t>
            </w:r>
            <w:r w:rsidRPr="00B901E1">
              <w:rPr>
                <w:szCs w:val="18"/>
              </w:rPr>
              <w:t>are required to give effect to operational transfers</w:t>
            </w:r>
            <w:r>
              <w:rPr>
                <w:szCs w:val="18"/>
              </w:rPr>
              <w:t xml:space="preserve">, </w:t>
            </w:r>
            <w:r w:rsidRPr="00B901E1">
              <w:rPr>
                <w:szCs w:val="18"/>
              </w:rPr>
              <w:t xml:space="preserve">service continuity arrangements </w:t>
            </w:r>
            <w:r>
              <w:rPr>
                <w:szCs w:val="18"/>
              </w:rPr>
              <w:t xml:space="preserve">for trades conducted on the capacity trading platform </w:t>
            </w:r>
            <w:r w:rsidRPr="00B901E1">
              <w:rPr>
                <w:szCs w:val="18"/>
              </w:rPr>
              <w:t>and</w:t>
            </w:r>
            <w:r>
              <w:rPr>
                <w:szCs w:val="18"/>
              </w:rPr>
              <w:t xml:space="preserve"> comply with transaction support arrangements.</w:t>
            </w:r>
          </w:p>
        </w:tc>
      </w:tr>
      <w:tr w:rsidR="0079432A" w:rsidRPr="00B901E1" w14:paraId="402642C6" w14:textId="77777777" w:rsidTr="00315F2F">
        <w:trPr>
          <w:cnfStyle w:val="000000010000" w:firstRow="0" w:lastRow="0" w:firstColumn="0" w:lastColumn="0" w:oddVBand="0" w:evenVBand="0" w:oddHBand="0" w:evenHBand="1" w:firstRowFirstColumn="0" w:firstRowLastColumn="0" w:lastRowFirstColumn="0" w:lastRowLastColumn="0"/>
        </w:trPr>
        <w:tc>
          <w:tcPr>
            <w:tcW w:w="1701" w:type="dxa"/>
            <w:vMerge/>
            <w:tcBorders>
              <w:bottom w:val="single" w:sz="4" w:space="0" w:color="auto"/>
            </w:tcBorders>
            <w:shd w:val="clear" w:color="auto" w:fill="FFFFFF" w:themeFill="background1"/>
          </w:tcPr>
          <w:p w14:paraId="2D9C8E46" w14:textId="77777777" w:rsidR="0079432A" w:rsidRPr="00B901E1" w:rsidRDefault="0079432A" w:rsidP="0079432A">
            <w:pPr>
              <w:pStyle w:val="TableBodyText"/>
              <w:spacing w:before="20" w:after="20" w:line="252" w:lineRule="auto"/>
              <w:rPr>
                <w:szCs w:val="18"/>
              </w:rPr>
            </w:pPr>
          </w:p>
        </w:tc>
        <w:tc>
          <w:tcPr>
            <w:tcW w:w="7372" w:type="dxa"/>
            <w:tcBorders>
              <w:bottom w:val="single" w:sz="4" w:space="0" w:color="auto"/>
            </w:tcBorders>
            <w:shd w:val="clear" w:color="auto" w:fill="FFFFFF" w:themeFill="background1"/>
          </w:tcPr>
          <w:p w14:paraId="6A0AECAB" w14:textId="77777777" w:rsidR="0079432A" w:rsidRDefault="0079432A" w:rsidP="0079432A">
            <w:pPr>
              <w:pStyle w:val="TableBodyText"/>
              <w:spacing w:before="20" w:after="20" w:line="252" w:lineRule="auto"/>
              <w:rPr>
                <w:szCs w:val="18"/>
              </w:rPr>
            </w:pPr>
            <w:r>
              <w:rPr>
                <w:szCs w:val="18"/>
              </w:rPr>
              <w:t xml:space="preserve">First day on which </w:t>
            </w:r>
            <w:r w:rsidRPr="00F04A8E">
              <w:rPr>
                <w:szCs w:val="18"/>
              </w:rPr>
              <w:t>users of auction facilit</w:t>
            </w:r>
            <w:r w:rsidRPr="00C37D44">
              <w:rPr>
                <w:szCs w:val="18"/>
              </w:rPr>
              <w:t xml:space="preserve">ies </w:t>
            </w:r>
            <w:r w:rsidRPr="00D30678">
              <w:rPr>
                <w:szCs w:val="18"/>
              </w:rPr>
              <w:t>must keep records</w:t>
            </w:r>
            <w:r>
              <w:rPr>
                <w:szCs w:val="18"/>
              </w:rPr>
              <w:t xml:space="preserve"> of material changes in renominations in accordance with the AER’s record keeping guidelines.</w:t>
            </w:r>
          </w:p>
        </w:tc>
      </w:tr>
      <w:tr w:rsidR="0079432A" w:rsidRPr="00B901E1" w14:paraId="26D00C14" w14:textId="77777777" w:rsidTr="0079432A">
        <w:tc>
          <w:tcPr>
            <w:tcW w:w="1701" w:type="dxa"/>
            <w:vMerge/>
            <w:tcBorders>
              <w:bottom w:val="single" w:sz="4" w:space="0" w:color="auto"/>
            </w:tcBorders>
            <w:shd w:val="clear" w:color="auto" w:fill="FFFFFF" w:themeFill="background1"/>
          </w:tcPr>
          <w:p w14:paraId="16DC79ED" w14:textId="77777777" w:rsidR="0079432A" w:rsidRPr="00B901E1" w:rsidRDefault="0079432A" w:rsidP="0079432A">
            <w:pPr>
              <w:pStyle w:val="TableBodyText"/>
              <w:spacing w:before="20" w:after="20" w:line="252" w:lineRule="auto"/>
              <w:rPr>
                <w:szCs w:val="18"/>
              </w:rPr>
            </w:pPr>
          </w:p>
        </w:tc>
        <w:tc>
          <w:tcPr>
            <w:tcW w:w="7372" w:type="dxa"/>
            <w:tcBorders>
              <w:bottom w:val="single" w:sz="4" w:space="0" w:color="auto"/>
            </w:tcBorders>
            <w:shd w:val="clear" w:color="auto" w:fill="FFFFFF" w:themeFill="background1"/>
          </w:tcPr>
          <w:p w14:paraId="233E4454" w14:textId="77777777" w:rsidR="0079432A" w:rsidRPr="00B901E1" w:rsidRDefault="0079432A" w:rsidP="0079432A">
            <w:pPr>
              <w:pStyle w:val="TableBodyText"/>
              <w:spacing w:before="20" w:after="20" w:line="252" w:lineRule="auto"/>
              <w:rPr>
                <w:szCs w:val="18"/>
              </w:rPr>
            </w:pPr>
            <w:r>
              <w:rPr>
                <w:szCs w:val="18"/>
              </w:rPr>
              <w:t>First day from which shippers must comply with secondary capacity trading reporting obligations.</w:t>
            </w:r>
          </w:p>
        </w:tc>
      </w:tr>
      <w:tr w:rsidR="0079432A" w:rsidRPr="00B901E1" w14:paraId="431087AE" w14:textId="77777777" w:rsidTr="0079432A">
        <w:trPr>
          <w:cnfStyle w:val="000000010000" w:firstRow="0" w:lastRow="0" w:firstColumn="0" w:lastColumn="0" w:oddVBand="0" w:evenVBand="0" w:oddHBand="0" w:evenHBand="1" w:firstRowFirstColumn="0" w:firstRowLastColumn="0" w:lastRowFirstColumn="0" w:lastRowLastColumn="0"/>
        </w:trPr>
        <w:tc>
          <w:tcPr>
            <w:tcW w:w="1701" w:type="dxa"/>
            <w:tcBorders>
              <w:bottom w:val="single" w:sz="4" w:space="0" w:color="auto"/>
            </w:tcBorders>
          </w:tcPr>
          <w:p w14:paraId="166C32A3" w14:textId="77777777" w:rsidR="0079432A" w:rsidRPr="00B901E1" w:rsidRDefault="0079432A" w:rsidP="0079432A">
            <w:pPr>
              <w:pStyle w:val="TableBodyText"/>
              <w:spacing w:before="20" w:after="20" w:line="252" w:lineRule="auto"/>
              <w:rPr>
                <w:szCs w:val="18"/>
              </w:rPr>
            </w:pPr>
            <w:r w:rsidRPr="00B901E1">
              <w:rPr>
                <w:szCs w:val="18"/>
              </w:rPr>
              <w:t>2 March 2019</w:t>
            </w:r>
          </w:p>
        </w:tc>
        <w:tc>
          <w:tcPr>
            <w:tcW w:w="7372" w:type="dxa"/>
            <w:tcBorders>
              <w:bottom w:val="single" w:sz="4" w:space="0" w:color="auto"/>
            </w:tcBorders>
          </w:tcPr>
          <w:p w14:paraId="4FDF42BF" w14:textId="77777777" w:rsidR="0079432A" w:rsidRPr="00B901E1" w:rsidRDefault="0079432A" w:rsidP="0079432A">
            <w:pPr>
              <w:pStyle w:val="TableBodyText"/>
              <w:spacing w:before="20" w:after="20" w:line="252" w:lineRule="auto"/>
              <w:rPr>
                <w:szCs w:val="18"/>
              </w:rPr>
            </w:pPr>
            <w:r w:rsidRPr="00B901E1">
              <w:rPr>
                <w:szCs w:val="18"/>
              </w:rPr>
              <w:t>First day for use of auctioned capacity</w:t>
            </w:r>
            <w:r>
              <w:rPr>
                <w:szCs w:val="18"/>
              </w:rPr>
              <w:t xml:space="preserve"> and capacity purchased through the capacity trading platform.</w:t>
            </w:r>
          </w:p>
        </w:tc>
      </w:tr>
      <w:tr w:rsidR="0079432A" w:rsidRPr="00B901E1" w14:paraId="34B4533D" w14:textId="77777777" w:rsidTr="0079432A">
        <w:tc>
          <w:tcPr>
            <w:tcW w:w="1701" w:type="dxa"/>
            <w:tcBorders>
              <w:bottom w:val="single" w:sz="4" w:space="0" w:color="auto"/>
            </w:tcBorders>
            <w:shd w:val="clear" w:color="auto" w:fill="FFFFFF" w:themeFill="background1"/>
          </w:tcPr>
          <w:p w14:paraId="6C32066F" w14:textId="77777777" w:rsidR="0079432A" w:rsidRPr="00B901E1" w:rsidRDefault="0079432A" w:rsidP="0079432A">
            <w:pPr>
              <w:pStyle w:val="TableBodyText"/>
              <w:spacing w:before="20" w:after="20" w:line="252" w:lineRule="auto"/>
              <w:rPr>
                <w:szCs w:val="18"/>
              </w:rPr>
            </w:pPr>
            <w:r w:rsidRPr="00B901E1">
              <w:rPr>
                <w:szCs w:val="18"/>
              </w:rPr>
              <w:t>30 June 2019</w:t>
            </w:r>
          </w:p>
        </w:tc>
        <w:tc>
          <w:tcPr>
            <w:tcW w:w="7372" w:type="dxa"/>
            <w:tcBorders>
              <w:bottom w:val="single" w:sz="4" w:space="0" w:color="auto"/>
            </w:tcBorders>
            <w:shd w:val="clear" w:color="auto" w:fill="FFFFFF" w:themeFill="background1"/>
          </w:tcPr>
          <w:p w14:paraId="562DC390" w14:textId="77777777" w:rsidR="0079432A" w:rsidRPr="00B901E1" w:rsidRDefault="0079432A" w:rsidP="0079432A">
            <w:pPr>
              <w:pStyle w:val="TableBodyText"/>
              <w:spacing w:before="20" w:after="20" w:line="252" w:lineRule="auto"/>
              <w:rPr>
                <w:szCs w:val="18"/>
              </w:rPr>
            </w:pPr>
            <w:r>
              <w:rPr>
                <w:szCs w:val="18"/>
              </w:rPr>
              <w:t>Production, storage and transportation f</w:t>
            </w:r>
            <w:r w:rsidRPr="00B901E1">
              <w:rPr>
                <w:szCs w:val="18"/>
              </w:rPr>
              <w:t>acility operator</w:t>
            </w:r>
            <w:r>
              <w:rPr>
                <w:szCs w:val="18"/>
              </w:rPr>
              <w:t>s</w:t>
            </w:r>
            <w:r w:rsidRPr="00B901E1">
              <w:rPr>
                <w:szCs w:val="18"/>
              </w:rPr>
              <w:t xml:space="preserve"> that provide services to third parties must publish information about </w:t>
            </w:r>
            <w:r>
              <w:rPr>
                <w:szCs w:val="18"/>
              </w:rPr>
              <w:t xml:space="preserve">their </w:t>
            </w:r>
            <w:r w:rsidRPr="00B901E1">
              <w:rPr>
                <w:szCs w:val="18"/>
              </w:rPr>
              <w:t xml:space="preserve">arrangements </w:t>
            </w:r>
            <w:r>
              <w:rPr>
                <w:szCs w:val="18"/>
              </w:rPr>
              <w:t xml:space="preserve">to </w:t>
            </w:r>
            <w:r w:rsidRPr="00B901E1">
              <w:rPr>
                <w:szCs w:val="18"/>
              </w:rPr>
              <w:t xml:space="preserve">transition to the standard </w:t>
            </w:r>
            <w:r>
              <w:rPr>
                <w:szCs w:val="18"/>
              </w:rPr>
              <w:t xml:space="preserve">market </w:t>
            </w:r>
            <w:r w:rsidRPr="00B901E1">
              <w:rPr>
                <w:szCs w:val="18"/>
              </w:rPr>
              <w:t>timetable</w:t>
            </w:r>
            <w:r>
              <w:rPr>
                <w:szCs w:val="18"/>
              </w:rPr>
              <w:t>.</w:t>
            </w:r>
          </w:p>
        </w:tc>
      </w:tr>
      <w:tr w:rsidR="0079432A" w:rsidRPr="00B901E1" w14:paraId="72E8F37B" w14:textId="77777777" w:rsidTr="0079432A">
        <w:trPr>
          <w:cnfStyle w:val="000000010000" w:firstRow="0" w:lastRow="0" w:firstColumn="0" w:lastColumn="0" w:oddVBand="0" w:evenVBand="0" w:oddHBand="0" w:evenHBand="1" w:firstRowFirstColumn="0" w:firstRowLastColumn="0" w:lastRowFirstColumn="0" w:lastRowLastColumn="0"/>
        </w:trPr>
        <w:tc>
          <w:tcPr>
            <w:tcW w:w="1701" w:type="dxa"/>
            <w:tcBorders>
              <w:bottom w:val="single" w:sz="4" w:space="0" w:color="auto"/>
            </w:tcBorders>
          </w:tcPr>
          <w:p w14:paraId="04EA2288" w14:textId="77777777" w:rsidR="0079432A" w:rsidRPr="00B901E1" w:rsidRDefault="0079432A" w:rsidP="0079432A">
            <w:pPr>
              <w:pStyle w:val="TableBodyText"/>
              <w:spacing w:before="20" w:after="20" w:line="252" w:lineRule="auto"/>
              <w:rPr>
                <w:szCs w:val="18"/>
              </w:rPr>
            </w:pPr>
            <w:r w:rsidRPr="00B901E1">
              <w:rPr>
                <w:szCs w:val="18"/>
              </w:rPr>
              <w:t>1 October 2019</w:t>
            </w:r>
          </w:p>
        </w:tc>
        <w:tc>
          <w:tcPr>
            <w:tcW w:w="7372" w:type="dxa"/>
            <w:tcBorders>
              <w:bottom w:val="single" w:sz="4" w:space="0" w:color="auto"/>
            </w:tcBorders>
          </w:tcPr>
          <w:p w14:paraId="253B66F1" w14:textId="77777777" w:rsidR="0079432A" w:rsidRPr="00B901E1" w:rsidRDefault="0079432A" w:rsidP="0079432A">
            <w:pPr>
              <w:pStyle w:val="TableBodyText"/>
              <w:spacing w:before="20" w:after="20" w:line="252" w:lineRule="auto"/>
              <w:rPr>
                <w:szCs w:val="18"/>
              </w:rPr>
            </w:pPr>
            <w:r w:rsidRPr="00B901E1">
              <w:rPr>
                <w:szCs w:val="18"/>
              </w:rPr>
              <w:t>Standard market timetable comes into effect</w:t>
            </w:r>
            <w:r>
              <w:rPr>
                <w:szCs w:val="18"/>
              </w:rPr>
              <w:t>.</w:t>
            </w:r>
          </w:p>
        </w:tc>
      </w:tr>
      <w:tr w:rsidR="0079432A" w:rsidRPr="00B901E1" w14:paraId="2E20760A" w14:textId="77777777" w:rsidTr="00315F2F">
        <w:trPr>
          <w:trHeight w:val="118"/>
        </w:trPr>
        <w:tc>
          <w:tcPr>
            <w:tcW w:w="1701" w:type="dxa"/>
            <w:shd w:val="clear" w:color="auto" w:fill="FFFFFF" w:themeFill="background1"/>
          </w:tcPr>
          <w:p w14:paraId="6DD19DE8" w14:textId="77777777" w:rsidR="0079432A" w:rsidRPr="00B901E1" w:rsidRDefault="0079432A" w:rsidP="0079432A">
            <w:pPr>
              <w:pStyle w:val="TableBodyText"/>
              <w:spacing w:before="20" w:after="20"/>
              <w:rPr>
                <w:szCs w:val="18"/>
              </w:rPr>
            </w:pPr>
            <w:r w:rsidRPr="00B901E1">
              <w:rPr>
                <w:szCs w:val="18"/>
              </w:rPr>
              <w:t>1 March 2021</w:t>
            </w:r>
          </w:p>
        </w:tc>
        <w:tc>
          <w:tcPr>
            <w:tcW w:w="7372" w:type="dxa"/>
            <w:shd w:val="clear" w:color="auto" w:fill="FFFFFF" w:themeFill="background1"/>
          </w:tcPr>
          <w:p w14:paraId="1DA3C099" w14:textId="77777777" w:rsidR="0079432A" w:rsidRPr="00B901E1" w:rsidRDefault="0079432A" w:rsidP="0079432A">
            <w:pPr>
              <w:pStyle w:val="TableBodyText"/>
              <w:spacing w:before="20" w:after="20"/>
              <w:rPr>
                <w:szCs w:val="18"/>
              </w:rPr>
            </w:pPr>
            <w:r>
              <w:rPr>
                <w:szCs w:val="18"/>
              </w:rPr>
              <w:t xml:space="preserve">Transitional firm rights </w:t>
            </w:r>
            <w:r w:rsidRPr="00B901E1">
              <w:rPr>
                <w:szCs w:val="18"/>
              </w:rPr>
              <w:t>cease at 6:00 am</w:t>
            </w:r>
            <w:r>
              <w:rPr>
                <w:szCs w:val="18"/>
              </w:rPr>
              <w:t xml:space="preserve"> (AEST).</w:t>
            </w:r>
          </w:p>
        </w:tc>
      </w:tr>
      <w:bookmarkEnd w:id="103"/>
    </w:tbl>
    <w:p w14:paraId="2E5D29E9" w14:textId="77777777" w:rsidR="00047DAB" w:rsidRDefault="00047DAB" w:rsidP="00047DAB">
      <w:pPr>
        <w:pStyle w:val="ListBullet"/>
        <w:numPr>
          <w:ilvl w:val="0"/>
          <w:numId w:val="0"/>
        </w:numPr>
        <w:ind w:left="357" w:hanging="357"/>
        <w:rPr>
          <w:rFonts w:cstheme="majorHAnsi"/>
          <w:color w:val="0099CC"/>
          <w:sz w:val="2"/>
          <w:szCs w:val="2"/>
          <w:highlight w:val="yellow"/>
        </w:rPr>
      </w:pPr>
    </w:p>
    <w:p w14:paraId="471DA609" w14:textId="77777777" w:rsidR="00200CAD" w:rsidRDefault="00200CAD" w:rsidP="00047DAB">
      <w:pPr>
        <w:pStyle w:val="ListBullet"/>
        <w:numPr>
          <w:ilvl w:val="0"/>
          <w:numId w:val="0"/>
        </w:numPr>
        <w:ind w:left="357" w:hanging="357"/>
        <w:rPr>
          <w:rFonts w:cstheme="majorHAnsi"/>
          <w:color w:val="0099CC"/>
          <w:sz w:val="2"/>
          <w:szCs w:val="2"/>
          <w:highlight w:val="yellow"/>
        </w:rPr>
      </w:pPr>
    </w:p>
    <w:p w14:paraId="577791AB" w14:textId="77777777" w:rsidR="00200CAD" w:rsidRDefault="00200CAD" w:rsidP="00047DAB">
      <w:pPr>
        <w:pStyle w:val="ListBullet"/>
        <w:numPr>
          <w:ilvl w:val="0"/>
          <w:numId w:val="0"/>
        </w:numPr>
        <w:ind w:left="357" w:hanging="357"/>
        <w:rPr>
          <w:rFonts w:cstheme="majorHAnsi"/>
          <w:color w:val="0099CC"/>
          <w:sz w:val="2"/>
          <w:szCs w:val="2"/>
          <w:highlight w:val="yellow"/>
        </w:rPr>
      </w:pPr>
    </w:p>
    <w:p w14:paraId="211C2444" w14:textId="3D56482F" w:rsidR="00F81C94" w:rsidRPr="00F81C94" w:rsidRDefault="00D42CCB" w:rsidP="00CF72C1">
      <w:pPr>
        <w:pStyle w:val="Caption"/>
        <w:keepLines w:val="0"/>
        <w:spacing w:before="0" w:after="0"/>
        <w:ind w:left="851" w:hanging="851"/>
        <w:rPr>
          <w:rFonts w:cs="Arial"/>
        </w:rPr>
      </w:pPr>
      <w:bookmarkStart w:id="104" w:name="_Hlk518306003"/>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10</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2</w:t>
      </w:r>
      <w:r w:rsidR="002B13EB">
        <w:rPr>
          <w:noProof/>
        </w:rPr>
        <w:fldChar w:fldCharType="end"/>
      </w:r>
      <w:r>
        <w:t xml:space="preserve">: </w:t>
      </w:r>
      <w:r w:rsidR="00F81C94" w:rsidRPr="00676D5D">
        <w:rPr>
          <w:szCs w:val="18"/>
        </w:rPr>
        <w:t>Key timing</w:t>
      </w:r>
      <w:r w:rsidR="00F81C94">
        <w:rPr>
          <w:szCs w:val="18"/>
        </w:rPr>
        <w:t>s</w:t>
      </w:r>
      <w:r w:rsidR="00F81C94" w:rsidRPr="00676D5D">
        <w:rPr>
          <w:szCs w:val="18"/>
        </w:rPr>
        <w:t xml:space="preserve"> for new </w:t>
      </w:r>
      <w:r w:rsidR="00F81C94">
        <w:rPr>
          <w:szCs w:val="18"/>
        </w:rPr>
        <w:t xml:space="preserve">Part 24 </w:t>
      </w:r>
      <w:r w:rsidR="00F81C94" w:rsidRPr="00676D5D">
        <w:rPr>
          <w:szCs w:val="18"/>
        </w:rPr>
        <w:t xml:space="preserve">facilities </w:t>
      </w:r>
      <w:r w:rsidR="00DD6125">
        <w:rPr>
          <w:szCs w:val="18"/>
        </w:rPr>
        <w:t>and allocation agents</w:t>
      </w:r>
    </w:p>
    <w:tbl>
      <w:tblPr>
        <w:tblStyle w:val="TableGrid"/>
        <w:tblW w:w="8789" w:type="dxa"/>
        <w:tblLook w:val="04A0" w:firstRow="1" w:lastRow="0" w:firstColumn="1" w:lastColumn="0" w:noHBand="0" w:noVBand="1"/>
        <w:tblCaption w:val="Table 9.3: Key timing for new Part 24 facilities "/>
        <w:tblDescription w:val="Table outlining key timing for new Part 24 facilities "/>
      </w:tblPr>
      <w:tblGrid>
        <w:gridCol w:w="1701"/>
        <w:gridCol w:w="7088"/>
      </w:tblGrid>
      <w:tr w:rsidR="00F81C94" w:rsidRPr="00B24F58" w14:paraId="2830E71B" w14:textId="77777777" w:rsidTr="00131191">
        <w:trPr>
          <w:cnfStyle w:val="100000000000" w:firstRow="1" w:lastRow="0" w:firstColumn="0" w:lastColumn="0" w:oddVBand="0" w:evenVBand="0" w:oddHBand="0" w:evenHBand="0" w:firstRowFirstColumn="0" w:firstRowLastColumn="0" w:lastRowFirstColumn="0" w:lastRowLastColumn="0"/>
          <w:tblHeader/>
        </w:trPr>
        <w:tc>
          <w:tcPr>
            <w:tcW w:w="1701" w:type="dxa"/>
            <w:shd w:val="clear" w:color="auto" w:fill="0099CC"/>
          </w:tcPr>
          <w:p w14:paraId="4FA801B2" w14:textId="77777777" w:rsidR="00F81C94" w:rsidRPr="00B24F58" w:rsidRDefault="00F81C94" w:rsidP="00200CAD">
            <w:pPr>
              <w:keepNext/>
              <w:spacing w:before="40" w:after="40"/>
              <w:rPr>
                <w:b w:val="0"/>
                <w:szCs w:val="18"/>
              </w:rPr>
            </w:pPr>
            <w:r w:rsidRPr="00B24F58">
              <w:rPr>
                <w:szCs w:val="18"/>
              </w:rPr>
              <w:t xml:space="preserve">Date </w:t>
            </w:r>
          </w:p>
        </w:tc>
        <w:tc>
          <w:tcPr>
            <w:tcW w:w="7088" w:type="dxa"/>
            <w:shd w:val="clear" w:color="auto" w:fill="0099CC"/>
          </w:tcPr>
          <w:p w14:paraId="7B55DDF5" w14:textId="77777777" w:rsidR="00F81C94" w:rsidRPr="00B24F58" w:rsidRDefault="00F81C94" w:rsidP="00200CAD">
            <w:pPr>
              <w:keepNext/>
              <w:spacing w:before="40" w:after="40"/>
              <w:rPr>
                <w:b w:val="0"/>
                <w:szCs w:val="18"/>
              </w:rPr>
            </w:pPr>
            <w:r w:rsidRPr="00B24F58">
              <w:rPr>
                <w:szCs w:val="18"/>
              </w:rPr>
              <w:t>Activity</w:t>
            </w:r>
          </w:p>
        </w:tc>
      </w:tr>
      <w:tr w:rsidR="00F81C94" w:rsidRPr="00B24F58" w14:paraId="3E1DB0DC" w14:textId="77777777" w:rsidTr="00131191">
        <w:trPr>
          <w:trHeight w:val="329"/>
        </w:trPr>
        <w:tc>
          <w:tcPr>
            <w:tcW w:w="1701" w:type="dxa"/>
          </w:tcPr>
          <w:p w14:paraId="771ECE3F" w14:textId="77777777" w:rsidR="00F81C94" w:rsidRPr="0087247F" w:rsidRDefault="00F81C94" w:rsidP="00200CAD">
            <w:pPr>
              <w:keepNext/>
              <w:spacing w:before="40" w:after="40"/>
              <w:rPr>
                <w:b/>
                <w:szCs w:val="18"/>
              </w:rPr>
            </w:pPr>
            <w:r>
              <w:rPr>
                <w:szCs w:val="18"/>
              </w:rPr>
              <w:t>Date of commissioning / exemption ceases to apply or expires (</w:t>
            </w:r>
            <w:r w:rsidRPr="00743B55">
              <w:rPr>
                <w:b/>
                <w:szCs w:val="18"/>
              </w:rPr>
              <w:t>application date</w:t>
            </w:r>
            <w:r>
              <w:rPr>
                <w:szCs w:val="18"/>
              </w:rPr>
              <w:t>)</w:t>
            </w:r>
          </w:p>
        </w:tc>
        <w:tc>
          <w:tcPr>
            <w:tcW w:w="7088" w:type="dxa"/>
          </w:tcPr>
          <w:p w14:paraId="73DB461D" w14:textId="77777777" w:rsidR="00F81C94" w:rsidRPr="00B24F58" w:rsidRDefault="00F81C94" w:rsidP="00200CAD">
            <w:pPr>
              <w:keepNext/>
              <w:spacing w:before="40" w:after="40"/>
              <w:rPr>
                <w:szCs w:val="18"/>
              </w:rPr>
            </w:pPr>
            <w:r>
              <w:rPr>
                <w:szCs w:val="18"/>
              </w:rPr>
              <w:t>Facility becomes a Part 24 facility</w:t>
            </w:r>
            <w:r w:rsidR="00DD6125">
              <w:rPr>
                <w:szCs w:val="18"/>
              </w:rPr>
              <w:t>.</w:t>
            </w:r>
          </w:p>
        </w:tc>
      </w:tr>
      <w:tr w:rsidR="00F459BC" w:rsidRPr="00B24F58" w14:paraId="2507B3FA" w14:textId="77777777" w:rsidTr="00131191">
        <w:trPr>
          <w:cnfStyle w:val="000000010000" w:firstRow="0" w:lastRow="0" w:firstColumn="0" w:lastColumn="0" w:oddVBand="0" w:evenVBand="0" w:oddHBand="0" w:evenHBand="1" w:firstRowFirstColumn="0" w:firstRowLastColumn="0" w:lastRowFirstColumn="0" w:lastRowLastColumn="0"/>
        </w:trPr>
        <w:tc>
          <w:tcPr>
            <w:tcW w:w="1701" w:type="dxa"/>
            <w:vMerge w:val="restart"/>
          </w:tcPr>
          <w:p w14:paraId="1416B82C" w14:textId="77777777" w:rsidR="00F459BC" w:rsidRPr="00B24F58" w:rsidRDefault="00F459BC" w:rsidP="00200CAD">
            <w:pPr>
              <w:keepNext/>
              <w:spacing w:before="40" w:after="40"/>
              <w:rPr>
                <w:szCs w:val="18"/>
              </w:rPr>
            </w:pPr>
            <w:r>
              <w:rPr>
                <w:szCs w:val="18"/>
              </w:rPr>
              <w:t xml:space="preserve">Application date </w:t>
            </w:r>
            <w:r w:rsidRPr="00B24F58">
              <w:rPr>
                <w:szCs w:val="18"/>
              </w:rPr>
              <w:t xml:space="preserve">+ 20 </w:t>
            </w:r>
            <w:r>
              <w:rPr>
                <w:szCs w:val="18"/>
              </w:rPr>
              <w:t xml:space="preserve">business </w:t>
            </w:r>
            <w:r w:rsidRPr="00B24F58">
              <w:rPr>
                <w:szCs w:val="18"/>
              </w:rPr>
              <w:t>days</w:t>
            </w:r>
          </w:p>
        </w:tc>
        <w:tc>
          <w:tcPr>
            <w:tcW w:w="7088" w:type="dxa"/>
          </w:tcPr>
          <w:p w14:paraId="46A43811" w14:textId="77777777" w:rsidR="00F459BC" w:rsidRPr="00B24F58" w:rsidRDefault="001E09A9" w:rsidP="00200CAD">
            <w:pPr>
              <w:keepNext/>
              <w:spacing w:before="40" w:after="40"/>
              <w:rPr>
                <w:szCs w:val="18"/>
              </w:rPr>
            </w:pPr>
            <w:r>
              <w:rPr>
                <w:szCs w:val="18"/>
              </w:rPr>
              <w:t>The t</w:t>
            </w:r>
            <w:r w:rsidR="00F459BC" w:rsidRPr="00B24F58">
              <w:rPr>
                <w:szCs w:val="18"/>
              </w:rPr>
              <w:t xml:space="preserve">ransportation service provider </w:t>
            </w:r>
            <w:r>
              <w:rPr>
                <w:szCs w:val="18"/>
              </w:rPr>
              <w:t xml:space="preserve">of the Part 24 facility </w:t>
            </w:r>
            <w:r w:rsidR="00F459BC" w:rsidRPr="00B24F58">
              <w:rPr>
                <w:szCs w:val="18"/>
              </w:rPr>
              <w:t>must apply to AEMO to register under Part 24</w:t>
            </w:r>
            <w:r w:rsidR="00F459BC">
              <w:rPr>
                <w:szCs w:val="18"/>
              </w:rPr>
              <w:t>.</w:t>
            </w:r>
          </w:p>
        </w:tc>
      </w:tr>
      <w:tr w:rsidR="00F459BC" w:rsidRPr="00B24F58" w14:paraId="2F211682" w14:textId="77777777" w:rsidTr="00131191">
        <w:tc>
          <w:tcPr>
            <w:tcW w:w="1701" w:type="dxa"/>
            <w:vMerge/>
            <w:shd w:val="clear" w:color="auto" w:fill="E1E2E7" w:themeFill="background2"/>
          </w:tcPr>
          <w:p w14:paraId="33904275" w14:textId="77777777" w:rsidR="00F459BC" w:rsidRPr="00B24F58" w:rsidRDefault="00F459BC" w:rsidP="00200CAD">
            <w:pPr>
              <w:keepNext/>
              <w:spacing w:before="40" w:after="40"/>
              <w:rPr>
                <w:szCs w:val="18"/>
              </w:rPr>
            </w:pPr>
          </w:p>
        </w:tc>
        <w:tc>
          <w:tcPr>
            <w:tcW w:w="7088" w:type="dxa"/>
            <w:shd w:val="clear" w:color="auto" w:fill="E1E2E7" w:themeFill="background2"/>
          </w:tcPr>
          <w:p w14:paraId="405244AA" w14:textId="77777777" w:rsidR="00F459BC" w:rsidRPr="00B24F58" w:rsidRDefault="001E09A9" w:rsidP="00200CAD">
            <w:pPr>
              <w:keepNext/>
              <w:spacing w:before="40" w:after="40"/>
              <w:rPr>
                <w:szCs w:val="18"/>
              </w:rPr>
            </w:pPr>
            <w:r>
              <w:rPr>
                <w:szCs w:val="18"/>
              </w:rPr>
              <w:t>The t</w:t>
            </w:r>
            <w:r w:rsidR="00F459BC" w:rsidRPr="00B24F58">
              <w:rPr>
                <w:szCs w:val="18"/>
              </w:rPr>
              <w:t xml:space="preserve">ransportation service provider must </w:t>
            </w:r>
            <w:r>
              <w:rPr>
                <w:szCs w:val="18"/>
              </w:rPr>
              <w:t xml:space="preserve">also </w:t>
            </w:r>
            <w:r w:rsidR="00F459BC" w:rsidRPr="00B24F58">
              <w:rPr>
                <w:szCs w:val="18"/>
              </w:rPr>
              <w:t xml:space="preserve">apply to AEMO to register the </w:t>
            </w:r>
            <w:r w:rsidR="00D5500C">
              <w:rPr>
                <w:szCs w:val="18"/>
              </w:rPr>
              <w:t>P</w:t>
            </w:r>
            <w:r w:rsidR="00D5500C" w:rsidRPr="00B24F58">
              <w:rPr>
                <w:szCs w:val="18"/>
              </w:rPr>
              <w:t xml:space="preserve">art </w:t>
            </w:r>
            <w:r w:rsidR="00F459BC" w:rsidRPr="00B24F58">
              <w:rPr>
                <w:szCs w:val="18"/>
              </w:rPr>
              <w:t xml:space="preserve">24 facility and to be registered as the transportation service provider for the Part 24 facility </w:t>
            </w:r>
          </w:p>
        </w:tc>
      </w:tr>
      <w:tr w:rsidR="00DD6125" w:rsidRPr="00B24F58" w14:paraId="0F2F41F1" w14:textId="77777777" w:rsidTr="006F50C7">
        <w:trPr>
          <w:cnfStyle w:val="000000010000" w:firstRow="0" w:lastRow="0" w:firstColumn="0" w:lastColumn="0" w:oddVBand="0" w:evenVBand="0" w:oddHBand="0" w:evenHBand="1" w:firstRowFirstColumn="0" w:firstRowLastColumn="0" w:lastRowFirstColumn="0" w:lastRowLastColumn="0"/>
        </w:trPr>
        <w:tc>
          <w:tcPr>
            <w:tcW w:w="1701" w:type="dxa"/>
            <w:tcBorders>
              <w:bottom w:val="single" w:sz="4" w:space="0" w:color="auto"/>
            </w:tcBorders>
            <w:shd w:val="clear" w:color="auto" w:fill="FFFFFF" w:themeFill="background1"/>
          </w:tcPr>
          <w:p w14:paraId="23695085" w14:textId="77777777" w:rsidR="00DD6125" w:rsidRPr="00B24F58" w:rsidRDefault="00DD6125" w:rsidP="00DD6125">
            <w:pPr>
              <w:keepNext/>
              <w:spacing w:before="40" w:after="40"/>
              <w:rPr>
                <w:szCs w:val="18"/>
              </w:rPr>
            </w:pPr>
            <w:r>
              <w:rPr>
                <w:szCs w:val="18"/>
              </w:rPr>
              <w:t xml:space="preserve">Registration date for </w:t>
            </w:r>
            <w:r w:rsidR="00D5500C">
              <w:rPr>
                <w:szCs w:val="18"/>
              </w:rPr>
              <w:t xml:space="preserve">new </w:t>
            </w:r>
            <w:r>
              <w:rPr>
                <w:szCs w:val="18"/>
              </w:rPr>
              <w:t>Part 24 facility</w:t>
            </w:r>
          </w:p>
        </w:tc>
        <w:tc>
          <w:tcPr>
            <w:tcW w:w="7088" w:type="dxa"/>
            <w:tcBorders>
              <w:bottom w:val="single" w:sz="4" w:space="0" w:color="auto"/>
            </w:tcBorders>
            <w:shd w:val="clear" w:color="auto" w:fill="FFFFFF" w:themeFill="background1"/>
          </w:tcPr>
          <w:p w14:paraId="1A42C93F" w14:textId="77777777" w:rsidR="00DD6125" w:rsidRPr="00B24F58" w:rsidRDefault="00D5500C" w:rsidP="00DD6125">
            <w:pPr>
              <w:keepNext/>
              <w:spacing w:before="40" w:after="40"/>
              <w:rPr>
                <w:szCs w:val="18"/>
              </w:rPr>
            </w:pPr>
            <w:r>
              <w:rPr>
                <w:rFonts w:cs="Arial"/>
                <w:szCs w:val="18"/>
              </w:rPr>
              <w:t>A</w:t>
            </w:r>
            <w:r w:rsidR="00DD6125">
              <w:rPr>
                <w:rFonts w:cs="Arial"/>
                <w:szCs w:val="18"/>
              </w:rPr>
              <w:t>llocation point</w:t>
            </w:r>
            <w:r>
              <w:rPr>
                <w:rFonts w:cs="Arial"/>
                <w:szCs w:val="18"/>
              </w:rPr>
              <w:t>s</w:t>
            </w:r>
            <w:r w:rsidR="00DD6125">
              <w:rPr>
                <w:rFonts w:cs="Arial"/>
                <w:szCs w:val="18"/>
              </w:rPr>
              <w:t xml:space="preserve"> on </w:t>
            </w:r>
            <w:r>
              <w:rPr>
                <w:rFonts w:cs="Arial"/>
                <w:szCs w:val="18"/>
              </w:rPr>
              <w:t xml:space="preserve">the newly </w:t>
            </w:r>
            <w:r w:rsidR="00DD6125">
              <w:rPr>
                <w:rFonts w:cs="Arial"/>
                <w:szCs w:val="18"/>
              </w:rPr>
              <w:t xml:space="preserve">registered Part 24 </w:t>
            </w:r>
            <w:r w:rsidR="00DD6125" w:rsidRPr="00B901E1">
              <w:rPr>
                <w:rFonts w:cs="Arial"/>
                <w:szCs w:val="18"/>
              </w:rPr>
              <w:t>facilit</w:t>
            </w:r>
            <w:r w:rsidR="00DD6125">
              <w:rPr>
                <w:rFonts w:cs="Arial"/>
                <w:szCs w:val="18"/>
              </w:rPr>
              <w:t>y become “BB allocation point</w:t>
            </w:r>
            <w:r>
              <w:rPr>
                <w:rFonts w:cs="Arial"/>
                <w:szCs w:val="18"/>
              </w:rPr>
              <w:t>s</w:t>
            </w:r>
            <w:r w:rsidR="00DD6125">
              <w:rPr>
                <w:rFonts w:cs="Arial"/>
                <w:szCs w:val="18"/>
              </w:rPr>
              <w:t>” and the agent responsible for the point</w:t>
            </w:r>
            <w:r>
              <w:rPr>
                <w:rFonts w:cs="Arial"/>
                <w:szCs w:val="18"/>
              </w:rPr>
              <w:t>s</w:t>
            </w:r>
            <w:r w:rsidR="00DD6125">
              <w:rPr>
                <w:rFonts w:cs="Arial"/>
                <w:szCs w:val="18"/>
              </w:rPr>
              <w:t xml:space="preserve"> become “BB </w:t>
            </w:r>
            <w:r w:rsidR="00DD6125" w:rsidRPr="00B901E1">
              <w:rPr>
                <w:rFonts w:cs="Arial"/>
                <w:szCs w:val="18"/>
              </w:rPr>
              <w:t xml:space="preserve">allocation </w:t>
            </w:r>
            <w:r w:rsidR="00DD6125">
              <w:rPr>
                <w:rFonts w:cs="Arial"/>
                <w:szCs w:val="18"/>
              </w:rPr>
              <w:t>agent</w:t>
            </w:r>
            <w:r>
              <w:rPr>
                <w:rFonts w:cs="Arial"/>
                <w:szCs w:val="18"/>
              </w:rPr>
              <w:t>s</w:t>
            </w:r>
            <w:r w:rsidR="00DD6125">
              <w:rPr>
                <w:rFonts w:cs="Arial"/>
                <w:szCs w:val="18"/>
              </w:rPr>
              <w:t>.</w:t>
            </w:r>
          </w:p>
        </w:tc>
      </w:tr>
      <w:tr w:rsidR="00DD6125" w:rsidRPr="00B24F58" w14:paraId="27D774ED" w14:textId="77777777" w:rsidTr="006F50C7">
        <w:tc>
          <w:tcPr>
            <w:tcW w:w="1701" w:type="dxa"/>
            <w:shd w:val="clear" w:color="auto" w:fill="E1E2E7" w:themeFill="background2"/>
          </w:tcPr>
          <w:p w14:paraId="23017C0A" w14:textId="77777777" w:rsidR="00DD6125" w:rsidRPr="00B24F58" w:rsidRDefault="00DD6125" w:rsidP="00DD6125">
            <w:pPr>
              <w:keepNext/>
              <w:spacing w:before="40" w:after="40"/>
              <w:rPr>
                <w:szCs w:val="18"/>
              </w:rPr>
            </w:pPr>
            <w:r>
              <w:rPr>
                <w:szCs w:val="18"/>
              </w:rPr>
              <w:t xml:space="preserve">Registration date for </w:t>
            </w:r>
            <w:r w:rsidR="00D5500C">
              <w:rPr>
                <w:szCs w:val="18"/>
              </w:rPr>
              <w:t xml:space="preserve">new </w:t>
            </w:r>
            <w:r>
              <w:rPr>
                <w:szCs w:val="18"/>
              </w:rPr>
              <w:t>Part 24 facility + 20 business days</w:t>
            </w:r>
          </w:p>
        </w:tc>
        <w:tc>
          <w:tcPr>
            <w:tcW w:w="7088" w:type="dxa"/>
            <w:shd w:val="clear" w:color="auto" w:fill="E1E2E7" w:themeFill="background2"/>
          </w:tcPr>
          <w:p w14:paraId="0B005C09" w14:textId="77777777" w:rsidR="00DD6125" w:rsidRPr="00B24F58" w:rsidRDefault="00DD6125" w:rsidP="00DD6125">
            <w:pPr>
              <w:keepNext/>
              <w:spacing w:before="40" w:after="40"/>
              <w:rPr>
                <w:szCs w:val="18"/>
              </w:rPr>
            </w:pPr>
            <w:r>
              <w:rPr>
                <w:rFonts w:cs="Arial"/>
                <w:szCs w:val="18"/>
              </w:rPr>
              <w:t xml:space="preserve">Last date for </w:t>
            </w:r>
            <w:r w:rsidR="00D5500C">
              <w:rPr>
                <w:rFonts w:cs="Arial"/>
                <w:szCs w:val="18"/>
              </w:rPr>
              <w:t xml:space="preserve">the new </w:t>
            </w:r>
            <w:r>
              <w:rPr>
                <w:rFonts w:cs="Arial"/>
                <w:szCs w:val="18"/>
              </w:rPr>
              <w:t xml:space="preserve">BB allocation agents </w:t>
            </w:r>
            <w:r w:rsidRPr="00B901E1">
              <w:rPr>
                <w:rFonts w:cs="Arial"/>
                <w:szCs w:val="18"/>
              </w:rPr>
              <w:t xml:space="preserve">to apply </w:t>
            </w:r>
            <w:r>
              <w:rPr>
                <w:rFonts w:cs="Arial"/>
                <w:szCs w:val="18"/>
              </w:rPr>
              <w:t>to AEMO</w:t>
            </w:r>
            <w:r w:rsidRPr="00B901E1">
              <w:rPr>
                <w:rFonts w:cs="Arial"/>
                <w:szCs w:val="18"/>
              </w:rPr>
              <w:t xml:space="preserve"> to register</w:t>
            </w:r>
            <w:r>
              <w:rPr>
                <w:rFonts w:cs="Arial"/>
                <w:szCs w:val="18"/>
              </w:rPr>
              <w:t xml:space="preserve"> as allocation agent</w:t>
            </w:r>
            <w:r w:rsidR="00D5500C">
              <w:rPr>
                <w:rFonts w:cs="Arial"/>
                <w:szCs w:val="18"/>
              </w:rPr>
              <w:t>s</w:t>
            </w:r>
            <w:r>
              <w:rPr>
                <w:rFonts w:cs="Arial"/>
                <w:szCs w:val="18"/>
              </w:rPr>
              <w:t xml:space="preserve"> (if not already registered) and to register the BB allocation point</w:t>
            </w:r>
            <w:r w:rsidR="00D5500C">
              <w:rPr>
                <w:rFonts w:cs="Arial"/>
                <w:szCs w:val="18"/>
              </w:rPr>
              <w:t>s</w:t>
            </w:r>
            <w:r>
              <w:rPr>
                <w:rFonts w:cs="Arial"/>
                <w:szCs w:val="18"/>
              </w:rPr>
              <w:t>.</w:t>
            </w:r>
          </w:p>
        </w:tc>
      </w:tr>
      <w:tr w:rsidR="00F81C94" w:rsidRPr="00B24F58" w14:paraId="44F0D4FD" w14:textId="77777777" w:rsidTr="0079432A">
        <w:trPr>
          <w:cnfStyle w:val="000000010000" w:firstRow="0" w:lastRow="0" w:firstColumn="0" w:lastColumn="0" w:oddVBand="0" w:evenVBand="0" w:oddHBand="0" w:evenHBand="1" w:firstRowFirstColumn="0" w:firstRowLastColumn="0" w:lastRowFirstColumn="0" w:lastRowLastColumn="0"/>
        </w:trPr>
        <w:tc>
          <w:tcPr>
            <w:tcW w:w="1701" w:type="dxa"/>
            <w:tcBorders>
              <w:bottom w:val="single" w:sz="4" w:space="0" w:color="auto"/>
            </w:tcBorders>
            <w:shd w:val="clear" w:color="auto" w:fill="FFFFFF" w:themeFill="background1"/>
          </w:tcPr>
          <w:p w14:paraId="0FAD6FA8" w14:textId="77777777" w:rsidR="00F81C94" w:rsidRPr="00B24F58" w:rsidRDefault="00F81C94" w:rsidP="00200CAD">
            <w:pPr>
              <w:keepNext/>
              <w:spacing w:before="40" w:after="40"/>
              <w:rPr>
                <w:szCs w:val="18"/>
              </w:rPr>
            </w:pPr>
            <w:r w:rsidRPr="00B24F58">
              <w:rPr>
                <w:szCs w:val="18"/>
              </w:rPr>
              <w:t xml:space="preserve">Application Date + </w:t>
            </w:r>
            <w:r>
              <w:rPr>
                <w:szCs w:val="18"/>
              </w:rPr>
              <w:t>40</w:t>
            </w:r>
            <w:r w:rsidRPr="00B24F58">
              <w:rPr>
                <w:szCs w:val="18"/>
              </w:rPr>
              <w:t xml:space="preserve"> </w:t>
            </w:r>
            <w:r>
              <w:rPr>
                <w:szCs w:val="18"/>
              </w:rPr>
              <w:t>business</w:t>
            </w:r>
            <w:r w:rsidRPr="00B24F58">
              <w:rPr>
                <w:szCs w:val="18"/>
              </w:rPr>
              <w:t xml:space="preserve"> days</w:t>
            </w:r>
          </w:p>
        </w:tc>
        <w:tc>
          <w:tcPr>
            <w:tcW w:w="7088" w:type="dxa"/>
            <w:tcBorders>
              <w:bottom w:val="single" w:sz="4" w:space="0" w:color="auto"/>
            </w:tcBorders>
            <w:shd w:val="clear" w:color="auto" w:fill="FFFFFF" w:themeFill="background1"/>
          </w:tcPr>
          <w:p w14:paraId="0BA1456B" w14:textId="77777777" w:rsidR="00F81C94" w:rsidRPr="00B24F58" w:rsidRDefault="00DD6125" w:rsidP="00200CAD">
            <w:pPr>
              <w:keepNext/>
              <w:spacing w:before="40" w:after="40"/>
              <w:rPr>
                <w:szCs w:val="18"/>
              </w:rPr>
            </w:pPr>
            <w:r>
              <w:rPr>
                <w:szCs w:val="18"/>
              </w:rPr>
              <w:t xml:space="preserve">Last date for </w:t>
            </w:r>
            <w:r w:rsidR="00D5500C">
              <w:rPr>
                <w:szCs w:val="18"/>
              </w:rPr>
              <w:t xml:space="preserve">the </w:t>
            </w:r>
            <w:r>
              <w:rPr>
                <w:szCs w:val="18"/>
              </w:rPr>
              <w:t>transportation service provider to</w:t>
            </w:r>
            <w:r w:rsidRPr="00B901E1">
              <w:rPr>
                <w:szCs w:val="18"/>
              </w:rPr>
              <w:t xml:space="preserve"> publish a standard </w:t>
            </w:r>
            <w:r>
              <w:rPr>
                <w:szCs w:val="18"/>
              </w:rPr>
              <w:t xml:space="preserve">OTSA and a schedule of standardisation charges. If a shipper makes a request to enter into the standard OTSA, </w:t>
            </w:r>
            <w:r w:rsidR="00D5500C">
              <w:rPr>
                <w:szCs w:val="18"/>
              </w:rPr>
              <w:t xml:space="preserve">the transportation </w:t>
            </w:r>
            <w:r>
              <w:rPr>
                <w:szCs w:val="18"/>
              </w:rPr>
              <w:t xml:space="preserve">service provider </w:t>
            </w:r>
            <w:r w:rsidR="00D5500C">
              <w:rPr>
                <w:szCs w:val="18"/>
              </w:rPr>
              <w:t xml:space="preserve">has </w:t>
            </w:r>
            <w:r>
              <w:rPr>
                <w:szCs w:val="18"/>
              </w:rPr>
              <w:t>20 business days (or longer if agreed to by the parties) to prepare and offer to enter into the agreement.</w:t>
            </w:r>
          </w:p>
        </w:tc>
      </w:tr>
      <w:tr w:rsidR="00D5500C" w:rsidRPr="00B24F58" w14:paraId="26CE62DD" w14:textId="77777777" w:rsidTr="00131191">
        <w:trPr>
          <w:trHeight w:val="159"/>
        </w:trPr>
        <w:tc>
          <w:tcPr>
            <w:tcW w:w="1701" w:type="dxa"/>
            <w:vMerge w:val="restart"/>
            <w:shd w:val="clear" w:color="auto" w:fill="E1E2E7" w:themeFill="background2"/>
          </w:tcPr>
          <w:p w14:paraId="6627D3D0" w14:textId="77777777" w:rsidR="00D5500C" w:rsidRPr="00B24F58" w:rsidRDefault="00D5500C" w:rsidP="00BF4795">
            <w:pPr>
              <w:keepNext/>
              <w:spacing w:before="40" w:after="40"/>
              <w:rPr>
                <w:szCs w:val="18"/>
              </w:rPr>
            </w:pPr>
            <w:r>
              <w:rPr>
                <w:szCs w:val="18"/>
              </w:rPr>
              <w:t>Application date</w:t>
            </w:r>
            <w:r w:rsidRPr="00B24F58">
              <w:rPr>
                <w:szCs w:val="18"/>
              </w:rPr>
              <w:t xml:space="preserve"> + </w:t>
            </w:r>
            <w:r>
              <w:rPr>
                <w:szCs w:val="18"/>
              </w:rPr>
              <w:t>120</w:t>
            </w:r>
            <w:r w:rsidRPr="00B24F58">
              <w:rPr>
                <w:szCs w:val="18"/>
              </w:rPr>
              <w:t xml:space="preserve"> </w:t>
            </w:r>
            <w:r>
              <w:rPr>
                <w:szCs w:val="18"/>
              </w:rPr>
              <w:t>business</w:t>
            </w:r>
            <w:r w:rsidRPr="00B24F58">
              <w:rPr>
                <w:szCs w:val="18"/>
              </w:rPr>
              <w:t xml:space="preserve"> days.</w:t>
            </w:r>
          </w:p>
        </w:tc>
        <w:tc>
          <w:tcPr>
            <w:tcW w:w="7088" w:type="dxa"/>
            <w:shd w:val="clear" w:color="auto" w:fill="E1E2E7" w:themeFill="background2"/>
          </w:tcPr>
          <w:p w14:paraId="20F5AD9A" w14:textId="77777777" w:rsidR="009A5382" w:rsidRDefault="00D5500C" w:rsidP="009A5382">
            <w:pPr>
              <w:pStyle w:val="TableBodyText"/>
              <w:keepNext/>
              <w:spacing w:before="20" w:after="20" w:line="252" w:lineRule="auto"/>
              <w:rPr>
                <w:szCs w:val="18"/>
              </w:rPr>
            </w:pPr>
            <w:r>
              <w:rPr>
                <w:szCs w:val="18"/>
              </w:rPr>
              <w:t xml:space="preserve">First day </w:t>
            </w:r>
            <w:r w:rsidR="00131191">
              <w:rPr>
                <w:szCs w:val="18"/>
              </w:rPr>
              <w:t xml:space="preserve">on which </w:t>
            </w:r>
            <w:r>
              <w:rPr>
                <w:szCs w:val="18"/>
              </w:rPr>
              <w:t xml:space="preserve">the </w:t>
            </w:r>
            <w:r w:rsidRPr="00B24F58">
              <w:rPr>
                <w:szCs w:val="18"/>
              </w:rPr>
              <w:t>facility</w:t>
            </w:r>
            <w:r w:rsidR="00131191">
              <w:rPr>
                <w:szCs w:val="18"/>
              </w:rPr>
              <w:t xml:space="preserve"> becomes subject to the day-ahead auction</w:t>
            </w:r>
            <w:r w:rsidR="0079432A">
              <w:rPr>
                <w:szCs w:val="18"/>
              </w:rPr>
              <w:t xml:space="preserve"> and </w:t>
            </w:r>
            <w:r w:rsidR="009A5382">
              <w:rPr>
                <w:szCs w:val="18"/>
              </w:rPr>
              <w:t xml:space="preserve">the first day on which auction </w:t>
            </w:r>
            <w:r w:rsidR="009A5382" w:rsidRPr="00D30678">
              <w:rPr>
                <w:szCs w:val="18"/>
              </w:rPr>
              <w:t>facility o</w:t>
            </w:r>
            <w:r w:rsidR="009A5382" w:rsidRPr="00050D60">
              <w:rPr>
                <w:szCs w:val="18"/>
              </w:rPr>
              <w:t>perator</w:t>
            </w:r>
            <w:r w:rsidR="009A5382" w:rsidRPr="00D30678">
              <w:rPr>
                <w:szCs w:val="18"/>
              </w:rPr>
              <w:t>s must</w:t>
            </w:r>
            <w:r w:rsidR="009A5382">
              <w:rPr>
                <w:szCs w:val="18"/>
              </w:rPr>
              <w:t>:</w:t>
            </w:r>
            <w:r w:rsidR="009A5382" w:rsidRPr="00D30678">
              <w:rPr>
                <w:szCs w:val="18"/>
              </w:rPr>
              <w:t xml:space="preserve"> </w:t>
            </w:r>
          </w:p>
          <w:p w14:paraId="0C11BB06" w14:textId="77777777" w:rsidR="009A5382" w:rsidRDefault="009A5382" w:rsidP="009A5382">
            <w:pPr>
              <w:pStyle w:val="TableBullet1"/>
            </w:pPr>
            <w:r>
              <w:t>provide AEMO with the information required to conduct the auction (e.g. the auction quantity limits);</w:t>
            </w:r>
          </w:p>
          <w:p w14:paraId="1F4092FF" w14:textId="77777777" w:rsidR="0079432A" w:rsidRDefault="0079432A" w:rsidP="0079432A">
            <w:pPr>
              <w:pStyle w:val="TableBullet1"/>
            </w:pPr>
            <w:r>
              <w:t xml:space="preserve">give effect to the results of the auction; </w:t>
            </w:r>
          </w:p>
          <w:p w14:paraId="0B5414DC" w14:textId="77777777" w:rsidR="0079432A" w:rsidRDefault="0079432A" w:rsidP="0079432A">
            <w:pPr>
              <w:pStyle w:val="TableBullet1"/>
            </w:pPr>
            <w:r w:rsidRPr="00D30678">
              <w:t>keep and maintain nomination and scheduling records</w:t>
            </w:r>
            <w:r>
              <w:t xml:space="preserve"> in accordance with the AER’s record keeping guidelines; and</w:t>
            </w:r>
          </w:p>
          <w:p w14:paraId="33B0F5B1" w14:textId="77777777" w:rsidR="00D5500C" w:rsidRPr="00B24F58" w:rsidRDefault="0079432A" w:rsidP="0079432A">
            <w:pPr>
              <w:pStyle w:val="TableBullet1"/>
              <w:rPr>
                <w:szCs w:val="18"/>
              </w:rPr>
            </w:pPr>
            <w:r w:rsidRPr="0079432A">
              <w:t>comply with auction reporting obligations.</w:t>
            </w:r>
          </w:p>
        </w:tc>
      </w:tr>
      <w:tr w:rsidR="0079432A" w:rsidRPr="00B24F58" w14:paraId="60A075F7" w14:textId="77777777" w:rsidTr="00131191">
        <w:trPr>
          <w:cnfStyle w:val="000000010000" w:firstRow="0" w:lastRow="0" w:firstColumn="0" w:lastColumn="0" w:oddVBand="0" w:evenVBand="0" w:oddHBand="0" w:evenHBand="1" w:firstRowFirstColumn="0" w:firstRowLastColumn="0" w:lastRowFirstColumn="0" w:lastRowLastColumn="0"/>
          <w:trHeight w:val="159"/>
        </w:trPr>
        <w:tc>
          <w:tcPr>
            <w:tcW w:w="1701" w:type="dxa"/>
            <w:vMerge/>
          </w:tcPr>
          <w:p w14:paraId="56B390C6" w14:textId="77777777" w:rsidR="0079432A" w:rsidRDefault="0079432A" w:rsidP="0079432A">
            <w:pPr>
              <w:keepNext/>
              <w:spacing w:before="40" w:after="40"/>
              <w:rPr>
                <w:szCs w:val="18"/>
              </w:rPr>
            </w:pPr>
          </w:p>
        </w:tc>
        <w:tc>
          <w:tcPr>
            <w:tcW w:w="7088" w:type="dxa"/>
          </w:tcPr>
          <w:p w14:paraId="41C5E9A0" w14:textId="77777777" w:rsidR="0079432A" w:rsidRDefault="0079432A" w:rsidP="0079432A">
            <w:pPr>
              <w:keepNext/>
              <w:spacing w:before="40" w:after="40"/>
              <w:rPr>
                <w:szCs w:val="18"/>
              </w:rPr>
            </w:pPr>
            <w:r w:rsidRPr="00B901E1">
              <w:rPr>
                <w:szCs w:val="18"/>
              </w:rPr>
              <w:t xml:space="preserve">First day on which </w:t>
            </w:r>
            <w:r>
              <w:rPr>
                <w:szCs w:val="18"/>
              </w:rPr>
              <w:t xml:space="preserve">the transportation </w:t>
            </w:r>
            <w:r w:rsidRPr="00B901E1">
              <w:rPr>
                <w:szCs w:val="18"/>
              </w:rPr>
              <w:t xml:space="preserve">service provider </w:t>
            </w:r>
            <w:r>
              <w:rPr>
                <w:szCs w:val="18"/>
              </w:rPr>
              <w:t xml:space="preserve">is </w:t>
            </w:r>
            <w:r w:rsidRPr="00B901E1">
              <w:rPr>
                <w:szCs w:val="18"/>
              </w:rPr>
              <w:t>required to give effect to operational transfers</w:t>
            </w:r>
            <w:r>
              <w:rPr>
                <w:szCs w:val="18"/>
              </w:rPr>
              <w:t xml:space="preserve">, </w:t>
            </w:r>
            <w:r w:rsidRPr="00B901E1">
              <w:rPr>
                <w:szCs w:val="18"/>
              </w:rPr>
              <w:t xml:space="preserve">service continuity arrangements </w:t>
            </w:r>
            <w:r>
              <w:rPr>
                <w:szCs w:val="18"/>
              </w:rPr>
              <w:t xml:space="preserve">for trades conducted on the capacity trading platform </w:t>
            </w:r>
            <w:r w:rsidRPr="00B901E1">
              <w:rPr>
                <w:szCs w:val="18"/>
              </w:rPr>
              <w:t>and</w:t>
            </w:r>
            <w:r>
              <w:rPr>
                <w:szCs w:val="18"/>
              </w:rPr>
              <w:t xml:space="preserve"> </w:t>
            </w:r>
            <w:r w:rsidR="00294DEE">
              <w:rPr>
                <w:szCs w:val="18"/>
              </w:rPr>
              <w:t xml:space="preserve">to </w:t>
            </w:r>
            <w:r>
              <w:rPr>
                <w:szCs w:val="18"/>
              </w:rPr>
              <w:t>comply with transaction support arrangements.</w:t>
            </w:r>
          </w:p>
        </w:tc>
      </w:tr>
      <w:tr w:rsidR="0079432A" w:rsidRPr="00B24F58" w14:paraId="5B790850" w14:textId="77777777" w:rsidTr="00131191">
        <w:trPr>
          <w:trHeight w:val="159"/>
        </w:trPr>
        <w:tc>
          <w:tcPr>
            <w:tcW w:w="1701" w:type="dxa"/>
            <w:vMerge/>
            <w:shd w:val="clear" w:color="auto" w:fill="E1E2E7" w:themeFill="background2"/>
          </w:tcPr>
          <w:p w14:paraId="06DA7294" w14:textId="77777777" w:rsidR="0079432A" w:rsidRDefault="0079432A" w:rsidP="0079432A">
            <w:pPr>
              <w:keepNext/>
              <w:spacing w:before="40" w:after="40"/>
              <w:rPr>
                <w:szCs w:val="18"/>
              </w:rPr>
            </w:pPr>
          </w:p>
        </w:tc>
        <w:tc>
          <w:tcPr>
            <w:tcW w:w="7088" w:type="dxa"/>
            <w:shd w:val="clear" w:color="auto" w:fill="E1E2E7" w:themeFill="background2"/>
          </w:tcPr>
          <w:p w14:paraId="056A562F" w14:textId="77777777" w:rsidR="0079432A" w:rsidRDefault="0079432A" w:rsidP="0079432A">
            <w:pPr>
              <w:keepNext/>
              <w:spacing w:before="40" w:after="40"/>
              <w:rPr>
                <w:szCs w:val="18"/>
              </w:rPr>
            </w:pPr>
            <w:r>
              <w:rPr>
                <w:szCs w:val="18"/>
              </w:rPr>
              <w:t xml:space="preserve">First day on which </w:t>
            </w:r>
            <w:r w:rsidRPr="00F04A8E">
              <w:rPr>
                <w:szCs w:val="18"/>
              </w:rPr>
              <w:t xml:space="preserve">users of </w:t>
            </w:r>
            <w:r>
              <w:rPr>
                <w:szCs w:val="18"/>
              </w:rPr>
              <w:t xml:space="preserve">the new </w:t>
            </w:r>
            <w:r w:rsidRPr="00F04A8E">
              <w:rPr>
                <w:szCs w:val="18"/>
              </w:rPr>
              <w:t xml:space="preserve">auction </w:t>
            </w:r>
            <w:r>
              <w:rPr>
                <w:szCs w:val="18"/>
              </w:rPr>
              <w:t xml:space="preserve">facility </w:t>
            </w:r>
            <w:r w:rsidRPr="00D30678">
              <w:rPr>
                <w:szCs w:val="18"/>
              </w:rPr>
              <w:t>must keep records</w:t>
            </w:r>
            <w:r>
              <w:rPr>
                <w:szCs w:val="18"/>
              </w:rPr>
              <w:t xml:space="preserve"> of material changes in renominations in accordance with the AER’s record keeping guidelines.</w:t>
            </w:r>
          </w:p>
        </w:tc>
      </w:tr>
    </w:tbl>
    <w:p w14:paraId="4D40CA97" w14:textId="77777777" w:rsidR="00131191" w:rsidRDefault="00131191" w:rsidP="00131191">
      <w:pPr>
        <w:pStyle w:val="BodyText"/>
      </w:pPr>
      <w:r>
        <w:br w:type="page"/>
      </w:r>
    </w:p>
    <w:p w14:paraId="49A8E16A" w14:textId="7EA2243C" w:rsidR="00047DAB" w:rsidRDefault="00D42CCB" w:rsidP="00670979">
      <w:pPr>
        <w:pStyle w:val="Caption"/>
        <w:keepLines w:val="0"/>
        <w:spacing w:before="0" w:after="0"/>
        <w:ind w:left="851" w:hanging="851"/>
        <w:rPr>
          <w:rFonts w:cs="Arial"/>
        </w:rPr>
      </w:pPr>
      <w:r>
        <w:lastRenderedPageBreak/>
        <w:t xml:space="preserve">Table </w:t>
      </w:r>
      <w:r w:rsidR="002B13EB">
        <w:rPr>
          <w:noProof/>
        </w:rPr>
        <w:fldChar w:fldCharType="begin"/>
      </w:r>
      <w:r w:rsidR="002B13EB">
        <w:rPr>
          <w:noProof/>
        </w:rPr>
        <w:instrText xml:space="preserve"> STYLEREF 1 \s </w:instrText>
      </w:r>
      <w:r w:rsidR="002B13EB">
        <w:rPr>
          <w:noProof/>
        </w:rPr>
        <w:fldChar w:fldCharType="separate"/>
      </w:r>
      <w:r w:rsidR="0026074F">
        <w:rPr>
          <w:noProof/>
        </w:rPr>
        <w:t>10</w:t>
      </w:r>
      <w:r w:rsidR="002B13EB">
        <w:rPr>
          <w:noProof/>
        </w:rPr>
        <w:fldChar w:fldCharType="end"/>
      </w:r>
      <w:r w:rsidR="00956991">
        <w:t>.</w:t>
      </w:r>
      <w:r w:rsidR="002B13EB">
        <w:rPr>
          <w:noProof/>
        </w:rPr>
        <w:fldChar w:fldCharType="begin"/>
      </w:r>
      <w:r w:rsidR="002B13EB">
        <w:rPr>
          <w:noProof/>
        </w:rPr>
        <w:instrText xml:space="preserve"> SEQ Table \* ARABIC \s 1 </w:instrText>
      </w:r>
      <w:r w:rsidR="002B13EB">
        <w:rPr>
          <w:noProof/>
        </w:rPr>
        <w:fldChar w:fldCharType="separate"/>
      </w:r>
      <w:r w:rsidR="0026074F">
        <w:rPr>
          <w:noProof/>
        </w:rPr>
        <w:t>3</w:t>
      </w:r>
      <w:r w:rsidR="002B13EB">
        <w:rPr>
          <w:noProof/>
        </w:rPr>
        <w:fldChar w:fldCharType="end"/>
      </w:r>
      <w:r>
        <w:t xml:space="preserve">: </w:t>
      </w:r>
      <w:r w:rsidR="008E5C1F">
        <w:rPr>
          <w:rFonts w:cs="Arial"/>
        </w:rPr>
        <w:t xml:space="preserve"> </w:t>
      </w:r>
      <w:r w:rsidR="00047DAB" w:rsidRPr="00C37D44">
        <w:rPr>
          <w:rFonts w:cs="Arial"/>
        </w:rPr>
        <w:t xml:space="preserve">Key timings for </w:t>
      </w:r>
      <w:r w:rsidR="00047DAB">
        <w:rPr>
          <w:rFonts w:cs="Arial"/>
        </w:rPr>
        <w:t xml:space="preserve">NT transportation facilities </w:t>
      </w:r>
    </w:p>
    <w:tbl>
      <w:tblPr>
        <w:tblStyle w:val="TableGrid"/>
        <w:tblW w:w="8789" w:type="dxa"/>
        <w:tblLook w:val="04A0" w:firstRow="1" w:lastRow="0" w:firstColumn="1" w:lastColumn="0" w:noHBand="0" w:noVBand="1"/>
      </w:tblPr>
      <w:tblGrid>
        <w:gridCol w:w="1701"/>
        <w:gridCol w:w="7088"/>
      </w:tblGrid>
      <w:tr w:rsidR="00047DAB" w:rsidRPr="00247DB2" w14:paraId="416257DA" w14:textId="77777777" w:rsidTr="00131191">
        <w:trPr>
          <w:cnfStyle w:val="100000000000" w:firstRow="1" w:lastRow="0" w:firstColumn="0" w:lastColumn="0" w:oddVBand="0" w:evenVBand="0" w:oddHBand="0" w:evenHBand="0" w:firstRowFirstColumn="0" w:firstRowLastColumn="0" w:lastRowFirstColumn="0" w:lastRowLastColumn="0"/>
          <w:tblHeader/>
        </w:trPr>
        <w:tc>
          <w:tcPr>
            <w:tcW w:w="1701" w:type="dxa"/>
            <w:tcBorders>
              <w:bottom w:val="single" w:sz="4" w:space="0" w:color="auto"/>
            </w:tcBorders>
            <w:shd w:val="clear" w:color="auto" w:fill="0099CC"/>
          </w:tcPr>
          <w:p w14:paraId="6EDC8230" w14:textId="77777777" w:rsidR="00047DAB" w:rsidRPr="00247DB2" w:rsidRDefault="00047DAB" w:rsidP="00670979">
            <w:pPr>
              <w:keepNext/>
              <w:rPr>
                <w:rFonts w:asciiTheme="majorHAnsi" w:hAnsiTheme="majorHAnsi" w:cstheme="majorHAnsi"/>
                <w:b w:val="0"/>
                <w:szCs w:val="18"/>
              </w:rPr>
            </w:pPr>
            <w:r w:rsidRPr="00247DB2">
              <w:rPr>
                <w:rFonts w:asciiTheme="majorHAnsi" w:hAnsiTheme="majorHAnsi" w:cstheme="majorHAnsi"/>
                <w:szCs w:val="18"/>
              </w:rPr>
              <w:t xml:space="preserve">Date </w:t>
            </w:r>
          </w:p>
        </w:tc>
        <w:tc>
          <w:tcPr>
            <w:tcW w:w="7088" w:type="dxa"/>
            <w:tcBorders>
              <w:bottom w:val="single" w:sz="4" w:space="0" w:color="auto"/>
            </w:tcBorders>
            <w:shd w:val="clear" w:color="auto" w:fill="0099CC"/>
          </w:tcPr>
          <w:p w14:paraId="1C7B4DBF" w14:textId="77777777" w:rsidR="00047DAB" w:rsidRPr="00247DB2" w:rsidRDefault="00047DAB" w:rsidP="00670979">
            <w:pPr>
              <w:keepNext/>
              <w:rPr>
                <w:rFonts w:asciiTheme="majorHAnsi" w:hAnsiTheme="majorHAnsi" w:cstheme="majorHAnsi"/>
                <w:b w:val="0"/>
                <w:szCs w:val="18"/>
              </w:rPr>
            </w:pPr>
            <w:r w:rsidRPr="00247DB2">
              <w:rPr>
                <w:rFonts w:asciiTheme="majorHAnsi" w:hAnsiTheme="majorHAnsi" w:cstheme="majorHAnsi"/>
                <w:szCs w:val="18"/>
              </w:rPr>
              <w:t>Activity</w:t>
            </w:r>
          </w:p>
        </w:tc>
      </w:tr>
      <w:tr w:rsidR="00047DAB" w:rsidRPr="00247DB2" w14:paraId="5B367F6F" w14:textId="77777777" w:rsidTr="00131191">
        <w:trPr>
          <w:trHeight w:val="104"/>
        </w:trPr>
        <w:tc>
          <w:tcPr>
            <w:tcW w:w="1701" w:type="dxa"/>
            <w:vMerge w:val="restart"/>
            <w:shd w:val="clear" w:color="auto" w:fill="FFFFFF" w:themeFill="background1"/>
          </w:tcPr>
          <w:p w14:paraId="74D11A43" w14:textId="77777777" w:rsidR="00047DAB" w:rsidRDefault="00047DAB" w:rsidP="00670979">
            <w:pPr>
              <w:keepNext/>
              <w:spacing w:before="20" w:after="20"/>
              <w:rPr>
                <w:rFonts w:asciiTheme="majorHAnsi" w:hAnsiTheme="majorHAnsi" w:cstheme="majorHAnsi"/>
                <w:szCs w:val="18"/>
              </w:rPr>
            </w:pPr>
            <w:r>
              <w:rPr>
                <w:rFonts w:asciiTheme="majorHAnsi" w:hAnsiTheme="majorHAnsi" w:cstheme="majorHAnsi"/>
                <w:szCs w:val="18"/>
              </w:rPr>
              <w:t>Before NGP commissioning</w:t>
            </w:r>
          </w:p>
        </w:tc>
        <w:tc>
          <w:tcPr>
            <w:tcW w:w="7088" w:type="dxa"/>
            <w:tcBorders>
              <w:bottom w:val="single" w:sz="4" w:space="0" w:color="auto"/>
            </w:tcBorders>
            <w:shd w:val="clear" w:color="auto" w:fill="FFFFFF" w:themeFill="background1"/>
          </w:tcPr>
          <w:p w14:paraId="14E974E7" w14:textId="77777777" w:rsidR="00047DAB" w:rsidRDefault="00047DAB" w:rsidP="00670979">
            <w:pPr>
              <w:keepNext/>
              <w:spacing w:before="20" w:after="20"/>
              <w:rPr>
                <w:rFonts w:asciiTheme="majorHAnsi" w:hAnsiTheme="majorHAnsi" w:cstheme="majorHAnsi"/>
                <w:szCs w:val="18"/>
              </w:rPr>
            </w:pPr>
            <w:r>
              <w:rPr>
                <w:rFonts w:asciiTheme="majorHAnsi" w:hAnsiTheme="majorHAnsi" w:cstheme="majorHAnsi"/>
                <w:szCs w:val="18"/>
              </w:rPr>
              <w:t>NT transportation facilities that will require an exemption after the NGP is commissioned may apply to the AER for an exemption.</w:t>
            </w:r>
          </w:p>
        </w:tc>
      </w:tr>
      <w:tr w:rsidR="00047DAB" w:rsidRPr="00247DB2" w14:paraId="622569BE" w14:textId="77777777" w:rsidTr="00131191">
        <w:trPr>
          <w:cnfStyle w:val="000000010000" w:firstRow="0" w:lastRow="0" w:firstColumn="0" w:lastColumn="0" w:oddVBand="0" w:evenVBand="0" w:oddHBand="0" w:evenHBand="1" w:firstRowFirstColumn="0" w:firstRowLastColumn="0" w:lastRowFirstColumn="0" w:lastRowLastColumn="0"/>
          <w:trHeight w:val="103"/>
        </w:trPr>
        <w:tc>
          <w:tcPr>
            <w:tcW w:w="1701" w:type="dxa"/>
            <w:vMerge/>
            <w:tcBorders>
              <w:bottom w:val="single" w:sz="4" w:space="0" w:color="auto"/>
            </w:tcBorders>
            <w:shd w:val="clear" w:color="auto" w:fill="FFFFFF" w:themeFill="background1"/>
          </w:tcPr>
          <w:p w14:paraId="54C3A408" w14:textId="77777777" w:rsidR="00047DAB" w:rsidRDefault="00047DAB" w:rsidP="00200CAD">
            <w:pPr>
              <w:spacing w:before="20" w:after="20"/>
              <w:rPr>
                <w:rFonts w:asciiTheme="majorHAnsi" w:hAnsiTheme="majorHAnsi" w:cstheme="majorHAnsi"/>
                <w:szCs w:val="18"/>
              </w:rPr>
            </w:pPr>
          </w:p>
        </w:tc>
        <w:tc>
          <w:tcPr>
            <w:tcW w:w="7088" w:type="dxa"/>
            <w:tcBorders>
              <w:bottom w:val="single" w:sz="4" w:space="0" w:color="auto"/>
            </w:tcBorders>
            <w:shd w:val="clear" w:color="auto" w:fill="FFFFFF" w:themeFill="background1"/>
          </w:tcPr>
          <w:p w14:paraId="7078B785" w14:textId="77777777" w:rsidR="00047DAB" w:rsidRDefault="00047DAB" w:rsidP="0011427B">
            <w:pPr>
              <w:spacing w:before="20" w:after="20"/>
              <w:rPr>
                <w:rFonts w:asciiTheme="majorHAnsi" w:hAnsiTheme="majorHAnsi" w:cstheme="majorHAnsi"/>
                <w:szCs w:val="18"/>
              </w:rPr>
            </w:pPr>
            <w:r>
              <w:rPr>
                <w:rFonts w:asciiTheme="majorHAnsi" w:hAnsiTheme="majorHAnsi" w:cstheme="majorHAnsi"/>
                <w:szCs w:val="18"/>
              </w:rPr>
              <w:t xml:space="preserve">Transportation service providers located wholly or partly in the NT that </w:t>
            </w:r>
            <w:r w:rsidR="0011427B">
              <w:t>do not qualify for</w:t>
            </w:r>
            <w:r>
              <w:rPr>
                <w:rFonts w:asciiTheme="majorHAnsi" w:hAnsiTheme="majorHAnsi" w:cstheme="majorHAnsi"/>
                <w:szCs w:val="18"/>
              </w:rPr>
              <w:t xml:space="preserve"> an exemption </w:t>
            </w:r>
            <w:r>
              <w:rPr>
                <w:rFonts w:cs="Arial"/>
                <w:szCs w:val="18"/>
              </w:rPr>
              <w:t xml:space="preserve">may </w:t>
            </w:r>
            <w:r w:rsidRPr="00B901E1">
              <w:rPr>
                <w:rFonts w:cs="Arial"/>
                <w:szCs w:val="18"/>
              </w:rPr>
              <w:t xml:space="preserve">apply to </w:t>
            </w:r>
            <w:r>
              <w:rPr>
                <w:rFonts w:cs="Arial"/>
                <w:szCs w:val="18"/>
              </w:rPr>
              <w:t xml:space="preserve">AEMO to </w:t>
            </w:r>
            <w:r w:rsidRPr="00B901E1">
              <w:rPr>
                <w:rFonts w:cs="Arial"/>
                <w:szCs w:val="18"/>
              </w:rPr>
              <w:t xml:space="preserve">register </w:t>
            </w:r>
            <w:r>
              <w:rPr>
                <w:rFonts w:cs="Arial"/>
                <w:szCs w:val="18"/>
              </w:rPr>
              <w:t>as a facility operator (if not already registered) and to register the transportation facility</w:t>
            </w:r>
            <w:r>
              <w:rPr>
                <w:rFonts w:asciiTheme="majorHAnsi" w:hAnsiTheme="majorHAnsi" w:cstheme="majorHAnsi"/>
                <w:szCs w:val="18"/>
              </w:rPr>
              <w:t xml:space="preserve">. </w:t>
            </w:r>
          </w:p>
        </w:tc>
      </w:tr>
      <w:tr w:rsidR="009A5382" w:rsidRPr="00247DB2" w14:paraId="1668F797" w14:textId="77777777" w:rsidTr="009A5382">
        <w:trPr>
          <w:trHeight w:val="103"/>
        </w:trPr>
        <w:tc>
          <w:tcPr>
            <w:tcW w:w="1701" w:type="dxa"/>
            <w:vMerge w:val="restart"/>
            <w:shd w:val="clear" w:color="auto" w:fill="E1E2E7" w:themeFill="background2"/>
          </w:tcPr>
          <w:p w14:paraId="505684C0" w14:textId="77777777" w:rsidR="009A5382" w:rsidRPr="00247DB2" w:rsidRDefault="009A5382" w:rsidP="00200CAD">
            <w:pPr>
              <w:spacing w:before="20" w:after="20"/>
              <w:rPr>
                <w:rFonts w:asciiTheme="majorHAnsi" w:hAnsiTheme="majorHAnsi" w:cstheme="majorHAnsi"/>
                <w:b/>
                <w:szCs w:val="18"/>
              </w:rPr>
            </w:pPr>
            <w:r>
              <w:rPr>
                <w:rFonts w:asciiTheme="majorHAnsi" w:hAnsiTheme="majorHAnsi" w:cstheme="majorHAnsi"/>
                <w:szCs w:val="18"/>
              </w:rPr>
              <w:t>NGP commissioned (Commissioning date)</w:t>
            </w:r>
          </w:p>
        </w:tc>
        <w:tc>
          <w:tcPr>
            <w:tcW w:w="7088" w:type="dxa"/>
            <w:tcBorders>
              <w:bottom w:val="single" w:sz="4" w:space="0" w:color="auto"/>
            </w:tcBorders>
            <w:shd w:val="clear" w:color="auto" w:fill="E1E2E7" w:themeFill="background2"/>
          </w:tcPr>
          <w:p w14:paraId="222F94B7" w14:textId="77777777" w:rsidR="009A5382" w:rsidRPr="00247DB2" w:rsidRDefault="009A5382" w:rsidP="00200CAD">
            <w:pPr>
              <w:spacing w:before="20" w:after="20"/>
              <w:rPr>
                <w:rFonts w:asciiTheme="majorHAnsi" w:hAnsiTheme="majorHAnsi" w:cstheme="majorHAnsi"/>
                <w:szCs w:val="18"/>
              </w:rPr>
            </w:pPr>
            <w:r>
              <w:rPr>
                <w:rFonts w:asciiTheme="majorHAnsi" w:hAnsiTheme="majorHAnsi" w:cstheme="majorHAnsi"/>
                <w:szCs w:val="18"/>
              </w:rPr>
              <w:t xml:space="preserve">The automatic exemption for </w:t>
            </w:r>
            <w:r w:rsidRPr="00247DB2">
              <w:rPr>
                <w:rFonts w:asciiTheme="majorHAnsi" w:hAnsiTheme="majorHAnsi" w:cstheme="majorHAnsi"/>
                <w:szCs w:val="18"/>
              </w:rPr>
              <w:t xml:space="preserve">NT </w:t>
            </w:r>
            <w:r>
              <w:rPr>
                <w:rFonts w:asciiTheme="majorHAnsi" w:hAnsiTheme="majorHAnsi" w:cstheme="majorHAnsi"/>
                <w:szCs w:val="18"/>
              </w:rPr>
              <w:t xml:space="preserve">transportation </w:t>
            </w:r>
            <w:r w:rsidRPr="00247DB2">
              <w:rPr>
                <w:rFonts w:asciiTheme="majorHAnsi" w:hAnsiTheme="majorHAnsi" w:cstheme="majorHAnsi"/>
                <w:szCs w:val="18"/>
              </w:rPr>
              <w:t xml:space="preserve">facilities </w:t>
            </w:r>
            <w:r>
              <w:rPr>
                <w:rFonts w:asciiTheme="majorHAnsi" w:hAnsiTheme="majorHAnsi" w:cstheme="majorHAnsi"/>
                <w:szCs w:val="18"/>
              </w:rPr>
              <w:t>expires and NT transportation facilities fall</w:t>
            </w:r>
            <w:r w:rsidRPr="00247DB2">
              <w:rPr>
                <w:rFonts w:asciiTheme="majorHAnsi" w:hAnsiTheme="majorHAnsi" w:cstheme="majorHAnsi"/>
                <w:szCs w:val="18"/>
              </w:rPr>
              <w:t xml:space="preserve"> within the scope of the operation of </w:t>
            </w:r>
            <w:r>
              <w:rPr>
                <w:rFonts w:asciiTheme="majorHAnsi" w:hAnsiTheme="majorHAnsi" w:cstheme="majorHAnsi"/>
                <w:szCs w:val="18"/>
              </w:rPr>
              <w:t>the capacity trading reform package (other than the day-ahead auction).</w:t>
            </w:r>
          </w:p>
        </w:tc>
      </w:tr>
      <w:tr w:rsidR="009A5382" w:rsidRPr="00247DB2" w14:paraId="775A2C82" w14:textId="77777777" w:rsidTr="006B34E4">
        <w:trPr>
          <w:cnfStyle w:val="000000010000" w:firstRow="0" w:lastRow="0" w:firstColumn="0" w:lastColumn="0" w:oddVBand="0" w:evenVBand="0" w:oddHBand="0" w:evenHBand="1" w:firstRowFirstColumn="0" w:firstRowLastColumn="0" w:lastRowFirstColumn="0" w:lastRowLastColumn="0"/>
          <w:trHeight w:val="103"/>
        </w:trPr>
        <w:tc>
          <w:tcPr>
            <w:tcW w:w="1701" w:type="dxa"/>
            <w:vMerge/>
          </w:tcPr>
          <w:p w14:paraId="53EF1DCB" w14:textId="77777777" w:rsidR="009A5382" w:rsidRDefault="009A5382" w:rsidP="00200CAD">
            <w:pPr>
              <w:spacing w:before="20" w:after="20"/>
              <w:rPr>
                <w:rFonts w:asciiTheme="majorHAnsi" w:hAnsiTheme="majorHAnsi" w:cstheme="majorHAnsi"/>
                <w:szCs w:val="18"/>
              </w:rPr>
            </w:pPr>
          </w:p>
        </w:tc>
        <w:tc>
          <w:tcPr>
            <w:tcW w:w="7088" w:type="dxa"/>
            <w:tcBorders>
              <w:bottom w:val="single" w:sz="4" w:space="0" w:color="auto"/>
            </w:tcBorders>
          </w:tcPr>
          <w:p w14:paraId="1756C898" w14:textId="77777777" w:rsidR="009A5382" w:rsidRDefault="009A5382" w:rsidP="00200CAD">
            <w:pPr>
              <w:spacing w:before="20" w:after="20"/>
              <w:rPr>
                <w:rFonts w:asciiTheme="majorHAnsi" w:hAnsiTheme="majorHAnsi" w:cstheme="majorHAnsi"/>
                <w:szCs w:val="18"/>
              </w:rPr>
            </w:pPr>
            <w:r>
              <w:rPr>
                <w:rFonts w:cs="Arial"/>
                <w:szCs w:val="18"/>
              </w:rPr>
              <w:t>Shippers using a Part 24 facility or a conditionally exempt facility can start to seek amendments to their facility agreements if required to enable capacity trading to occur and can also use the new framework in the NGR to request changes to receipt and delivery points.</w:t>
            </w:r>
          </w:p>
        </w:tc>
      </w:tr>
      <w:tr w:rsidR="009A5382" w:rsidRPr="00247DB2" w14:paraId="36D0E383" w14:textId="77777777" w:rsidTr="009A5382">
        <w:trPr>
          <w:trHeight w:val="103"/>
        </w:trPr>
        <w:tc>
          <w:tcPr>
            <w:tcW w:w="1701" w:type="dxa"/>
            <w:vMerge/>
            <w:tcBorders>
              <w:bottom w:val="single" w:sz="4" w:space="0" w:color="auto"/>
            </w:tcBorders>
          </w:tcPr>
          <w:p w14:paraId="596A6765" w14:textId="77777777" w:rsidR="009A5382" w:rsidRDefault="009A5382" w:rsidP="00200CAD">
            <w:pPr>
              <w:spacing w:before="20" w:after="20"/>
              <w:rPr>
                <w:rFonts w:asciiTheme="majorHAnsi" w:hAnsiTheme="majorHAnsi" w:cstheme="majorHAnsi"/>
                <w:szCs w:val="18"/>
              </w:rPr>
            </w:pPr>
          </w:p>
        </w:tc>
        <w:tc>
          <w:tcPr>
            <w:tcW w:w="7088" w:type="dxa"/>
            <w:tcBorders>
              <w:bottom w:val="single" w:sz="4" w:space="0" w:color="auto"/>
            </w:tcBorders>
            <w:shd w:val="clear" w:color="auto" w:fill="E1E2E7" w:themeFill="background2"/>
          </w:tcPr>
          <w:p w14:paraId="620D6462" w14:textId="77777777" w:rsidR="009A5382" w:rsidRDefault="009A5382" w:rsidP="00200CAD">
            <w:pPr>
              <w:spacing w:before="20" w:after="20"/>
              <w:rPr>
                <w:rFonts w:cs="Arial"/>
                <w:szCs w:val="18"/>
              </w:rPr>
            </w:pPr>
            <w:r>
              <w:rPr>
                <w:rFonts w:cs="Arial"/>
                <w:szCs w:val="18"/>
              </w:rPr>
              <w:t>New facility agreements must include provisions that permit shippers to sell capacity under an OTSA and must also give effect to the facilitation of trade principles in the NGR.</w:t>
            </w:r>
          </w:p>
        </w:tc>
      </w:tr>
      <w:tr w:rsidR="00047DAB" w:rsidRPr="00247DB2" w14:paraId="708A373B" w14:textId="77777777" w:rsidTr="00C855EC">
        <w:trPr>
          <w:cnfStyle w:val="000000010000" w:firstRow="0" w:lastRow="0" w:firstColumn="0" w:lastColumn="0" w:oddVBand="0" w:evenVBand="0" w:oddHBand="0" w:evenHBand="1" w:firstRowFirstColumn="0" w:firstRowLastColumn="0" w:lastRowFirstColumn="0" w:lastRowLastColumn="0"/>
        </w:trPr>
        <w:tc>
          <w:tcPr>
            <w:tcW w:w="1701" w:type="dxa"/>
            <w:tcBorders>
              <w:bottom w:val="single" w:sz="4" w:space="0" w:color="auto"/>
            </w:tcBorders>
            <w:shd w:val="clear" w:color="auto" w:fill="FFFFFF" w:themeFill="background1"/>
          </w:tcPr>
          <w:p w14:paraId="06B4DF40" w14:textId="77777777" w:rsidR="00047DAB" w:rsidRPr="00247DB2" w:rsidRDefault="00047DAB" w:rsidP="00200CAD">
            <w:pPr>
              <w:spacing w:before="20" w:after="20"/>
              <w:rPr>
                <w:rFonts w:asciiTheme="majorHAnsi" w:hAnsiTheme="majorHAnsi" w:cstheme="majorHAnsi"/>
                <w:szCs w:val="18"/>
              </w:rPr>
            </w:pPr>
            <w:r w:rsidRPr="00247DB2">
              <w:rPr>
                <w:rFonts w:asciiTheme="majorHAnsi" w:hAnsiTheme="majorHAnsi" w:cstheme="majorHAnsi"/>
                <w:szCs w:val="18"/>
              </w:rPr>
              <w:t>Commissioning date + 20 business days</w:t>
            </w:r>
          </w:p>
        </w:tc>
        <w:tc>
          <w:tcPr>
            <w:tcW w:w="7088" w:type="dxa"/>
            <w:tcBorders>
              <w:bottom w:val="single" w:sz="4" w:space="0" w:color="auto"/>
            </w:tcBorders>
            <w:shd w:val="clear" w:color="auto" w:fill="FFFFFF" w:themeFill="background1"/>
          </w:tcPr>
          <w:p w14:paraId="63E558BD" w14:textId="77777777" w:rsidR="00047DAB" w:rsidRPr="00247DB2" w:rsidRDefault="00047DAB" w:rsidP="00200CAD">
            <w:pPr>
              <w:spacing w:before="20" w:after="20"/>
              <w:rPr>
                <w:rFonts w:asciiTheme="majorHAnsi" w:hAnsiTheme="majorHAnsi" w:cstheme="majorHAnsi"/>
                <w:szCs w:val="18"/>
              </w:rPr>
            </w:pPr>
            <w:r>
              <w:rPr>
                <w:rFonts w:asciiTheme="majorHAnsi" w:hAnsiTheme="majorHAnsi" w:cstheme="majorHAnsi"/>
                <w:szCs w:val="18"/>
              </w:rPr>
              <w:t xml:space="preserve">Last date for transportation service providers for </w:t>
            </w:r>
            <w:r w:rsidR="00131191">
              <w:rPr>
                <w:rFonts w:asciiTheme="majorHAnsi" w:hAnsiTheme="majorHAnsi" w:cstheme="majorHAnsi"/>
                <w:szCs w:val="18"/>
              </w:rPr>
              <w:t xml:space="preserve">Part 24 </w:t>
            </w:r>
            <w:r>
              <w:rPr>
                <w:rFonts w:asciiTheme="majorHAnsi" w:hAnsiTheme="majorHAnsi" w:cstheme="majorHAnsi"/>
                <w:szCs w:val="18"/>
              </w:rPr>
              <w:t xml:space="preserve">facilities located wholly or partly in the NT </w:t>
            </w:r>
            <w:r w:rsidRPr="00B901E1">
              <w:rPr>
                <w:rFonts w:cs="Arial"/>
                <w:szCs w:val="18"/>
              </w:rPr>
              <w:t xml:space="preserve">to apply to </w:t>
            </w:r>
            <w:r>
              <w:rPr>
                <w:rFonts w:cs="Arial"/>
                <w:szCs w:val="18"/>
              </w:rPr>
              <w:t xml:space="preserve">AEMO to </w:t>
            </w:r>
            <w:r w:rsidRPr="00B901E1">
              <w:rPr>
                <w:rFonts w:cs="Arial"/>
                <w:szCs w:val="18"/>
              </w:rPr>
              <w:t xml:space="preserve">register </w:t>
            </w:r>
            <w:r>
              <w:rPr>
                <w:rFonts w:cs="Arial"/>
                <w:szCs w:val="18"/>
              </w:rPr>
              <w:t>as a facility operator (if not already registered) and to register the transportation facility</w:t>
            </w:r>
            <w:r>
              <w:rPr>
                <w:rFonts w:asciiTheme="majorHAnsi" w:hAnsiTheme="majorHAnsi" w:cstheme="majorHAnsi"/>
                <w:szCs w:val="18"/>
              </w:rPr>
              <w:t>.</w:t>
            </w:r>
          </w:p>
        </w:tc>
      </w:tr>
      <w:tr w:rsidR="00047DAB" w:rsidRPr="00247DB2" w14:paraId="436A44CB" w14:textId="77777777" w:rsidTr="00C855EC">
        <w:tc>
          <w:tcPr>
            <w:tcW w:w="1701" w:type="dxa"/>
            <w:tcBorders>
              <w:left w:val="nil"/>
              <w:bottom w:val="single" w:sz="4" w:space="0" w:color="auto"/>
            </w:tcBorders>
            <w:shd w:val="clear" w:color="auto" w:fill="E1E2E7" w:themeFill="background2"/>
          </w:tcPr>
          <w:p w14:paraId="0175B3D8" w14:textId="77777777" w:rsidR="00047DAB" w:rsidRPr="00247DB2" w:rsidRDefault="00047DAB" w:rsidP="00200CAD">
            <w:pPr>
              <w:spacing w:before="20" w:after="20"/>
              <w:rPr>
                <w:rFonts w:asciiTheme="majorHAnsi" w:hAnsiTheme="majorHAnsi" w:cstheme="majorHAnsi"/>
                <w:szCs w:val="18"/>
              </w:rPr>
            </w:pPr>
            <w:r w:rsidRPr="00247DB2">
              <w:rPr>
                <w:rFonts w:asciiTheme="majorHAnsi" w:hAnsiTheme="majorHAnsi" w:cstheme="majorHAnsi"/>
                <w:szCs w:val="18"/>
              </w:rPr>
              <w:t>Commissioning date + 40 business days</w:t>
            </w:r>
          </w:p>
        </w:tc>
        <w:tc>
          <w:tcPr>
            <w:tcW w:w="7088" w:type="dxa"/>
            <w:tcBorders>
              <w:bottom w:val="single" w:sz="4" w:space="0" w:color="auto"/>
            </w:tcBorders>
            <w:shd w:val="clear" w:color="auto" w:fill="E1E2E7" w:themeFill="background2"/>
          </w:tcPr>
          <w:p w14:paraId="1B811E0B" w14:textId="77777777" w:rsidR="00047DAB" w:rsidRPr="00247DB2" w:rsidRDefault="00047DAB" w:rsidP="00200CAD">
            <w:pPr>
              <w:spacing w:before="20" w:after="20"/>
              <w:rPr>
                <w:rFonts w:asciiTheme="majorHAnsi" w:hAnsiTheme="majorHAnsi" w:cstheme="majorHAnsi"/>
                <w:szCs w:val="18"/>
              </w:rPr>
            </w:pPr>
            <w:r>
              <w:rPr>
                <w:rFonts w:asciiTheme="majorHAnsi" w:hAnsiTheme="majorHAnsi" w:cstheme="majorHAnsi"/>
                <w:szCs w:val="18"/>
              </w:rPr>
              <w:t xml:space="preserve">Last date for </w:t>
            </w:r>
            <w:r w:rsidR="009A5382">
              <w:rPr>
                <w:rFonts w:asciiTheme="majorHAnsi" w:hAnsiTheme="majorHAnsi" w:cstheme="majorHAnsi"/>
                <w:szCs w:val="18"/>
              </w:rPr>
              <w:t xml:space="preserve">transportation </w:t>
            </w:r>
            <w:r>
              <w:rPr>
                <w:rFonts w:asciiTheme="majorHAnsi" w:hAnsiTheme="majorHAnsi" w:cstheme="majorHAnsi"/>
                <w:szCs w:val="18"/>
              </w:rPr>
              <w:t xml:space="preserve">service providers for </w:t>
            </w:r>
            <w:r w:rsidR="00131191">
              <w:rPr>
                <w:rFonts w:asciiTheme="majorHAnsi" w:hAnsiTheme="majorHAnsi" w:cstheme="majorHAnsi"/>
                <w:szCs w:val="18"/>
              </w:rPr>
              <w:t xml:space="preserve">Part 24 facilities located wholly or partly in the NT </w:t>
            </w:r>
            <w:r>
              <w:rPr>
                <w:rFonts w:asciiTheme="majorHAnsi" w:hAnsiTheme="majorHAnsi" w:cstheme="majorHAnsi"/>
                <w:szCs w:val="18"/>
              </w:rPr>
              <w:t xml:space="preserve">to </w:t>
            </w:r>
            <w:r w:rsidRPr="00247DB2">
              <w:rPr>
                <w:rFonts w:asciiTheme="majorHAnsi" w:hAnsiTheme="majorHAnsi" w:cstheme="majorHAnsi"/>
                <w:szCs w:val="18"/>
              </w:rPr>
              <w:t xml:space="preserve">publish </w:t>
            </w:r>
            <w:r>
              <w:rPr>
                <w:rFonts w:asciiTheme="majorHAnsi" w:hAnsiTheme="majorHAnsi" w:cstheme="majorHAnsi"/>
                <w:szCs w:val="18"/>
              </w:rPr>
              <w:t xml:space="preserve">a standard OTSA </w:t>
            </w:r>
            <w:r>
              <w:rPr>
                <w:szCs w:val="18"/>
              </w:rPr>
              <w:t>and a schedule of standardisation charges. If a shipper makes a request to enter into the standard OTSA, the service provider will have 20 business days (or longer if agreed to by the parties) to prepare and offer to enter into the agreement.</w:t>
            </w:r>
          </w:p>
        </w:tc>
      </w:tr>
      <w:tr w:rsidR="00047DAB" w:rsidRPr="00247DB2" w14:paraId="2EF62D83" w14:textId="77777777" w:rsidTr="00131191">
        <w:trPr>
          <w:cnfStyle w:val="000000010000" w:firstRow="0" w:lastRow="0" w:firstColumn="0" w:lastColumn="0" w:oddVBand="0" w:evenVBand="0" w:oddHBand="0" w:evenHBand="1" w:firstRowFirstColumn="0" w:firstRowLastColumn="0" w:lastRowFirstColumn="0" w:lastRowLastColumn="0"/>
          <w:trHeight w:val="190"/>
        </w:trPr>
        <w:tc>
          <w:tcPr>
            <w:tcW w:w="1701" w:type="dxa"/>
            <w:vMerge w:val="restart"/>
            <w:shd w:val="clear" w:color="auto" w:fill="FFFFFF" w:themeFill="background1"/>
          </w:tcPr>
          <w:p w14:paraId="5EDDF8F2" w14:textId="77777777" w:rsidR="00047DAB" w:rsidRPr="00247DB2" w:rsidRDefault="00047DAB" w:rsidP="00200CAD">
            <w:pPr>
              <w:spacing w:before="20" w:after="20"/>
              <w:rPr>
                <w:rFonts w:asciiTheme="majorHAnsi" w:hAnsiTheme="majorHAnsi" w:cstheme="majorHAnsi"/>
                <w:szCs w:val="18"/>
              </w:rPr>
            </w:pPr>
            <w:r w:rsidRPr="00247DB2">
              <w:rPr>
                <w:rFonts w:asciiTheme="majorHAnsi" w:hAnsiTheme="majorHAnsi" w:cstheme="majorHAnsi"/>
                <w:szCs w:val="18"/>
              </w:rPr>
              <w:t>Commissioning date + 90 days</w:t>
            </w:r>
          </w:p>
        </w:tc>
        <w:tc>
          <w:tcPr>
            <w:tcW w:w="7088" w:type="dxa"/>
            <w:tcBorders>
              <w:bottom w:val="single" w:sz="4" w:space="0" w:color="auto"/>
            </w:tcBorders>
            <w:shd w:val="clear" w:color="auto" w:fill="FFFFFF" w:themeFill="background1"/>
          </w:tcPr>
          <w:p w14:paraId="04A4524E" w14:textId="77777777" w:rsidR="00047DAB" w:rsidRPr="00247DB2" w:rsidRDefault="00047DAB" w:rsidP="00200CAD">
            <w:pPr>
              <w:spacing w:before="20" w:after="20"/>
              <w:rPr>
                <w:rFonts w:asciiTheme="majorHAnsi" w:hAnsiTheme="majorHAnsi" w:cstheme="majorHAnsi"/>
                <w:szCs w:val="18"/>
              </w:rPr>
            </w:pPr>
            <w:r>
              <w:rPr>
                <w:rFonts w:asciiTheme="majorHAnsi" w:hAnsiTheme="majorHAnsi" w:cstheme="majorHAnsi"/>
                <w:szCs w:val="18"/>
              </w:rPr>
              <w:t>“</w:t>
            </w:r>
            <w:r w:rsidRPr="00247DB2">
              <w:rPr>
                <w:rFonts w:asciiTheme="majorHAnsi" w:hAnsiTheme="majorHAnsi" w:cstheme="majorHAnsi"/>
                <w:szCs w:val="18"/>
              </w:rPr>
              <w:t xml:space="preserve">NT </w:t>
            </w:r>
            <w:r>
              <w:rPr>
                <w:rFonts w:asciiTheme="majorHAnsi" w:hAnsiTheme="majorHAnsi" w:cstheme="majorHAnsi"/>
                <w:szCs w:val="18"/>
              </w:rPr>
              <w:t>Application Date” for the BB under Part 18 of the NGR.</w:t>
            </w:r>
          </w:p>
        </w:tc>
      </w:tr>
      <w:tr w:rsidR="00047DAB" w:rsidRPr="00247DB2" w14:paraId="0A055FDB" w14:textId="77777777" w:rsidTr="00C855EC">
        <w:trPr>
          <w:trHeight w:val="190"/>
        </w:trPr>
        <w:tc>
          <w:tcPr>
            <w:tcW w:w="1701" w:type="dxa"/>
            <w:vMerge/>
            <w:tcBorders>
              <w:bottom w:val="single" w:sz="4" w:space="0" w:color="auto"/>
            </w:tcBorders>
            <w:shd w:val="clear" w:color="auto" w:fill="FFFFFF" w:themeFill="background1"/>
          </w:tcPr>
          <w:p w14:paraId="353CD6C1" w14:textId="77777777" w:rsidR="00047DAB" w:rsidRPr="00247DB2" w:rsidRDefault="00047DAB" w:rsidP="00200CAD">
            <w:pPr>
              <w:spacing w:before="20" w:after="20"/>
              <w:rPr>
                <w:rFonts w:asciiTheme="majorHAnsi" w:hAnsiTheme="majorHAnsi" w:cstheme="majorHAnsi"/>
                <w:szCs w:val="18"/>
              </w:rPr>
            </w:pPr>
          </w:p>
        </w:tc>
        <w:tc>
          <w:tcPr>
            <w:tcW w:w="7088" w:type="dxa"/>
            <w:tcBorders>
              <w:bottom w:val="single" w:sz="4" w:space="0" w:color="auto"/>
            </w:tcBorders>
            <w:shd w:val="clear" w:color="auto" w:fill="FFFFFF" w:themeFill="background1"/>
          </w:tcPr>
          <w:p w14:paraId="7A076D9F" w14:textId="77777777" w:rsidR="00047DAB" w:rsidRPr="00247DB2" w:rsidRDefault="00047DAB" w:rsidP="00200CAD">
            <w:pPr>
              <w:spacing w:before="20" w:after="20"/>
              <w:rPr>
                <w:rFonts w:asciiTheme="majorHAnsi" w:hAnsiTheme="majorHAnsi" w:cstheme="majorHAnsi"/>
                <w:szCs w:val="18"/>
              </w:rPr>
            </w:pPr>
            <w:r>
              <w:rPr>
                <w:rFonts w:cs="Arial"/>
                <w:szCs w:val="18"/>
              </w:rPr>
              <w:t xml:space="preserve">An allocation point on a registered transportation facility in the NT becomes a “BB </w:t>
            </w:r>
            <w:r w:rsidRPr="00B901E1">
              <w:rPr>
                <w:rFonts w:cs="Arial"/>
                <w:szCs w:val="18"/>
              </w:rPr>
              <w:t xml:space="preserve">allocation </w:t>
            </w:r>
            <w:r>
              <w:rPr>
                <w:rFonts w:cs="Arial"/>
                <w:szCs w:val="18"/>
              </w:rPr>
              <w:t xml:space="preserve">point” and the agent responsible for the point becomes a “BB </w:t>
            </w:r>
            <w:r w:rsidRPr="00B901E1">
              <w:rPr>
                <w:rFonts w:cs="Arial"/>
                <w:szCs w:val="18"/>
              </w:rPr>
              <w:t xml:space="preserve">allocation </w:t>
            </w:r>
            <w:r>
              <w:rPr>
                <w:rFonts w:cs="Arial"/>
                <w:szCs w:val="18"/>
              </w:rPr>
              <w:t>agent” for the purposes of the transitional arrangements in the NGR (if it is not already).</w:t>
            </w:r>
          </w:p>
        </w:tc>
      </w:tr>
      <w:tr w:rsidR="00047DAB" w:rsidRPr="00247DB2" w14:paraId="67D380F0" w14:textId="77777777" w:rsidTr="00C855EC">
        <w:trPr>
          <w:cnfStyle w:val="000000010000" w:firstRow="0" w:lastRow="0" w:firstColumn="0" w:lastColumn="0" w:oddVBand="0" w:evenVBand="0" w:oddHBand="0" w:evenHBand="1" w:firstRowFirstColumn="0" w:firstRowLastColumn="0" w:lastRowFirstColumn="0" w:lastRowLastColumn="0"/>
          <w:trHeight w:val="277"/>
        </w:trPr>
        <w:tc>
          <w:tcPr>
            <w:tcW w:w="1701" w:type="dxa"/>
            <w:vMerge w:val="restart"/>
            <w:tcBorders>
              <w:left w:val="nil"/>
            </w:tcBorders>
          </w:tcPr>
          <w:p w14:paraId="0B3B080A" w14:textId="77777777" w:rsidR="00047DAB" w:rsidRPr="00247DB2" w:rsidRDefault="00047DAB" w:rsidP="00200CAD">
            <w:pPr>
              <w:spacing w:before="20" w:after="20"/>
              <w:rPr>
                <w:rFonts w:asciiTheme="majorHAnsi" w:hAnsiTheme="majorHAnsi" w:cstheme="majorHAnsi"/>
                <w:szCs w:val="18"/>
              </w:rPr>
            </w:pPr>
            <w:r w:rsidRPr="00247DB2">
              <w:rPr>
                <w:rFonts w:asciiTheme="majorHAnsi" w:hAnsiTheme="majorHAnsi" w:cstheme="majorHAnsi"/>
                <w:szCs w:val="18"/>
              </w:rPr>
              <w:t xml:space="preserve">Commissioning date + 90 days + 20 business days </w:t>
            </w:r>
          </w:p>
        </w:tc>
        <w:tc>
          <w:tcPr>
            <w:tcW w:w="7088" w:type="dxa"/>
            <w:tcBorders>
              <w:bottom w:val="single" w:sz="4" w:space="0" w:color="auto"/>
            </w:tcBorders>
          </w:tcPr>
          <w:p w14:paraId="72B012F0" w14:textId="77777777" w:rsidR="00047DAB" w:rsidRPr="00247DB2" w:rsidRDefault="00047DAB" w:rsidP="00200CAD">
            <w:pPr>
              <w:spacing w:before="20" w:after="20"/>
              <w:rPr>
                <w:rFonts w:asciiTheme="majorHAnsi" w:hAnsiTheme="majorHAnsi" w:cstheme="majorHAnsi"/>
                <w:szCs w:val="18"/>
              </w:rPr>
            </w:pPr>
            <w:r>
              <w:rPr>
                <w:rFonts w:asciiTheme="majorHAnsi" w:hAnsiTheme="majorHAnsi" w:cstheme="majorHAnsi"/>
                <w:szCs w:val="18"/>
              </w:rPr>
              <w:t xml:space="preserve">Last date for </w:t>
            </w:r>
            <w:r w:rsidRPr="00247DB2">
              <w:rPr>
                <w:rFonts w:asciiTheme="majorHAnsi" w:hAnsiTheme="majorHAnsi" w:cstheme="majorHAnsi"/>
                <w:szCs w:val="18"/>
              </w:rPr>
              <w:t xml:space="preserve">NT facility operators to register with AEMO </w:t>
            </w:r>
            <w:r>
              <w:rPr>
                <w:rFonts w:asciiTheme="majorHAnsi" w:hAnsiTheme="majorHAnsi" w:cstheme="majorHAnsi"/>
                <w:szCs w:val="18"/>
              </w:rPr>
              <w:t xml:space="preserve">and register their facilities </w:t>
            </w:r>
            <w:r w:rsidRPr="00247DB2">
              <w:rPr>
                <w:rFonts w:asciiTheme="majorHAnsi" w:hAnsiTheme="majorHAnsi" w:cstheme="majorHAnsi"/>
                <w:szCs w:val="18"/>
              </w:rPr>
              <w:t xml:space="preserve">under Part 18 </w:t>
            </w:r>
            <w:r>
              <w:rPr>
                <w:rFonts w:asciiTheme="majorHAnsi" w:hAnsiTheme="majorHAnsi" w:cstheme="majorHAnsi"/>
                <w:szCs w:val="18"/>
              </w:rPr>
              <w:t xml:space="preserve">of the NGR </w:t>
            </w:r>
            <w:r w:rsidRPr="00247DB2">
              <w:rPr>
                <w:rFonts w:asciiTheme="majorHAnsi" w:hAnsiTheme="majorHAnsi" w:cstheme="majorHAnsi"/>
                <w:szCs w:val="18"/>
              </w:rPr>
              <w:t>(unless already registered</w:t>
            </w:r>
            <w:r>
              <w:rPr>
                <w:rFonts w:asciiTheme="majorHAnsi" w:hAnsiTheme="majorHAnsi" w:cstheme="majorHAnsi"/>
                <w:szCs w:val="18"/>
              </w:rPr>
              <w:t xml:space="preserve"> or exempt from doing so</w:t>
            </w:r>
            <w:r w:rsidRPr="00247DB2">
              <w:rPr>
                <w:rFonts w:asciiTheme="majorHAnsi" w:hAnsiTheme="majorHAnsi" w:cstheme="majorHAnsi"/>
                <w:szCs w:val="18"/>
              </w:rPr>
              <w:t>)</w:t>
            </w:r>
            <w:r>
              <w:rPr>
                <w:rFonts w:asciiTheme="majorHAnsi" w:hAnsiTheme="majorHAnsi" w:cstheme="majorHAnsi"/>
                <w:szCs w:val="18"/>
              </w:rPr>
              <w:t xml:space="preserve">. </w:t>
            </w:r>
          </w:p>
        </w:tc>
      </w:tr>
      <w:tr w:rsidR="00047DAB" w:rsidRPr="00247DB2" w14:paraId="4A4D6B3A" w14:textId="77777777" w:rsidTr="00C855EC">
        <w:trPr>
          <w:trHeight w:val="276"/>
        </w:trPr>
        <w:tc>
          <w:tcPr>
            <w:tcW w:w="1701" w:type="dxa"/>
            <w:vMerge/>
            <w:tcBorders>
              <w:left w:val="nil"/>
              <w:bottom w:val="single" w:sz="4" w:space="0" w:color="auto"/>
            </w:tcBorders>
            <w:shd w:val="clear" w:color="auto" w:fill="E1E2E7" w:themeFill="background2"/>
          </w:tcPr>
          <w:p w14:paraId="38066BDA" w14:textId="77777777" w:rsidR="00047DAB" w:rsidRPr="00247DB2" w:rsidRDefault="00047DAB" w:rsidP="00200CAD">
            <w:pPr>
              <w:spacing w:before="20" w:after="20"/>
              <w:rPr>
                <w:rFonts w:asciiTheme="majorHAnsi" w:hAnsiTheme="majorHAnsi" w:cstheme="majorHAnsi"/>
                <w:szCs w:val="18"/>
              </w:rPr>
            </w:pPr>
          </w:p>
        </w:tc>
        <w:tc>
          <w:tcPr>
            <w:tcW w:w="7088" w:type="dxa"/>
            <w:tcBorders>
              <w:bottom w:val="single" w:sz="4" w:space="0" w:color="auto"/>
            </w:tcBorders>
            <w:shd w:val="clear" w:color="auto" w:fill="E1E2E7" w:themeFill="background2"/>
          </w:tcPr>
          <w:p w14:paraId="69645CEA" w14:textId="77777777" w:rsidR="00047DAB" w:rsidRDefault="00047DAB" w:rsidP="00200CAD">
            <w:pPr>
              <w:spacing w:before="20" w:after="20"/>
              <w:rPr>
                <w:rFonts w:asciiTheme="majorHAnsi" w:hAnsiTheme="majorHAnsi" w:cstheme="majorHAnsi"/>
                <w:szCs w:val="18"/>
              </w:rPr>
            </w:pPr>
            <w:r>
              <w:rPr>
                <w:rFonts w:asciiTheme="majorHAnsi" w:hAnsiTheme="majorHAnsi" w:cstheme="majorHAnsi"/>
                <w:szCs w:val="18"/>
              </w:rPr>
              <w:t xml:space="preserve">Last date for </w:t>
            </w:r>
            <w:r>
              <w:rPr>
                <w:rFonts w:cs="Arial"/>
                <w:szCs w:val="18"/>
              </w:rPr>
              <w:t xml:space="preserve">BB </w:t>
            </w:r>
            <w:r w:rsidRPr="00B901E1">
              <w:rPr>
                <w:rFonts w:cs="Arial"/>
                <w:szCs w:val="18"/>
              </w:rPr>
              <w:t xml:space="preserve">allocation </w:t>
            </w:r>
            <w:r>
              <w:rPr>
                <w:rFonts w:cs="Arial"/>
                <w:szCs w:val="18"/>
              </w:rPr>
              <w:t>agents in the NT that meet the relevant criteria in the NGR to apply to AEMO to register in that role (if not already registered) and to apply to AEMO to register the BB allocation point.</w:t>
            </w:r>
          </w:p>
        </w:tc>
      </w:tr>
      <w:tr w:rsidR="00047DAB" w:rsidRPr="00247DB2" w14:paraId="7779ACFD" w14:textId="77777777" w:rsidTr="00131191">
        <w:trPr>
          <w:cnfStyle w:val="000000010000" w:firstRow="0" w:lastRow="0" w:firstColumn="0" w:lastColumn="0" w:oddVBand="0" w:evenVBand="0" w:oddHBand="0" w:evenHBand="1" w:firstRowFirstColumn="0" w:firstRowLastColumn="0" w:lastRowFirstColumn="0" w:lastRowLastColumn="0"/>
          <w:trHeight w:val="630"/>
        </w:trPr>
        <w:tc>
          <w:tcPr>
            <w:tcW w:w="1701" w:type="dxa"/>
            <w:vMerge w:val="restart"/>
            <w:shd w:val="clear" w:color="auto" w:fill="FFFFFF" w:themeFill="background1"/>
          </w:tcPr>
          <w:p w14:paraId="17177154" w14:textId="77777777" w:rsidR="00047DAB" w:rsidRPr="00247DB2" w:rsidRDefault="00047DAB" w:rsidP="00200CAD">
            <w:pPr>
              <w:keepNext/>
              <w:spacing w:before="20" w:after="20"/>
              <w:rPr>
                <w:rFonts w:asciiTheme="majorHAnsi" w:hAnsiTheme="majorHAnsi" w:cstheme="majorHAnsi"/>
                <w:szCs w:val="18"/>
              </w:rPr>
            </w:pPr>
            <w:r>
              <w:rPr>
                <w:rFonts w:asciiTheme="majorHAnsi" w:hAnsiTheme="majorHAnsi" w:cstheme="majorHAnsi"/>
                <w:szCs w:val="18"/>
              </w:rPr>
              <w:t>Commissioning date + 120 business days</w:t>
            </w:r>
          </w:p>
        </w:tc>
        <w:tc>
          <w:tcPr>
            <w:tcW w:w="7088" w:type="dxa"/>
            <w:shd w:val="clear" w:color="auto" w:fill="FFFFFF" w:themeFill="background1"/>
          </w:tcPr>
          <w:p w14:paraId="79637483" w14:textId="77777777" w:rsidR="00047DAB" w:rsidRPr="00247DB2" w:rsidRDefault="00047DAB" w:rsidP="00200CAD">
            <w:pPr>
              <w:keepNext/>
              <w:spacing w:before="20" w:after="20"/>
              <w:rPr>
                <w:rFonts w:asciiTheme="majorHAnsi" w:hAnsiTheme="majorHAnsi" w:cstheme="majorHAnsi"/>
                <w:szCs w:val="18"/>
              </w:rPr>
            </w:pPr>
            <w:r w:rsidRPr="00B901E1">
              <w:rPr>
                <w:szCs w:val="18"/>
              </w:rPr>
              <w:t xml:space="preserve">First day on which </w:t>
            </w:r>
            <w:r>
              <w:rPr>
                <w:szCs w:val="18"/>
              </w:rPr>
              <w:t xml:space="preserve">transportation </w:t>
            </w:r>
            <w:r w:rsidRPr="00B901E1">
              <w:rPr>
                <w:szCs w:val="18"/>
              </w:rPr>
              <w:t xml:space="preserve">service providers </w:t>
            </w:r>
            <w:r w:rsidR="00131191">
              <w:rPr>
                <w:szCs w:val="18"/>
              </w:rPr>
              <w:t xml:space="preserve">of Part 24 facilities </w:t>
            </w:r>
            <w:r w:rsidR="009A5382">
              <w:rPr>
                <w:szCs w:val="18"/>
              </w:rPr>
              <w:t>(</w:t>
            </w:r>
            <w:r w:rsidR="00131191">
              <w:rPr>
                <w:szCs w:val="18"/>
              </w:rPr>
              <w:t>located wholly or partly in the NT</w:t>
            </w:r>
            <w:r w:rsidR="009A5382">
              <w:rPr>
                <w:szCs w:val="18"/>
              </w:rPr>
              <w:t>)</w:t>
            </w:r>
            <w:r w:rsidR="00131191">
              <w:rPr>
                <w:szCs w:val="18"/>
              </w:rPr>
              <w:t xml:space="preserve"> </w:t>
            </w:r>
            <w:r w:rsidRPr="00B901E1">
              <w:rPr>
                <w:szCs w:val="18"/>
              </w:rPr>
              <w:t>are required to give effect to operational transfers</w:t>
            </w:r>
            <w:r>
              <w:rPr>
                <w:szCs w:val="18"/>
              </w:rPr>
              <w:t xml:space="preserve">, </w:t>
            </w:r>
            <w:r w:rsidRPr="00B901E1">
              <w:rPr>
                <w:szCs w:val="18"/>
              </w:rPr>
              <w:t xml:space="preserve">service continuity arrangements </w:t>
            </w:r>
            <w:r>
              <w:rPr>
                <w:szCs w:val="18"/>
              </w:rPr>
              <w:t>for trades conducted on the capacity trading platform and to comply with transaction support arrangements.</w:t>
            </w:r>
          </w:p>
        </w:tc>
      </w:tr>
      <w:tr w:rsidR="00047DAB" w:rsidRPr="00247DB2" w14:paraId="14BCDD53" w14:textId="77777777" w:rsidTr="00131191">
        <w:trPr>
          <w:trHeight w:val="77"/>
        </w:trPr>
        <w:tc>
          <w:tcPr>
            <w:tcW w:w="1701" w:type="dxa"/>
            <w:vMerge/>
            <w:tcBorders>
              <w:bottom w:val="single" w:sz="4" w:space="0" w:color="auto"/>
            </w:tcBorders>
            <w:shd w:val="clear" w:color="auto" w:fill="FFFFFF" w:themeFill="background1"/>
          </w:tcPr>
          <w:p w14:paraId="11EE593A" w14:textId="77777777" w:rsidR="00047DAB" w:rsidRDefault="00047DAB" w:rsidP="00200CAD">
            <w:pPr>
              <w:keepNext/>
              <w:spacing w:before="20" w:after="20"/>
              <w:rPr>
                <w:rFonts w:asciiTheme="majorHAnsi" w:hAnsiTheme="majorHAnsi" w:cstheme="majorHAnsi"/>
                <w:szCs w:val="18"/>
              </w:rPr>
            </w:pPr>
          </w:p>
        </w:tc>
        <w:tc>
          <w:tcPr>
            <w:tcW w:w="7088" w:type="dxa"/>
            <w:tcBorders>
              <w:bottom w:val="single" w:sz="4" w:space="0" w:color="auto"/>
            </w:tcBorders>
            <w:shd w:val="clear" w:color="auto" w:fill="FFFFFF" w:themeFill="background1"/>
          </w:tcPr>
          <w:p w14:paraId="7FE1CE86" w14:textId="77777777" w:rsidR="00047DAB" w:rsidRPr="00247DB2" w:rsidRDefault="00047DAB" w:rsidP="00200CAD">
            <w:pPr>
              <w:keepNext/>
              <w:spacing w:before="20" w:after="20"/>
              <w:rPr>
                <w:rFonts w:asciiTheme="majorHAnsi" w:hAnsiTheme="majorHAnsi" w:cstheme="majorHAnsi"/>
                <w:szCs w:val="18"/>
              </w:rPr>
            </w:pPr>
            <w:r>
              <w:rPr>
                <w:szCs w:val="18"/>
              </w:rPr>
              <w:t xml:space="preserve">First day </w:t>
            </w:r>
            <w:r w:rsidR="00131191">
              <w:rPr>
                <w:szCs w:val="18"/>
              </w:rPr>
              <w:t>on</w:t>
            </w:r>
            <w:r>
              <w:rPr>
                <w:szCs w:val="18"/>
              </w:rPr>
              <w:t xml:space="preserve"> which shippers </w:t>
            </w:r>
            <w:r w:rsidR="009A5382">
              <w:rPr>
                <w:szCs w:val="18"/>
              </w:rPr>
              <w:t xml:space="preserve">using </w:t>
            </w:r>
            <w:r w:rsidR="00131191">
              <w:rPr>
                <w:szCs w:val="18"/>
              </w:rPr>
              <w:t xml:space="preserve">Part 24 </w:t>
            </w:r>
            <w:r>
              <w:rPr>
                <w:szCs w:val="18"/>
              </w:rPr>
              <w:t xml:space="preserve">facilities </w:t>
            </w:r>
            <w:r w:rsidR="00131191">
              <w:rPr>
                <w:szCs w:val="18"/>
              </w:rPr>
              <w:t xml:space="preserve">located wholly or partly in the NT </w:t>
            </w:r>
            <w:r>
              <w:rPr>
                <w:szCs w:val="18"/>
              </w:rPr>
              <w:t xml:space="preserve">must comply with secondary capacity trading reporting obligations. </w:t>
            </w:r>
          </w:p>
        </w:tc>
      </w:tr>
      <w:tr w:rsidR="00047DAB" w:rsidRPr="00247DB2" w14:paraId="0D3C8119" w14:textId="77777777" w:rsidTr="00131191">
        <w:trPr>
          <w:cnfStyle w:val="000000010000" w:firstRow="0" w:lastRow="0" w:firstColumn="0" w:lastColumn="0" w:oddVBand="0" w:evenVBand="0" w:oddHBand="0" w:evenHBand="1" w:firstRowFirstColumn="0" w:firstRowLastColumn="0" w:lastRowFirstColumn="0" w:lastRowLastColumn="0"/>
          <w:trHeight w:val="77"/>
        </w:trPr>
        <w:tc>
          <w:tcPr>
            <w:tcW w:w="1701" w:type="dxa"/>
          </w:tcPr>
          <w:p w14:paraId="2C836955" w14:textId="77777777" w:rsidR="00047DAB" w:rsidRPr="00982CAD" w:rsidRDefault="00047DAB" w:rsidP="00200CAD">
            <w:pPr>
              <w:keepNext/>
              <w:spacing w:before="20" w:after="20"/>
              <w:rPr>
                <w:rFonts w:asciiTheme="majorHAnsi" w:hAnsiTheme="majorHAnsi" w:cstheme="majorHAnsi"/>
                <w:szCs w:val="18"/>
              </w:rPr>
            </w:pPr>
            <w:r w:rsidRPr="00982CAD">
              <w:rPr>
                <w:rFonts w:asciiTheme="majorHAnsi" w:hAnsiTheme="majorHAnsi" w:cstheme="majorHAnsi"/>
                <w:szCs w:val="18"/>
              </w:rPr>
              <w:t>Expiration of derogation</w:t>
            </w:r>
          </w:p>
        </w:tc>
        <w:tc>
          <w:tcPr>
            <w:tcW w:w="7088" w:type="dxa"/>
          </w:tcPr>
          <w:p w14:paraId="486CB3DA" w14:textId="77777777" w:rsidR="00047DAB" w:rsidRPr="00982CAD" w:rsidRDefault="00047DAB" w:rsidP="00200CAD">
            <w:pPr>
              <w:autoSpaceDE w:val="0"/>
              <w:autoSpaceDN w:val="0"/>
              <w:adjustRightInd w:val="0"/>
              <w:spacing w:line="240" w:lineRule="auto"/>
              <w:rPr>
                <w:rFonts w:asciiTheme="majorHAnsi" w:hAnsiTheme="majorHAnsi" w:cstheme="majorHAnsi"/>
                <w:szCs w:val="18"/>
              </w:rPr>
            </w:pPr>
            <w:r w:rsidRPr="00982CAD">
              <w:rPr>
                <w:rFonts w:asciiTheme="majorHAnsi" w:hAnsiTheme="majorHAnsi" w:cstheme="majorHAnsi"/>
                <w:szCs w:val="18"/>
              </w:rPr>
              <w:t>Day-ahead auction applies to non-exempt NT transportation facilities</w:t>
            </w:r>
            <w:r w:rsidR="00131191">
              <w:rPr>
                <w:rFonts w:asciiTheme="majorHAnsi" w:hAnsiTheme="majorHAnsi" w:cstheme="majorHAnsi"/>
                <w:szCs w:val="18"/>
              </w:rPr>
              <w:t>.</w:t>
            </w:r>
            <w:r w:rsidR="00131191">
              <w:rPr>
                <w:rStyle w:val="FootnoteReference"/>
                <w:rFonts w:asciiTheme="majorHAnsi" w:hAnsiTheme="majorHAnsi" w:cstheme="majorHAnsi"/>
                <w:szCs w:val="18"/>
              </w:rPr>
              <w:footnoteReference w:id="407"/>
            </w:r>
          </w:p>
        </w:tc>
      </w:tr>
      <w:bookmarkEnd w:id="104"/>
    </w:tbl>
    <w:p w14:paraId="653159D2" w14:textId="77777777" w:rsidR="00047DAB" w:rsidRPr="003A4919" w:rsidRDefault="00047DAB" w:rsidP="0079432A">
      <w:pPr>
        <w:pStyle w:val="BodyText"/>
        <w:rPr>
          <w:highlight w:val="yellow"/>
        </w:rPr>
      </w:pPr>
    </w:p>
    <w:p w14:paraId="314FC0E8" w14:textId="77777777" w:rsidR="003A4919" w:rsidRPr="003A4919" w:rsidRDefault="003A4919" w:rsidP="0079432A">
      <w:pPr>
        <w:pStyle w:val="BodyText"/>
        <w:rPr>
          <w:highlight w:val="yellow"/>
        </w:rPr>
      </w:pPr>
    </w:p>
    <w:p w14:paraId="5BA8422C" w14:textId="77777777" w:rsidR="003A4919" w:rsidRPr="003A4919" w:rsidRDefault="003A4919" w:rsidP="00047DAB">
      <w:pPr>
        <w:pStyle w:val="ListBullet"/>
        <w:numPr>
          <w:ilvl w:val="0"/>
          <w:numId w:val="0"/>
        </w:numPr>
        <w:ind w:left="357" w:hanging="357"/>
        <w:rPr>
          <w:rFonts w:cstheme="majorHAnsi"/>
          <w:color w:val="0099CC"/>
          <w:highlight w:val="yellow"/>
        </w:rPr>
      </w:pPr>
    </w:p>
    <w:p w14:paraId="60FF6D2C" w14:textId="77777777" w:rsidR="003A4919" w:rsidRDefault="003A4919" w:rsidP="009A5382">
      <w:pPr>
        <w:pStyle w:val="ListBullet"/>
        <w:numPr>
          <w:ilvl w:val="0"/>
          <w:numId w:val="0"/>
        </w:numPr>
        <w:ind w:left="360" w:hanging="360"/>
        <w:rPr>
          <w:rFonts w:cstheme="majorHAnsi"/>
          <w:color w:val="0099CC"/>
          <w:highlight w:val="yellow"/>
        </w:rPr>
        <w:sectPr w:rsidR="003A4919" w:rsidSect="00345549">
          <w:headerReference w:type="default" r:id="rId58"/>
          <w:footerReference w:type="default" r:id="rId59"/>
          <w:headerReference w:type="first" r:id="rId60"/>
          <w:footerReference w:type="first" r:id="rId61"/>
          <w:pgSz w:w="11907" w:h="16840" w:code="9"/>
          <w:pgMar w:top="1701" w:right="1418" w:bottom="1135" w:left="1701" w:header="425" w:footer="397" w:gutter="0"/>
          <w:cols w:space="708"/>
          <w:docGrid w:linePitch="360"/>
        </w:sectPr>
      </w:pPr>
    </w:p>
    <w:p w14:paraId="420C0CFF" w14:textId="77777777" w:rsidR="005163F8" w:rsidRPr="005F6769" w:rsidRDefault="005163F8" w:rsidP="00456349">
      <w:pPr>
        <w:pStyle w:val="Heading9"/>
        <w:spacing w:before="0" w:after="120"/>
        <w:rPr>
          <w:color w:val="0099CC"/>
        </w:rPr>
      </w:pPr>
      <w:bookmarkStart w:id="105" w:name="_Toc521744427"/>
      <w:bookmarkStart w:id="106" w:name="_Toc521818698"/>
      <w:bookmarkStart w:id="107" w:name="_Toc521836858"/>
      <w:bookmarkStart w:id="108" w:name="_Toc521839117"/>
      <w:bookmarkStart w:id="109" w:name="_Toc521744429"/>
      <w:bookmarkStart w:id="110" w:name="_Toc521818700"/>
      <w:bookmarkStart w:id="111" w:name="_Toc521836860"/>
      <w:bookmarkStart w:id="112" w:name="_Toc521839119"/>
      <w:bookmarkStart w:id="113" w:name="_Toc521744433"/>
      <w:bookmarkStart w:id="114" w:name="_Toc521818704"/>
      <w:bookmarkStart w:id="115" w:name="_Toc521836864"/>
      <w:bookmarkStart w:id="116" w:name="_Toc521839123"/>
      <w:bookmarkStart w:id="117" w:name="_Toc521744440"/>
      <w:bookmarkStart w:id="118" w:name="_Toc521818711"/>
      <w:bookmarkStart w:id="119" w:name="_Toc521836871"/>
      <w:bookmarkStart w:id="120" w:name="_Toc521839130"/>
      <w:bookmarkStart w:id="121" w:name="_Toc521744443"/>
      <w:bookmarkStart w:id="122" w:name="_Toc521818714"/>
      <w:bookmarkStart w:id="123" w:name="_Toc521836874"/>
      <w:bookmarkStart w:id="124" w:name="_Toc521839133"/>
      <w:bookmarkStart w:id="125" w:name="_Toc521744449"/>
      <w:bookmarkStart w:id="126" w:name="_Toc521818720"/>
      <w:bookmarkStart w:id="127" w:name="_Toc521836880"/>
      <w:bookmarkStart w:id="128" w:name="_Toc521839139"/>
      <w:bookmarkStart w:id="129" w:name="_Toc521744470"/>
      <w:bookmarkStart w:id="130" w:name="_Toc521818741"/>
      <w:bookmarkStart w:id="131" w:name="_Toc521836901"/>
      <w:bookmarkStart w:id="132" w:name="_Toc521839160"/>
      <w:bookmarkStart w:id="133" w:name="_Toc521744473"/>
      <w:bookmarkStart w:id="134" w:name="_Toc521818744"/>
      <w:bookmarkStart w:id="135" w:name="_Toc521836904"/>
      <w:bookmarkStart w:id="136" w:name="_Toc521839163"/>
      <w:bookmarkStart w:id="137" w:name="_Toc521744476"/>
      <w:bookmarkStart w:id="138" w:name="_Toc521818747"/>
      <w:bookmarkStart w:id="139" w:name="_Toc521836907"/>
      <w:bookmarkStart w:id="140" w:name="_Toc521839166"/>
      <w:bookmarkStart w:id="141" w:name="_Toc521744498"/>
      <w:bookmarkStart w:id="142" w:name="_Toc521818769"/>
      <w:bookmarkStart w:id="143" w:name="_Toc521836929"/>
      <w:bookmarkStart w:id="144" w:name="_Toc521839188"/>
      <w:bookmarkStart w:id="145" w:name="_Toc521744504"/>
      <w:bookmarkStart w:id="146" w:name="_Toc521818775"/>
      <w:bookmarkStart w:id="147" w:name="_Toc521836935"/>
      <w:bookmarkStart w:id="148" w:name="_Toc521839194"/>
      <w:bookmarkStart w:id="149" w:name="_Toc521744516"/>
      <w:bookmarkStart w:id="150" w:name="_Toc521818787"/>
      <w:bookmarkStart w:id="151" w:name="_Toc521836947"/>
      <w:bookmarkStart w:id="152" w:name="_Toc521839206"/>
      <w:bookmarkStart w:id="153" w:name="_Toc521744522"/>
      <w:bookmarkStart w:id="154" w:name="_Toc521818793"/>
      <w:bookmarkStart w:id="155" w:name="_Toc521836953"/>
      <w:bookmarkStart w:id="156" w:name="_Toc521839212"/>
      <w:bookmarkStart w:id="157" w:name="_Toc521744528"/>
      <w:bookmarkStart w:id="158" w:name="_Toc521818799"/>
      <w:bookmarkStart w:id="159" w:name="_Toc521836959"/>
      <w:bookmarkStart w:id="160" w:name="_Toc521839218"/>
      <w:bookmarkStart w:id="161" w:name="_Toc521744534"/>
      <w:bookmarkStart w:id="162" w:name="_Toc521818805"/>
      <w:bookmarkStart w:id="163" w:name="_Toc521836965"/>
      <w:bookmarkStart w:id="164" w:name="_Toc521839224"/>
      <w:bookmarkStart w:id="165" w:name="_Toc521744535"/>
      <w:bookmarkStart w:id="166" w:name="_Toc521818806"/>
      <w:bookmarkStart w:id="167" w:name="_Toc521836966"/>
      <w:bookmarkStart w:id="168" w:name="_Toc521839225"/>
      <w:bookmarkStart w:id="169" w:name="_Toc521744562"/>
      <w:bookmarkStart w:id="170" w:name="_Toc521818833"/>
      <w:bookmarkStart w:id="171" w:name="_Toc521836993"/>
      <w:bookmarkStart w:id="172" w:name="_Toc521839252"/>
      <w:bookmarkStart w:id="173" w:name="_Toc521744565"/>
      <w:bookmarkStart w:id="174" w:name="_Toc521818836"/>
      <w:bookmarkStart w:id="175" w:name="_Toc521836996"/>
      <w:bookmarkStart w:id="176" w:name="_Toc521839255"/>
      <w:bookmarkStart w:id="177" w:name="_Toc521744568"/>
      <w:bookmarkStart w:id="178" w:name="_Toc521818839"/>
      <w:bookmarkStart w:id="179" w:name="_Toc521836999"/>
      <w:bookmarkStart w:id="180" w:name="_Toc521839258"/>
      <w:bookmarkStart w:id="181" w:name="_Toc521744571"/>
      <w:bookmarkStart w:id="182" w:name="_Toc521818842"/>
      <w:bookmarkStart w:id="183" w:name="_Toc521837002"/>
      <w:bookmarkStart w:id="184" w:name="_Toc521839261"/>
      <w:bookmarkStart w:id="185" w:name="_Toc521744572"/>
      <w:bookmarkStart w:id="186" w:name="_Toc521818843"/>
      <w:bookmarkStart w:id="187" w:name="_Toc521837003"/>
      <w:bookmarkStart w:id="188" w:name="_Toc521839262"/>
      <w:bookmarkStart w:id="189" w:name="_Toc530546481"/>
      <w:bookmarkStart w:id="190" w:name="_Ref50881949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rsidRPr="005F6769">
        <w:rPr>
          <w:color w:val="0099CC"/>
        </w:rPr>
        <w:lastRenderedPageBreak/>
        <w:t>Stakeholder feedback</w:t>
      </w:r>
      <w:bookmarkEnd w:id="189"/>
      <w:r w:rsidRPr="005F6769">
        <w:rPr>
          <w:color w:val="0099CC"/>
        </w:rPr>
        <w:t xml:space="preserve"> </w:t>
      </w:r>
    </w:p>
    <w:p w14:paraId="635B6E92" w14:textId="77777777" w:rsidR="005163F8" w:rsidRDefault="005163F8" w:rsidP="005163F8">
      <w:pPr>
        <w:pStyle w:val="BodyText"/>
      </w:pPr>
      <w:r w:rsidRPr="00BE4FE9">
        <w:rPr>
          <w:lang w:val="en-US" w:eastAsia="en-US"/>
        </w:rPr>
        <w:t xml:space="preserve">The </w:t>
      </w:r>
      <w:r>
        <w:rPr>
          <w:lang w:val="en-US" w:eastAsia="en-US"/>
        </w:rPr>
        <w:t>legal and regulatory framework required to give effect to the capacity trading reforms was</w:t>
      </w:r>
      <w:r w:rsidRPr="00BE4FE9">
        <w:rPr>
          <w:lang w:val="en-US" w:eastAsia="en-US"/>
        </w:rPr>
        <w:t xml:space="preserve"> relea</w:t>
      </w:r>
      <w:r>
        <w:rPr>
          <w:lang w:val="en-US" w:eastAsia="en-US"/>
        </w:rPr>
        <w:t xml:space="preserve">sed for public consultation on 19 March 2018 and stakeholders were provided six weeks to provide feedback on the framework and a number of proposed refinements to the approved design. </w:t>
      </w:r>
    </w:p>
    <w:p w14:paraId="113F080D" w14:textId="77777777" w:rsidR="00A21165" w:rsidRDefault="005163F8" w:rsidP="005163F8">
      <w:pPr>
        <w:pStyle w:val="BodyText"/>
        <w:rPr>
          <w:lang w:val="en-US" w:eastAsia="en-US"/>
        </w:rPr>
      </w:pPr>
      <w:r>
        <w:t xml:space="preserve">In </w:t>
      </w:r>
      <w:r w:rsidRPr="000B41DD">
        <w:t>total, 24 submi</w:t>
      </w:r>
      <w:r>
        <w:t>ssions were received, 18</w:t>
      </w:r>
      <w:r>
        <w:rPr>
          <w:rStyle w:val="FootnoteReference"/>
        </w:rPr>
        <w:footnoteReference w:id="408"/>
      </w:r>
      <w:r>
        <w:t xml:space="preserve"> of which were from organisations with interests across the gas supply chain, while the remainder were provided by the ECA, APGA, Chemistry Australia, EUAA, MEU and PIAC. </w:t>
      </w:r>
      <w:r>
        <w:rPr>
          <w:lang w:val="en-US" w:eastAsia="en-US"/>
        </w:rPr>
        <w:t xml:space="preserve">A summary of the feedback provided by stakeholders and the GMRG’s response to this feedback is provided below. </w:t>
      </w:r>
    </w:p>
    <w:p w14:paraId="45ADD25F" w14:textId="602511A1" w:rsidR="005163F8" w:rsidRDefault="005163F8" w:rsidP="005163F8">
      <w:pPr>
        <w:pStyle w:val="BodyText"/>
      </w:pPr>
      <w:r>
        <w:rPr>
          <w:lang w:val="en-US" w:eastAsia="en-US"/>
        </w:rPr>
        <w:t>Note that the summary is intended to provide a snapshot of stakeholder views as articulated in their submissions</w:t>
      </w:r>
      <w:r w:rsidR="00456349">
        <w:rPr>
          <w:lang w:val="en-US" w:eastAsia="en-US"/>
        </w:rPr>
        <w:t>. It</w:t>
      </w:r>
      <w:r>
        <w:rPr>
          <w:lang w:val="en-US" w:eastAsia="en-US"/>
        </w:rPr>
        <w:t xml:space="preserve"> does not </w:t>
      </w:r>
      <w:r w:rsidR="00456349">
        <w:rPr>
          <w:lang w:val="en-US" w:eastAsia="en-US"/>
        </w:rPr>
        <w:t xml:space="preserve">therefore </w:t>
      </w:r>
      <w:r>
        <w:rPr>
          <w:lang w:val="en-US" w:eastAsia="en-US"/>
        </w:rPr>
        <w:t>identify all of the issues raised, many of which related to specific drafting suggestions, which have been considered when preparing the final legal and regulato</w:t>
      </w:r>
      <w:r w:rsidRPr="00FB77AC">
        <w:rPr>
          <w:lang w:val="en-US" w:eastAsia="en-US"/>
        </w:rPr>
        <w:t>r</w:t>
      </w:r>
      <w:r w:rsidR="000B41DD" w:rsidRPr="00FB77AC">
        <w:rPr>
          <w:lang w:val="en-US" w:eastAsia="en-US"/>
        </w:rPr>
        <w:t>y</w:t>
      </w:r>
      <w:r w:rsidRPr="00FB77AC">
        <w:rPr>
          <w:lang w:val="en-US" w:eastAsia="en-US"/>
        </w:rPr>
        <w:t xml:space="preserve"> framework</w:t>
      </w:r>
      <w:r w:rsidR="00456349">
        <w:rPr>
          <w:lang w:val="en-US" w:eastAsia="en-US"/>
        </w:rPr>
        <w:t xml:space="preserve">. </w:t>
      </w:r>
      <w:r w:rsidRPr="00FB77AC">
        <w:rPr>
          <w:lang w:val="en-US" w:eastAsia="en-US"/>
        </w:rPr>
        <w:t xml:space="preserve">Copies of the </w:t>
      </w:r>
      <w:r w:rsidRPr="00FB77AC">
        <w:t xml:space="preserve">public stakeholder submissions can </w:t>
      </w:r>
      <w:r w:rsidR="00456349">
        <w:t xml:space="preserve">also </w:t>
      </w:r>
      <w:r w:rsidRPr="00FB77AC">
        <w:t xml:space="preserve">be accessed on </w:t>
      </w:r>
      <w:r w:rsidR="00456349">
        <w:t xml:space="preserve">the GMRG’s </w:t>
      </w:r>
      <w:r w:rsidRPr="00FB77AC">
        <w:t>website.</w:t>
      </w:r>
      <w:bookmarkEnd w:id="190"/>
      <w:r w:rsidR="00A21165">
        <w:t xml:space="preserve"> </w:t>
      </w:r>
    </w:p>
    <w:p w14:paraId="386C5F9A" w14:textId="77777777" w:rsidR="002B13EB" w:rsidRPr="005F6769" w:rsidRDefault="002B13EB" w:rsidP="00456349">
      <w:pPr>
        <w:pStyle w:val="AppendixHeading2"/>
        <w:spacing w:before="0"/>
        <w:rPr>
          <w:color w:val="0099CC"/>
        </w:rPr>
      </w:pPr>
      <w:bookmarkStart w:id="191" w:name="_Toc518473984"/>
      <w:r w:rsidRPr="005F6769">
        <w:rPr>
          <w:color w:val="0099CC"/>
        </w:rPr>
        <w:t>Feedback on the exemptions framework</w:t>
      </w:r>
    </w:p>
    <w:p w14:paraId="309C6FA9" w14:textId="77777777" w:rsidR="006E65D8" w:rsidRDefault="006E65D8" w:rsidP="002B13EB">
      <w:pPr>
        <w:pStyle w:val="BodyText"/>
      </w:pPr>
      <w:r>
        <w:t>T</w:t>
      </w:r>
      <w:r w:rsidR="002B13EB">
        <w:t xml:space="preserve">he </w:t>
      </w:r>
      <w:r w:rsidR="00A77CCE">
        <w:t xml:space="preserve">March 2018 </w:t>
      </w:r>
      <w:r w:rsidR="002B13EB">
        <w:t>consultation paper</w:t>
      </w:r>
      <w:r>
        <w:t xml:space="preserve"> asked stakeholders for their views on the proposed exemptions framework and, in particular:</w:t>
      </w:r>
    </w:p>
    <w:p w14:paraId="7C7482A1" w14:textId="77777777" w:rsidR="006E65D8" w:rsidRDefault="00CD29D9" w:rsidP="00CD29D9">
      <w:pPr>
        <w:pStyle w:val="ListBullet"/>
      </w:pPr>
      <w:r>
        <w:t>t</w:t>
      </w:r>
      <w:r w:rsidR="006E65D8">
        <w:t>he exemption categories;</w:t>
      </w:r>
    </w:p>
    <w:p w14:paraId="1CC44B55" w14:textId="77777777" w:rsidR="006E65D8" w:rsidRPr="00F12295" w:rsidRDefault="00CD29D9" w:rsidP="00CD29D9">
      <w:pPr>
        <w:pStyle w:val="ListBullet"/>
        <w:rPr>
          <w:rFonts w:eastAsiaTheme="majorEastAsia"/>
        </w:rPr>
      </w:pPr>
      <w:r>
        <w:t>t</w:t>
      </w:r>
      <w:r w:rsidR="006E65D8">
        <w:t xml:space="preserve">he requirement for conditionally exempt facilities to offer a standard OTSA within 60 business days of receiving a request </w:t>
      </w:r>
      <w:r>
        <w:t>from a prospective secondary shipper; and</w:t>
      </w:r>
    </w:p>
    <w:p w14:paraId="318AC4A3" w14:textId="77777777" w:rsidR="001E1A15" w:rsidRDefault="00CD29D9" w:rsidP="00CD29D9">
      <w:pPr>
        <w:pStyle w:val="ListBullet"/>
      </w:pPr>
      <w:r>
        <w:rPr>
          <w:rFonts w:eastAsiaTheme="majorEastAsia"/>
        </w:rPr>
        <w:t xml:space="preserve">the proposal that a </w:t>
      </w:r>
      <w:r w:rsidR="001E1A15" w:rsidRPr="00072E3F">
        <w:rPr>
          <w:rFonts w:eastAsiaTheme="majorEastAsia"/>
        </w:rPr>
        <w:t xml:space="preserve">single </w:t>
      </w:r>
      <w:r w:rsidR="001E1A15">
        <w:rPr>
          <w:rFonts w:eastAsiaTheme="majorEastAsia"/>
        </w:rPr>
        <w:t>user</w:t>
      </w:r>
      <w:r w:rsidR="001E1A15" w:rsidRPr="00072E3F">
        <w:rPr>
          <w:rFonts w:eastAsiaTheme="majorEastAsia"/>
        </w:rPr>
        <w:t xml:space="preserve"> exemption be revoked if </w:t>
      </w:r>
      <w:r>
        <w:rPr>
          <w:rFonts w:eastAsiaTheme="majorEastAsia"/>
        </w:rPr>
        <w:t xml:space="preserve">a prospective secondary shipper </w:t>
      </w:r>
      <w:r w:rsidR="001E1A15" w:rsidRPr="00072E3F">
        <w:rPr>
          <w:rFonts w:eastAsiaTheme="majorEastAsia"/>
        </w:rPr>
        <w:t xml:space="preserve">enters into an </w:t>
      </w:r>
      <w:r w:rsidR="001E1A15">
        <w:rPr>
          <w:rFonts w:eastAsiaTheme="majorEastAsia"/>
        </w:rPr>
        <w:t>OTSA.</w:t>
      </w:r>
    </w:p>
    <w:p w14:paraId="33A66301" w14:textId="77777777" w:rsidR="002B13EB" w:rsidRDefault="00A77CCE" w:rsidP="00456349">
      <w:pPr>
        <w:pStyle w:val="BodyText"/>
        <w:spacing w:line="252" w:lineRule="auto"/>
      </w:pPr>
      <w:r>
        <w:t>The responses stakeholders provided</w:t>
      </w:r>
      <w:r w:rsidR="00CD29D9">
        <w:t xml:space="preserve"> on these matters</w:t>
      </w:r>
      <w:r>
        <w:t xml:space="preserve"> can be summarised as follows</w:t>
      </w:r>
      <w:r w:rsidR="002B13EB">
        <w:t>:</w:t>
      </w:r>
    </w:p>
    <w:p w14:paraId="1130E346" w14:textId="77777777" w:rsidR="00223197" w:rsidRDefault="001E1A15" w:rsidP="00456349">
      <w:pPr>
        <w:pStyle w:val="ListBullet"/>
        <w:spacing w:line="252" w:lineRule="auto"/>
        <w:ind w:left="357" w:hanging="357"/>
      </w:pPr>
      <w:r w:rsidRPr="00223197">
        <w:rPr>
          <w:b/>
        </w:rPr>
        <w:t xml:space="preserve">Exemption categories: </w:t>
      </w:r>
      <w:r w:rsidRPr="002B6B24">
        <w:t>While most stakeholders supported the proposed exemption</w:t>
      </w:r>
      <w:r>
        <w:t xml:space="preserve"> categories</w:t>
      </w:r>
      <w:r w:rsidRPr="002B6B24">
        <w:t xml:space="preserve">, </w:t>
      </w:r>
      <w:r w:rsidR="00223197">
        <w:t>the following stakeholders offered an alternative view:</w:t>
      </w:r>
    </w:p>
    <w:p w14:paraId="1B8BB9F7" w14:textId="6F9821D8" w:rsidR="001E1A15" w:rsidRDefault="00223197" w:rsidP="00456349">
      <w:pPr>
        <w:pStyle w:val="ListBullet2"/>
        <w:spacing w:before="60" w:after="60" w:line="252" w:lineRule="auto"/>
        <w:ind w:left="714" w:hanging="357"/>
      </w:pPr>
      <w:r>
        <w:t xml:space="preserve">The ECA, </w:t>
      </w:r>
      <w:r w:rsidR="00D7026C">
        <w:t xml:space="preserve">PIAC, </w:t>
      </w:r>
      <w:r>
        <w:t xml:space="preserve">Chemistry Australia and the EUAA were of </w:t>
      </w:r>
      <w:r w:rsidR="001E1A15">
        <w:t xml:space="preserve">the view that </w:t>
      </w:r>
      <w:r w:rsidR="00694A5A">
        <w:t xml:space="preserve">coverage of the reforms should be maximised and that the proposal to exempt </w:t>
      </w:r>
      <w:r>
        <w:t>single user facilities</w:t>
      </w:r>
      <w:r w:rsidR="00694A5A">
        <w:t>, facilities with a nameplate rating less than 10 TJ/day</w:t>
      </w:r>
      <w:r>
        <w:t xml:space="preserve"> and </w:t>
      </w:r>
      <w:r w:rsidR="001E1A15" w:rsidRPr="002B6B24">
        <w:t>distribution pipelines</w:t>
      </w:r>
      <w:r>
        <w:t xml:space="preserve"> should </w:t>
      </w:r>
      <w:r w:rsidR="00694A5A">
        <w:t>be reconsidered</w:t>
      </w:r>
      <w:r>
        <w:t xml:space="preserve">. </w:t>
      </w:r>
      <w:r w:rsidR="001E1A15">
        <w:t xml:space="preserve">This group of stakeholders </w:t>
      </w:r>
      <w:r>
        <w:t xml:space="preserve">was </w:t>
      </w:r>
      <w:r w:rsidR="001E1A15">
        <w:t>particularly concerned about the potential for smaller transportation facilities</w:t>
      </w:r>
      <w:r w:rsidR="00CB14A3">
        <w:t xml:space="preserve">, distribution pipelines </w:t>
      </w:r>
      <w:r w:rsidR="001E1A15">
        <w:t xml:space="preserve">and retailers on single user facilities to exercise market power.  </w:t>
      </w:r>
      <w:r w:rsidR="009F46F0">
        <w:t xml:space="preserve">Elaborating further on the </w:t>
      </w:r>
      <w:r w:rsidR="00CD29D9">
        <w:t xml:space="preserve">need for the </w:t>
      </w:r>
      <w:r w:rsidR="009F46F0">
        <w:t>reforms</w:t>
      </w:r>
      <w:r w:rsidR="00CD29D9">
        <w:t xml:space="preserve"> to apply more broadly</w:t>
      </w:r>
      <w:r w:rsidR="009F46F0">
        <w:t xml:space="preserve">, the EUAA noted </w:t>
      </w:r>
      <w:r w:rsidR="00CD29D9">
        <w:t xml:space="preserve">that </w:t>
      </w:r>
      <w:r w:rsidR="009F46F0">
        <w:t xml:space="preserve">its members are seeing </w:t>
      </w:r>
      <w:r w:rsidR="00CD29D9">
        <w:t>“</w:t>
      </w:r>
      <w:r w:rsidR="009F46F0">
        <w:t>direct evidence of monopoly behaviour by pipeline operators and parties that have purchased all available pipeline capacity”</w:t>
      </w:r>
      <w:r w:rsidR="00841997">
        <w:t xml:space="preserve"> on pipelines that would be exempt from the auction</w:t>
      </w:r>
      <w:r w:rsidR="009F46F0">
        <w:t xml:space="preserve">. </w:t>
      </w:r>
    </w:p>
    <w:p w14:paraId="2FD359AE" w14:textId="00B681DF" w:rsidR="00CD29D9" w:rsidRDefault="00694A5A" w:rsidP="00983327">
      <w:pPr>
        <w:pStyle w:val="ListBullet2"/>
        <w:spacing w:before="60" w:after="60" w:line="252" w:lineRule="auto"/>
        <w:ind w:left="714" w:hanging="357"/>
      </w:pPr>
      <w:r>
        <w:t xml:space="preserve">The MEU suggested that the 10TJ/day threshold be lowered because the adoption of this threshold would </w:t>
      </w:r>
      <w:r w:rsidR="00D7026C">
        <w:t>“</w:t>
      </w:r>
      <w:r>
        <w:t>exclude a significant number of consumers from the benefit of capacity trading</w:t>
      </w:r>
      <w:r w:rsidR="00D7026C">
        <w:t>”</w:t>
      </w:r>
      <w:r>
        <w:t xml:space="preserve">. The MEU also suggested that a mechanism be </w:t>
      </w:r>
      <w:r w:rsidR="00D7026C">
        <w:t>included</w:t>
      </w:r>
      <w:r>
        <w:t xml:space="preserve"> </w:t>
      </w:r>
      <w:r w:rsidR="00D7026C">
        <w:t xml:space="preserve">in the legal and regulatory framework </w:t>
      </w:r>
      <w:r w:rsidR="00CD29D9">
        <w:t xml:space="preserve">that would </w:t>
      </w:r>
      <w:r>
        <w:t xml:space="preserve">allow </w:t>
      </w:r>
      <w:r w:rsidR="00D7026C">
        <w:t xml:space="preserve">users </w:t>
      </w:r>
      <w:r>
        <w:t xml:space="preserve">to apply for the reforms </w:t>
      </w:r>
      <w:r w:rsidR="00D7026C">
        <w:t xml:space="preserve">to be applied to a particular facility </w:t>
      </w:r>
      <w:r>
        <w:t xml:space="preserve">even if its capacity </w:t>
      </w:r>
      <w:r w:rsidR="00D7026C">
        <w:t xml:space="preserve">falls below the size threshold. The MEU noted that this would “provide an incentive for pipelines to </w:t>
      </w:r>
      <w:r w:rsidR="00D7026C">
        <w:lastRenderedPageBreak/>
        <w:t xml:space="preserve">cooperate with shippers and/or consumers”. </w:t>
      </w:r>
      <w:r w:rsidR="00CD29D9">
        <w:t>AGL, AGIG, Gas Pipelines Victoria, and APGA</w:t>
      </w:r>
      <w:r w:rsidR="00841997">
        <w:t>, on the other hand,</w:t>
      </w:r>
      <w:r w:rsidR="00CD29D9">
        <w:t xml:space="preserve"> that the </w:t>
      </w:r>
      <w:r w:rsidR="00CD29D9" w:rsidRPr="008D1CE2">
        <w:t>10</w:t>
      </w:r>
      <w:r w:rsidR="00CD29D9">
        <w:t> </w:t>
      </w:r>
      <w:r w:rsidR="00CD29D9" w:rsidRPr="008D1CE2">
        <w:t>TJ/day threshold was too low</w:t>
      </w:r>
      <w:r w:rsidR="00CD29D9">
        <w:t xml:space="preserve"> given the costs associated with implementing the reforms.</w:t>
      </w:r>
    </w:p>
    <w:p w14:paraId="5A2443FF" w14:textId="77777777" w:rsidR="00D7026C" w:rsidRDefault="00223197" w:rsidP="00456349">
      <w:pPr>
        <w:pStyle w:val="ListBullet2"/>
        <w:spacing w:before="60" w:after="60" w:line="252" w:lineRule="auto"/>
        <w:ind w:left="714" w:hanging="357"/>
      </w:pPr>
      <w:r>
        <w:t>Engie was of the view that DTS interconnection points should initially be exempt from the reforms.</w:t>
      </w:r>
      <w:r w:rsidR="00D7026C">
        <w:t xml:space="preserve"> The MEU, on the other hand, was of the view that compression service facilities used in the transportation of gas from the DTS to other pipelines should be subject to the reforms.</w:t>
      </w:r>
    </w:p>
    <w:p w14:paraId="1FECEDDA" w14:textId="00CBC63A" w:rsidR="004316A4" w:rsidRDefault="004316A4" w:rsidP="004316A4">
      <w:pPr>
        <w:pStyle w:val="ListBullet2"/>
        <w:spacing w:before="60" w:after="60" w:line="252" w:lineRule="auto"/>
        <w:ind w:left="714" w:hanging="357"/>
      </w:pPr>
      <w:r>
        <w:t>APA, AGL and GLNG thought the proposed definition of compression services may not capture all the facilities it is intended to and suggested an alternative approach be adopted to ensure these facilities are captured.</w:t>
      </w:r>
    </w:p>
    <w:p w14:paraId="1CE9C33E" w14:textId="6A02957F" w:rsidR="00D7026C" w:rsidRDefault="00D7026C" w:rsidP="00456349">
      <w:pPr>
        <w:pStyle w:val="ListBullet2"/>
        <w:spacing w:before="60" w:after="60" w:line="252" w:lineRule="auto"/>
        <w:ind w:left="714" w:hanging="357"/>
      </w:pPr>
      <w:r>
        <w:t xml:space="preserve">Palisade </w:t>
      </w:r>
      <w:r w:rsidR="00CD29D9">
        <w:t xml:space="preserve">believed </w:t>
      </w:r>
      <w:r>
        <w:t>that exemptions should be available to facilities that are less than 70% contracted and where there is no reasonable prospect of recovering the costs associated with the reforms</w:t>
      </w:r>
      <w:r w:rsidR="00CD29D9">
        <w:t>.</w:t>
      </w:r>
    </w:p>
    <w:p w14:paraId="002E136D" w14:textId="01AABB26" w:rsidR="004316A4" w:rsidRDefault="004316A4" w:rsidP="00983327">
      <w:pPr>
        <w:pStyle w:val="ListBullet2"/>
        <w:spacing w:before="60" w:after="60" w:line="252" w:lineRule="auto"/>
        <w:ind w:left="714" w:hanging="357"/>
      </w:pPr>
      <w:r>
        <w:t xml:space="preserve">Jemena thought the reforms should only apply to facilities and key routes that are fully contracted. Jemena also suggested that exemptions be available to facilities if there are no trades on the capacity trading platform or the auction within a 12-month period. </w:t>
      </w:r>
    </w:p>
    <w:p w14:paraId="7AF755E7" w14:textId="65D2D405" w:rsidR="00885B89" w:rsidRDefault="00CB14A3" w:rsidP="00456349">
      <w:pPr>
        <w:pStyle w:val="ListBullet"/>
        <w:spacing w:line="252" w:lineRule="auto"/>
        <w:ind w:left="357" w:hanging="357"/>
      </w:pPr>
      <w:r>
        <w:rPr>
          <w:b/>
        </w:rPr>
        <w:t xml:space="preserve">Conditionally exempt </w:t>
      </w:r>
      <w:r w:rsidR="009F46F0">
        <w:rPr>
          <w:b/>
        </w:rPr>
        <w:t>facilities</w:t>
      </w:r>
      <w:r>
        <w:rPr>
          <w:b/>
        </w:rPr>
        <w:t xml:space="preserve"> obligation to offer a standard OTSA:</w:t>
      </w:r>
      <w:r w:rsidR="009F46F0">
        <w:rPr>
          <w:b/>
        </w:rPr>
        <w:t xml:space="preserve"> </w:t>
      </w:r>
      <w:r w:rsidR="009F46F0" w:rsidRPr="009F46F0">
        <w:t>While m</w:t>
      </w:r>
      <w:r w:rsidR="009F46F0">
        <w:t xml:space="preserve">ost stakeholders </w:t>
      </w:r>
      <w:r w:rsidR="00885B89">
        <w:t xml:space="preserve">thought the requirement for conditionally exempt facilities to offer a standard OTSA within </w:t>
      </w:r>
      <w:r w:rsidR="009F46F0">
        <w:t>60 business day</w:t>
      </w:r>
      <w:r w:rsidR="00885B89">
        <w:t xml:space="preserve">s was reasonable, </w:t>
      </w:r>
      <w:r w:rsidR="009F46F0">
        <w:t>Alinta</w:t>
      </w:r>
      <w:r w:rsidR="00885B89">
        <w:t>, Palisade</w:t>
      </w:r>
      <w:r w:rsidR="009F46F0">
        <w:t xml:space="preserve"> </w:t>
      </w:r>
      <w:r w:rsidR="00885B89">
        <w:t>and APGA were of the view that the time period should be extended. Alinta suggested the period be extended to six months, while Palisade suggested it be extended to 120 days. APGA, on the other hand, suggested that if a service provider receives a request it should be required to submit an implementation schedule to the regulator</w:t>
      </w:r>
      <w:r w:rsidR="004316A4">
        <w:t xml:space="preserve"> and specifying the time through that process</w:t>
      </w:r>
      <w:r w:rsidR="00885B89">
        <w:t xml:space="preserve">. </w:t>
      </w:r>
    </w:p>
    <w:p w14:paraId="7DA7729B" w14:textId="77777777" w:rsidR="00CB14A3" w:rsidRPr="00CB14A3" w:rsidRDefault="009F46F0" w:rsidP="00456349">
      <w:pPr>
        <w:pStyle w:val="ListBullet"/>
        <w:numPr>
          <w:ilvl w:val="0"/>
          <w:numId w:val="0"/>
        </w:numPr>
        <w:spacing w:line="252" w:lineRule="auto"/>
        <w:ind w:left="357"/>
      </w:pPr>
      <w:r>
        <w:t>AGL</w:t>
      </w:r>
      <w:r w:rsidR="00885B89">
        <w:t>,</w:t>
      </w:r>
      <w:r>
        <w:t xml:space="preserve"> GLNG</w:t>
      </w:r>
      <w:r w:rsidR="00885B89">
        <w:t>,</w:t>
      </w:r>
      <w:r>
        <w:t xml:space="preserve"> </w:t>
      </w:r>
      <w:r w:rsidR="00885B89">
        <w:t xml:space="preserve">APGA and Alinta also </w:t>
      </w:r>
      <w:r w:rsidR="00491530">
        <w:t xml:space="preserve">raised concerns about the </w:t>
      </w:r>
      <w:r w:rsidR="00885B89">
        <w:t xml:space="preserve">potential for the obligation to offer a standard OTSA to be </w:t>
      </w:r>
      <w:r w:rsidR="000056D2">
        <w:t xml:space="preserve">used </w:t>
      </w:r>
      <w:r w:rsidR="00885B89">
        <w:t xml:space="preserve">for </w:t>
      </w:r>
      <w:r w:rsidR="000056D2">
        <w:t>“</w:t>
      </w:r>
      <w:r w:rsidR="00885B89">
        <w:t>vexatious</w:t>
      </w:r>
      <w:r w:rsidR="000056D2">
        <w:t>”</w:t>
      </w:r>
      <w:r w:rsidR="00885B89">
        <w:t xml:space="preserve"> purposes </w:t>
      </w:r>
      <w:r w:rsidR="000056D2">
        <w:t xml:space="preserve">by shippers </w:t>
      </w:r>
      <w:r w:rsidR="00885B89">
        <w:t xml:space="preserve">and suggested that </w:t>
      </w:r>
      <w:r w:rsidR="00491530">
        <w:t xml:space="preserve">safeguards be put in place to ensure </w:t>
      </w:r>
      <w:r w:rsidR="000056D2">
        <w:t xml:space="preserve">that transportation service providers only have to respond to genuine </w:t>
      </w:r>
      <w:r w:rsidR="00491530">
        <w:t xml:space="preserve">requests </w:t>
      </w:r>
      <w:r w:rsidR="000056D2">
        <w:t xml:space="preserve">that are </w:t>
      </w:r>
      <w:r>
        <w:t>made in good faith.</w:t>
      </w:r>
      <w:r w:rsidR="00885B89">
        <w:t xml:space="preserve"> </w:t>
      </w:r>
    </w:p>
    <w:p w14:paraId="1BE48F89" w14:textId="77777777" w:rsidR="00491530" w:rsidRDefault="00CB14A3" w:rsidP="00456349">
      <w:pPr>
        <w:pStyle w:val="ListBullet"/>
        <w:spacing w:line="252" w:lineRule="auto"/>
        <w:ind w:left="357" w:hanging="357"/>
      </w:pPr>
      <w:r>
        <w:rPr>
          <w:b/>
        </w:rPr>
        <w:t>Revocation of single user exemptions</w:t>
      </w:r>
      <w:r w:rsidRPr="00223197">
        <w:rPr>
          <w:b/>
        </w:rPr>
        <w:t xml:space="preserve">: </w:t>
      </w:r>
      <w:r w:rsidR="000056D2" w:rsidRPr="000056D2">
        <w:t>Palisade and APGA expressed some c</w:t>
      </w:r>
      <w:r w:rsidR="00491530" w:rsidRPr="000056D2">
        <w:t>oncerns about the trigger for the revocati</w:t>
      </w:r>
      <w:r w:rsidR="00491530">
        <w:t>on of a single user exemption being the entry into a standard OTSA</w:t>
      </w:r>
      <w:r w:rsidR="000056D2">
        <w:t xml:space="preserve"> and noted </w:t>
      </w:r>
      <w:r w:rsidR="00491530">
        <w:t xml:space="preserve">that </w:t>
      </w:r>
      <w:r w:rsidR="00917399">
        <w:t xml:space="preserve">if there was no real prospect of additional shippers using the capacity, </w:t>
      </w:r>
      <w:r w:rsidR="000056D2">
        <w:t xml:space="preserve">the revocation </w:t>
      </w:r>
      <w:r w:rsidR="00491530">
        <w:t xml:space="preserve">would create a significant administrative burden for </w:t>
      </w:r>
      <w:r w:rsidR="00917399">
        <w:t>no benefit</w:t>
      </w:r>
      <w:r w:rsidR="00491530">
        <w:t xml:space="preserve">. </w:t>
      </w:r>
      <w:r w:rsidR="00917399">
        <w:t xml:space="preserve">Palisade and APGA therefore recommended that this type of revocation be considered on a case-by-case basis. </w:t>
      </w:r>
    </w:p>
    <w:p w14:paraId="2A632B8D" w14:textId="4D894A3A" w:rsidR="002B13EB" w:rsidRDefault="00C850E5" w:rsidP="00456349">
      <w:pPr>
        <w:pStyle w:val="ListBullet"/>
        <w:spacing w:line="252" w:lineRule="auto"/>
        <w:rPr>
          <w:rFonts w:asciiTheme="majorHAnsi" w:hAnsiTheme="majorHAnsi" w:cstheme="majorHAnsi"/>
          <w:szCs w:val="18"/>
        </w:rPr>
      </w:pPr>
      <w:r>
        <w:rPr>
          <w:b/>
        </w:rPr>
        <w:t>Fast-track exemptions for</w:t>
      </w:r>
      <w:r w:rsidR="00CB14A3" w:rsidRPr="00CB14A3">
        <w:rPr>
          <w:b/>
        </w:rPr>
        <w:t xml:space="preserve"> </w:t>
      </w:r>
      <w:r>
        <w:rPr>
          <w:b/>
        </w:rPr>
        <w:t xml:space="preserve">facilities that already have a </w:t>
      </w:r>
      <w:r w:rsidR="00CB14A3" w:rsidRPr="00CB14A3">
        <w:rPr>
          <w:b/>
        </w:rPr>
        <w:t>Part 23 exemption:</w:t>
      </w:r>
      <w:r w:rsidR="00CB14A3">
        <w:t xml:space="preserve"> Alinta</w:t>
      </w:r>
      <w:r w:rsidR="009F46F0">
        <w:t>,</w:t>
      </w:r>
      <w:r w:rsidR="00CB14A3">
        <w:t xml:space="preserve"> APLNG </w:t>
      </w:r>
      <w:r w:rsidR="009F46F0">
        <w:t xml:space="preserve">and GLNG </w:t>
      </w:r>
      <w:r w:rsidR="00CB14A3">
        <w:t xml:space="preserve">suggested that exemptions be made available to pipelines that have </w:t>
      </w:r>
      <w:r w:rsidR="00CB14A3">
        <w:rPr>
          <w:rFonts w:asciiTheme="majorHAnsi" w:hAnsiTheme="majorHAnsi" w:cstheme="majorHAnsi"/>
          <w:szCs w:val="18"/>
        </w:rPr>
        <w:t>obtained</w:t>
      </w:r>
      <w:r w:rsidR="002B13EB" w:rsidRPr="00B56D38">
        <w:rPr>
          <w:rFonts w:asciiTheme="majorHAnsi" w:hAnsiTheme="majorHAnsi" w:cstheme="majorHAnsi"/>
          <w:szCs w:val="18"/>
        </w:rPr>
        <w:t xml:space="preserve"> </w:t>
      </w:r>
      <w:r w:rsidR="000056D2">
        <w:rPr>
          <w:rFonts w:asciiTheme="majorHAnsi" w:hAnsiTheme="majorHAnsi" w:cstheme="majorHAnsi"/>
          <w:szCs w:val="18"/>
        </w:rPr>
        <w:t xml:space="preserve">equivalent exemptions </w:t>
      </w:r>
      <w:r w:rsidR="00CB14A3">
        <w:rPr>
          <w:rFonts w:asciiTheme="majorHAnsi" w:hAnsiTheme="majorHAnsi" w:cstheme="majorHAnsi"/>
          <w:szCs w:val="18"/>
        </w:rPr>
        <w:t xml:space="preserve">under </w:t>
      </w:r>
      <w:r w:rsidR="002B13EB" w:rsidRPr="00B56D38">
        <w:rPr>
          <w:rFonts w:asciiTheme="majorHAnsi" w:hAnsiTheme="majorHAnsi" w:cstheme="majorHAnsi"/>
          <w:szCs w:val="18"/>
        </w:rPr>
        <w:t>Part 23</w:t>
      </w:r>
      <w:r w:rsidR="000056D2">
        <w:rPr>
          <w:rFonts w:asciiTheme="majorHAnsi" w:hAnsiTheme="majorHAnsi" w:cstheme="majorHAnsi"/>
          <w:szCs w:val="18"/>
        </w:rPr>
        <w:t xml:space="preserve"> of the NGR automatically or on a fast-track basis</w:t>
      </w:r>
      <w:r w:rsidR="00CB14A3">
        <w:rPr>
          <w:rFonts w:asciiTheme="majorHAnsi" w:hAnsiTheme="majorHAnsi" w:cstheme="majorHAnsi"/>
          <w:szCs w:val="18"/>
        </w:rPr>
        <w:t>.</w:t>
      </w:r>
      <w:r w:rsidR="002B13EB" w:rsidRPr="00B56D38">
        <w:rPr>
          <w:rFonts w:asciiTheme="majorHAnsi" w:hAnsiTheme="majorHAnsi" w:cstheme="majorHAnsi"/>
          <w:szCs w:val="18"/>
        </w:rPr>
        <w:t xml:space="preserve"> </w:t>
      </w:r>
    </w:p>
    <w:p w14:paraId="398A7D37" w14:textId="77777777" w:rsidR="009F46F0" w:rsidRPr="00B56D38" w:rsidRDefault="009F46F0" w:rsidP="00456349">
      <w:pPr>
        <w:pStyle w:val="ListBullet"/>
        <w:spacing w:line="252" w:lineRule="auto"/>
        <w:rPr>
          <w:rFonts w:asciiTheme="majorHAnsi" w:hAnsiTheme="majorHAnsi" w:cstheme="majorHAnsi"/>
          <w:szCs w:val="18"/>
        </w:rPr>
      </w:pPr>
      <w:r>
        <w:rPr>
          <w:b/>
        </w:rPr>
        <w:t xml:space="preserve">Exemptions from other elements of the reform package: </w:t>
      </w:r>
      <w:r w:rsidRPr="009F46F0">
        <w:t xml:space="preserve">GLNG noted that the exemption framework does not currently apply to all elements of the reform package and suggested a number of refinements to the </w:t>
      </w:r>
      <w:r w:rsidR="000056D2">
        <w:t>NGL and NGR to extend the application of the exemptions to other obligations</w:t>
      </w:r>
      <w:r w:rsidRPr="009F46F0">
        <w:t xml:space="preserve">. </w:t>
      </w:r>
    </w:p>
    <w:p w14:paraId="60EA3D9C" w14:textId="41794356" w:rsidR="00456349" w:rsidRDefault="002B13EB" w:rsidP="00456349">
      <w:pPr>
        <w:pStyle w:val="BodyText"/>
        <w:spacing w:line="252" w:lineRule="auto"/>
      </w:pPr>
      <w:r>
        <w:t>The GMRG’s responses to the</w:t>
      </w:r>
      <w:r w:rsidR="00456349">
        <w:t>se</w:t>
      </w:r>
      <w:r>
        <w:t xml:space="preserve"> issues are set out in the table below.</w:t>
      </w:r>
      <w:r w:rsidR="00456349">
        <w:t xml:space="preserve"> </w:t>
      </w:r>
    </w:p>
    <w:p w14:paraId="1963DE7E" w14:textId="77777777" w:rsidR="00456349" w:rsidRDefault="00456349" w:rsidP="002B13EB">
      <w:pPr>
        <w:pStyle w:val="BodyText"/>
        <w:sectPr w:rsidR="00456349" w:rsidSect="005F6769">
          <w:pgSz w:w="11907" w:h="16839" w:code="9"/>
          <w:pgMar w:top="1701" w:right="1418" w:bottom="993" w:left="1701" w:header="425" w:footer="397" w:gutter="0"/>
          <w:cols w:space="708"/>
          <w:docGrid w:linePitch="360"/>
        </w:sectPr>
      </w:pPr>
    </w:p>
    <w:p w14:paraId="776D6336" w14:textId="77777777" w:rsidR="00456349" w:rsidRDefault="00456349" w:rsidP="00456349">
      <w:pPr>
        <w:pStyle w:val="Caption"/>
        <w:keepNext w:val="0"/>
        <w:spacing w:before="0" w:after="0"/>
      </w:pPr>
      <w:r>
        <w:lastRenderedPageBreak/>
        <w:t xml:space="preserve">Table A.1: Response to issues raised on the exemption framework </w:t>
      </w:r>
    </w:p>
    <w:tbl>
      <w:tblPr>
        <w:tblStyle w:val="TableGrid"/>
        <w:tblW w:w="13750" w:type="dxa"/>
        <w:tblLook w:val="04A0" w:firstRow="1" w:lastRow="0" w:firstColumn="1" w:lastColumn="0" w:noHBand="0" w:noVBand="1"/>
        <w:tblCaption w:val="Response to issues raised about arbitration"/>
        <w:tblDescription w:val="Table of stakeholder concerns and GMRG response"/>
      </w:tblPr>
      <w:tblGrid>
        <w:gridCol w:w="1985"/>
        <w:gridCol w:w="11765"/>
      </w:tblGrid>
      <w:tr w:rsidR="00456349" w:rsidRPr="00992062" w14:paraId="283FC131" w14:textId="77777777" w:rsidTr="00456349">
        <w:trPr>
          <w:cnfStyle w:val="100000000000" w:firstRow="1" w:lastRow="0" w:firstColumn="0" w:lastColumn="0" w:oddVBand="0" w:evenVBand="0" w:oddHBand="0" w:evenHBand="0" w:firstRowFirstColumn="0" w:firstRowLastColumn="0" w:lastRowFirstColumn="0" w:lastRowLastColumn="0"/>
          <w:trHeight w:val="153"/>
          <w:tblHeader/>
        </w:trPr>
        <w:tc>
          <w:tcPr>
            <w:tcW w:w="1985" w:type="dxa"/>
            <w:shd w:val="clear" w:color="auto" w:fill="0099CC"/>
          </w:tcPr>
          <w:p w14:paraId="3A840F1F" w14:textId="77777777" w:rsidR="00456349" w:rsidRPr="00992062" w:rsidRDefault="00456349" w:rsidP="00C855EC">
            <w:pPr>
              <w:pStyle w:val="BodyText"/>
              <w:keepNext/>
              <w:spacing w:before="60" w:after="60"/>
              <w:rPr>
                <w:rFonts w:cs="Arial"/>
                <w:szCs w:val="18"/>
              </w:rPr>
            </w:pPr>
            <w:r w:rsidRPr="00992062">
              <w:rPr>
                <w:rFonts w:cs="Arial"/>
                <w:szCs w:val="18"/>
              </w:rPr>
              <w:t>Stakeholder concern</w:t>
            </w:r>
          </w:p>
        </w:tc>
        <w:tc>
          <w:tcPr>
            <w:tcW w:w="11765" w:type="dxa"/>
            <w:shd w:val="clear" w:color="auto" w:fill="0099CC"/>
          </w:tcPr>
          <w:p w14:paraId="7744DF84" w14:textId="77777777" w:rsidR="00456349" w:rsidRPr="00992062" w:rsidRDefault="00456349" w:rsidP="00C855EC">
            <w:pPr>
              <w:pStyle w:val="BodyText"/>
              <w:keepNext/>
              <w:spacing w:before="60" w:after="60"/>
              <w:rPr>
                <w:rFonts w:cs="Arial"/>
                <w:szCs w:val="18"/>
              </w:rPr>
            </w:pPr>
            <w:r w:rsidRPr="00992062">
              <w:rPr>
                <w:rFonts w:cs="Arial"/>
                <w:szCs w:val="18"/>
              </w:rPr>
              <w:t>GMRG response</w:t>
            </w:r>
          </w:p>
        </w:tc>
      </w:tr>
      <w:tr w:rsidR="00456349" w:rsidRPr="00992062" w14:paraId="4976E784" w14:textId="77777777" w:rsidTr="00456349">
        <w:tc>
          <w:tcPr>
            <w:tcW w:w="1985" w:type="dxa"/>
            <w:vAlign w:val="center"/>
          </w:tcPr>
          <w:p w14:paraId="30E3408E" w14:textId="77777777" w:rsidR="00456349" w:rsidRPr="00992062" w:rsidRDefault="00456349" w:rsidP="00C855EC">
            <w:pPr>
              <w:pStyle w:val="BodyText"/>
              <w:spacing w:before="60" w:after="60"/>
              <w:rPr>
                <w:rFonts w:cs="Arial"/>
              </w:rPr>
            </w:pPr>
            <w:r>
              <w:rPr>
                <w:rFonts w:cs="Arial"/>
              </w:rPr>
              <w:t>Exemption categories</w:t>
            </w:r>
          </w:p>
        </w:tc>
        <w:tc>
          <w:tcPr>
            <w:tcW w:w="11765" w:type="dxa"/>
            <w:vAlign w:val="center"/>
          </w:tcPr>
          <w:p w14:paraId="19305391" w14:textId="77777777" w:rsidR="00456349" w:rsidRDefault="00456349" w:rsidP="00C855EC">
            <w:pPr>
              <w:pStyle w:val="BodyText"/>
              <w:spacing w:before="60" w:after="60"/>
              <w:rPr>
                <w:rFonts w:cs="Arial"/>
              </w:rPr>
            </w:pPr>
            <w:r>
              <w:rPr>
                <w:rFonts w:cs="Arial"/>
              </w:rPr>
              <w:t>The GMRG has considered the sometimes conflicting views expressed by stakeholders about the exemption categories and notes the following in response to those views:</w:t>
            </w:r>
          </w:p>
          <w:p w14:paraId="6E029C31" w14:textId="20078468" w:rsidR="00456349" w:rsidRDefault="00456349" w:rsidP="00C855EC">
            <w:pPr>
              <w:pStyle w:val="TableBullet1"/>
            </w:pPr>
            <w:r w:rsidRPr="005865F6">
              <w:rPr>
                <w:b/>
              </w:rPr>
              <w:t>Distribution pipelines</w:t>
            </w:r>
            <w:r>
              <w:t xml:space="preserve">: While the GMRG understands the desire of some stakeholders for the reforms to extend to distribution pipelines, it is difficult to do so at this stage because their inclusion was never contemplated by the AEMC when it recommended the adoption of the reforms or the Energy Council when it endorsed the AEMC’s recommendations. As a consequence, no consideration was given to the feasibility of extending the reforms to distribution pipelines when the GMRG was developing the design of the capacity trading platform and auction. Rather than delaying the implementation of the reforms to consider this issue, the GMRG is of the view that the extension of the reforms to distribution pipelines should be separately considered </w:t>
            </w:r>
            <w:r w:rsidR="004316A4">
              <w:t xml:space="preserve">through the </w:t>
            </w:r>
            <w:r>
              <w:t xml:space="preserve">post-implementation review </w:t>
            </w:r>
            <w:r w:rsidR="004316A4">
              <w:t xml:space="preserve">that is expected to occur </w:t>
            </w:r>
            <w:r>
              <w:t xml:space="preserve">in 2021. </w:t>
            </w:r>
          </w:p>
          <w:p w14:paraId="752EFEAE" w14:textId="20CBCD53" w:rsidR="00456349" w:rsidRDefault="00456349" w:rsidP="00C855EC">
            <w:pPr>
              <w:pStyle w:val="TableBullet1"/>
            </w:pPr>
            <w:r w:rsidRPr="005865F6">
              <w:rPr>
                <w:b/>
              </w:rPr>
              <w:t>Size threshold</w:t>
            </w:r>
            <w:r>
              <w:t xml:space="preserve">: The GMRG has considered the alternative views expressed by stakeholders about the 10 TJ/day nameplate rating threshold used in the exemptions framework. While the GMRG understands the concerns raised by consumer and user representatives, in its view the 10 TJ/day threshold strikes an appropriate balance between </w:t>
            </w:r>
            <w:r w:rsidRPr="0082325C">
              <w:rPr>
                <w:szCs w:val="18"/>
              </w:rPr>
              <w:t>the costs and the benefits that are likely to be experienced</w:t>
            </w:r>
            <w:r>
              <w:rPr>
                <w:szCs w:val="18"/>
              </w:rPr>
              <w:t xml:space="preserve">, particularly in the early </w:t>
            </w:r>
            <w:r w:rsidRPr="0082325C">
              <w:rPr>
                <w:szCs w:val="18"/>
              </w:rPr>
              <w:t xml:space="preserve">stages of the market’s development. </w:t>
            </w:r>
            <w:r>
              <w:rPr>
                <w:szCs w:val="18"/>
              </w:rPr>
              <w:t xml:space="preserve">The GMRG notes though that </w:t>
            </w:r>
            <w:r w:rsidRPr="0082325C">
              <w:rPr>
                <w:szCs w:val="18"/>
              </w:rPr>
              <w:t xml:space="preserve">there would be value in </w:t>
            </w:r>
            <w:r w:rsidR="004316A4">
              <w:rPr>
                <w:szCs w:val="18"/>
              </w:rPr>
              <w:t xml:space="preserve">further consideration being given to </w:t>
            </w:r>
            <w:r w:rsidRPr="0082325C">
              <w:rPr>
                <w:szCs w:val="18"/>
              </w:rPr>
              <w:t>extend</w:t>
            </w:r>
            <w:r>
              <w:rPr>
                <w:szCs w:val="18"/>
              </w:rPr>
              <w:t>ing</w:t>
            </w:r>
            <w:r w:rsidRPr="0082325C">
              <w:rPr>
                <w:szCs w:val="18"/>
              </w:rPr>
              <w:t xml:space="preserve"> the coverage of the reforms to facilities with a nameplate rating less than 10 TJ/day</w:t>
            </w:r>
            <w:r w:rsidR="004316A4">
              <w:rPr>
                <w:szCs w:val="18"/>
              </w:rPr>
              <w:t xml:space="preserve"> through the post-implementation review that is expected to occur in 2021</w:t>
            </w:r>
            <w:r w:rsidRPr="0082325C">
              <w:rPr>
                <w:szCs w:val="18"/>
              </w:rPr>
              <w:t>.</w:t>
            </w:r>
          </w:p>
          <w:p w14:paraId="26ED5538" w14:textId="4590BC53" w:rsidR="00456349" w:rsidRDefault="00456349" w:rsidP="00C855EC">
            <w:pPr>
              <w:pStyle w:val="TableBullet1"/>
            </w:pPr>
            <w:r w:rsidRPr="005865F6">
              <w:rPr>
                <w:b/>
              </w:rPr>
              <w:t>Compression facilities:</w:t>
            </w:r>
            <w:r>
              <w:t xml:space="preserve"> The GMRG agrees that the original draft rules may not have captured the compression facilities that were intended to be captured. To overcome this issue, the compression facilities that are intended to be captured from market start have been designated in the Regulations.</w:t>
            </w:r>
            <w:r w:rsidR="004316A4">
              <w:rPr>
                <w:rStyle w:val="FootnoteReference"/>
              </w:rPr>
              <w:footnoteReference w:id="409"/>
            </w:r>
            <w:r>
              <w:t xml:space="preserve"> Other stand-alone compressors (i.e. compressors that are or may be used to facilitate the flow of gas between transmission pipelines) that are not designated in the Regulations may apply for an exemption if they meet the relevant exemption criteria. If they do not meet these criteria they will also be subject to the reforms.</w:t>
            </w:r>
          </w:p>
          <w:p w14:paraId="79EB107E" w14:textId="3181885D" w:rsidR="00456349" w:rsidRDefault="00456349" w:rsidP="00C855EC">
            <w:pPr>
              <w:pStyle w:val="TableBullet1"/>
            </w:pPr>
            <w:r w:rsidRPr="005865F6">
              <w:rPr>
                <w:b/>
              </w:rPr>
              <w:t>DTS</w:t>
            </w:r>
            <w:r>
              <w:t xml:space="preserve">: The DTS will be exempt from the obligations set out in Parts 24 and 25 of the NGR because it operates under the market carriage model. While Engie has suggested that all DTS interconnection points </w:t>
            </w:r>
            <w:r w:rsidR="000266BB">
              <w:t xml:space="preserve">should </w:t>
            </w:r>
            <w:r>
              <w:t xml:space="preserve">be exempt from the reforms in the initial stages, the GMRG does not consider this necessary and notes that limiting the application of the reforms in this way would result in some key receipt and delivery points being excluded from the reforms (e.g. Culcairn, VicHub, Iona). </w:t>
            </w:r>
          </w:p>
          <w:p w14:paraId="49E4B918" w14:textId="68521CC7" w:rsidR="00456349" w:rsidRDefault="00456349" w:rsidP="00C855EC">
            <w:pPr>
              <w:pStyle w:val="TableBullet1"/>
            </w:pPr>
            <w:r>
              <w:t>C</w:t>
            </w:r>
            <w:r w:rsidRPr="005865F6">
              <w:rPr>
                <w:b/>
              </w:rPr>
              <w:t>ontractual congestion:</w:t>
            </w:r>
            <w:r>
              <w:t xml:space="preserve"> The issue of whether the capacity trading reforms should only apply to contractually congested facilities was considered at length in 2017 and was the subject of independent advice provided by NERA Economic Consulting. As noted in the GMRG’s Final Recommendations on the day-ahead auction, NERA found that there are no efficiency related reasons to limit the reforms to contractually congested facilities and wider coverage can be expected to generate greater efficiency benefits.</w:t>
            </w:r>
            <w:r>
              <w:rPr>
                <w:rStyle w:val="FootnoteReference"/>
              </w:rPr>
              <w:footnoteReference w:id="410"/>
            </w:r>
            <w:r>
              <w:t xml:space="preserve"> The GMRG therefore recommended broader coverage of the reforms, which was endorsed by the Energy Council. The matters that Palisade and Jemena have subsequently raised in response to the March 2018 consultation paper have not altered the GMRG’s view on this issue. The GMRG remains therefore of the view that the inclusion or exclusion from the reforms should not be based on the level of contractual congestion. </w:t>
            </w:r>
            <w:r w:rsidR="000266BB">
              <w:br/>
            </w:r>
            <w:r w:rsidR="000266BB">
              <w:lastRenderedPageBreak/>
              <w:br/>
              <w:t xml:space="preserve">As to Jemena’s suggestion that exemptions should be available if no trade occurs within a 12-month period, the GMRG is of the view that this would be difficult to implement in practice because a separate trigger would also need to be included to enable these facilities to become subject to the reforms again. This is, nevertheless, a refinement that could be considered as part of the post-implementation review. </w:t>
            </w:r>
          </w:p>
          <w:p w14:paraId="669DA95B" w14:textId="77777777" w:rsidR="00456349" w:rsidRPr="00992062" w:rsidRDefault="00456349" w:rsidP="00C855EC">
            <w:pPr>
              <w:pStyle w:val="BodyText"/>
              <w:spacing w:before="60" w:after="60"/>
              <w:rPr>
                <w:rFonts w:cs="Arial"/>
              </w:rPr>
            </w:pPr>
            <w:r>
              <w:rPr>
                <w:rFonts w:cs="Arial"/>
                <w:szCs w:val="18"/>
              </w:rPr>
              <w:t>The exemptions framework in Part 24 of the NGR reflects the GMRG’s views on each of these matters.</w:t>
            </w:r>
          </w:p>
        </w:tc>
      </w:tr>
      <w:tr w:rsidR="00456349" w:rsidRPr="00992062" w14:paraId="7C1219A2" w14:textId="77777777" w:rsidTr="00456349">
        <w:trPr>
          <w:cnfStyle w:val="000000010000" w:firstRow="0" w:lastRow="0" w:firstColumn="0" w:lastColumn="0" w:oddVBand="0" w:evenVBand="0" w:oddHBand="0" w:evenHBand="1" w:firstRowFirstColumn="0" w:firstRowLastColumn="0" w:lastRowFirstColumn="0" w:lastRowLastColumn="0"/>
        </w:trPr>
        <w:tc>
          <w:tcPr>
            <w:tcW w:w="1985" w:type="dxa"/>
            <w:tcBorders>
              <w:bottom w:val="single" w:sz="4" w:space="0" w:color="auto"/>
            </w:tcBorders>
            <w:vAlign w:val="center"/>
          </w:tcPr>
          <w:p w14:paraId="719C9C86" w14:textId="77777777" w:rsidR="00456349" w:rsidRPr="00992062" w:rsidRDefault="00456349" w:rsidP="00C855EC">
            <w:pPr>
              <w:rPr>
                <w:rFonts w:cs="Arial"/>
                <w:szCs w:val="20"/>
                <w:lang w:val="en-US" w:eastAsia="en-US"/>
              </w:rPr>
            </w:pPr>
            <w:r>
              <w:rPr>
                <w:rFonts w:cs="Arial"/>
                <w:szCs w:val="20"/>
                <w:lang w:val="en-US" w:eastAsia="en-US"/>
              </w:rPr>
              <w:lastRenderedPageBreak/>
              <w:t>Obligation for conditionally exempt facilities to offer a standard OTSA</w:t>
            </w:r>
          </w:p>
        </w:tc>
        <w:tc>
          <w:tcPr>
            <w:tcW w:w="11765" w:type="dxa"/>
            <w:tcBorders>
              <w:bottom w:val="single" w:sz="4" w:space="0" w:color="auto"/>
            </w:tcBorders>
            <w:vAlign w:val="center"/>
          </w:tcPr>
          <w:p w14:paraId="202DBE43" w14:textId="77777777" w:rsidR="00456349" w:rsidRDefault="00456349" w:rsidP="00C855EC">
            <w:pPr>
              <w:pStyle w:val="BodyText"/>
              <w:spacing w:before="60" w:after="60"/>
              <w:rPr>
                <w:rFonts w:cs="Arial"/>
              </w:rPr>
            </w:pPr>
            <w:r>
              <w:rPr>
                <w:rFonts w:cs="Arial"/>
              </w:rPr>
              <w:t xml:space="preserve">The GMRG has considered the issues raised about the length of time that conditionally exempt facilities will have to respond to a request for an OTSA, but remains of the view that a 60-business day period is appropriate given that the majority of the OTSA will comprise standard terms and conditions. </w:t>
            </w:r>
          </w:p>
          <w:p w14:paraId="15E8D44D" w14:textId="5B07A30F" w:rsidR="00456349" w:rsidRDefault="00456349" w:rsidP="00C855EC">
            <w:pPr>
              <w:pStyle w:val="BodyText"/>
              <w:spacing w:before="60" w:after="60"/>
              <w:rPr>
                <w:rFonts w:cs="Arial"/>
              </w:rPr>
            </w:pPr>
            <w:r>
              <w:rPr>
                <w:rFonts w:cs="Arial"/>
              </w:rPr>
              <w:t xml:space="preserve">The GMRG has also considered the concerns that have been raised about the potential for shippers to make ‘vexatious’ requests to conditionally exempt facilities to impose costs on these facilities. To address these concerns, the obligation for conditionally exempt facilities to offer a standard OTSA has been amended to </w:t>
            </w:r>
            <w:r w:rsidR="000266BB">
              <w:rPr>
                <w:rFonts w:cs="Arial"/>
              </w:rPr>
              <w:t xml:space="preserve">only </w:t>
            </w:r>
            <w:r>
              <w:rPr>
                <w:rFonts w:cs="Arial"/>
              </w:rPr>
              <w:t xml:space="preserve">require an offer to be made if an ‘eligible request’ is received. The term ‘eligible request’ is defined as a request made by a prospective secondary shipper that: </w:t>
            </w:r>
          </w:p>
          <w:p w14:paraId="20255E26" w14:textId="77777777" w:rsidR="00456349" w:rsidRDefault="00456349" w:rsidP="00C855EC">
            <w:pPr>
              <w:pStyle w:val="TableBullet1"/>
            </w:pPr>
            <w:r>
              <w:t xml:space="preserve">meets the eligibility criteria in Part 24 of the NGR – for example, the shipper must be: </w:t>
            </w:r>
          </w:p>
          <w:p w14:paraId="549998EB" w14:textId="77777777" w:rsidR="00456349" w:rsidRDefault="00456349" w:rsidP="00C855EC">
            <w:pPr>
              <w:pStyle w:val="TableBullet2"/>
            </w:pPr>
            <w:r>
              <w:t xml:space="preserve">resident in Australia or have a permanent establishment in Australia; </w:t>
            </w:r>
          </w:p>
          <w:p w14:paraId="238C434B" w14:textId="77777777" w:rsidR="00456349" w:rsidRDefault="00456349" w:rsidP="00C855EC">
            <w:pPr>
              <w:pStyle w:val="TableBullet2"/>
            </w:pPr>
            <w:r>
              <w:t>incorporated or constituted under the Corporations Act (or if not, satisfy the service provider it is duly incorporated and has the legal capacity to enter into and perform its obligations under a standard OTSA); and</w:t>
            </w:r>
          </w:p>
          <w:p w14:paraId="56FE5881" w14:textId="77777777" w:rsidR="00456349" w:rsidRDefault="00456349" w:rsidP="00C855EC">
            <w:pPr>
              <w:pStyle w:val="TableBullet2"/>
              <w:rPr>
                <w:szCs w:val="16"/>
              </w:rPr>
            </w:pPr>
            <w:r>
              <w:t xml:space="preserve">capable of being sued in its own name; </w:t>
            </w:r>
            <w:r w:rsidRPr="00383839">
              <w:rPr>
                <w:szCs w:val="16"/>
              </w:rPr>
              <w:t xml:space="preserve">and </w:t>
            </w:r>
          </w:p>
          <w:p w14:paraId="301C5C61" w14:textId="77777777" w:rsidR="00456349" w:rsidRDefault="00456349" w:rsidP="00C855EC">
            <w:pPr>
              <w:pStyle w:val="TableBullet1"/>
            </w:pPr>
            <w:r w:rsidRPr="00383839">
              <w:t xml:space="preserve">intends to enter into the </w:t>
            </w:r>
            <w:r>
              <w:t xml:space="preserve">standard OTSA </w:t>
            </w:r>
            <w:r w:rsidRPr="00383839">
              <w:t>and use its reasonable endeavours to procure capacity on the transportation facility.</w:t>
            </w:r>
            <w:r>
              <w:t xml:space="preserve"> </w:t>
            </w:r>
          </w:p>
          <w:p w14:paraId="769638E8" w14:textId="6B80F6CF" w:rsidR="000266BB" w:rsidRPr="00C850E5" w:rsidRDefault="000266BB" w:rsidP="000266BB">
            <w:pPr>
              <w:pStyle w:val="TableBullet1"/>
              <w:numPr>
                <w:ilvl w:val="0"/>
                <w:numId w:val="0"/>
              </w:numPr>
              <w:ind w:left="85"/>
            </w:pPr>
            <w:r>
              <w:t>This amendment is reflected in Part 24 of the NGR.</w:t>
            </w:r>
          </w:p>
        </w:tc>
      </w:tr>
      <w:tr w:rsidR="00456349" w:rsidRPr="00992062" w14:paraId="271B24C3" w14:textId="77777777" w:rsidTr="00456349">
        <w:tc>
          <w:tcPr>
            <w:tcW w:w="1985" w:type="dxa"/>
            <w:tcBorders>
              <w:bottom w:val="single" w:sz="4" w:space="0" w:color="auto"/>
            </w:tcBorders>
            <w:shd w:val="clear" w:color="auto" w:fill="auto"/>
            <w:vAlign w:val="center"/>
          </w:tcPr>
          <w:p w14:paraId="5D6E57B5" w14:textId="77777777" w:rsidR="00456349" w:rsidRPr="00992062" w:rsidRDefault="00456349" w:rsidP="00C855EC">
            <w:pPr>
              <w:pStyle w:val="BodyText"/>
              <w:spacing w:before="60" w:after="60"/>
              <w:rPr>
                <w:rFonts w:cs="Arial"/>
              </w:rPr>
            </w:pPr>
            <w:r>
              <w:rPr>
                <w:rFonts w:cs="Arial"/>
              </w:rPr>
              <w:t>Revocation of single user facility exemptions</w:t>
            </w:r>
          </w:p>
        </w:tc>
        <w:tc>
          <w:tcPr>
            <w:tcW w:w="11765" w:type="dxa"/>
            <w:tcBorders>
              <w:bottom w:val="single" w:sz="4" w:space="0" w:color="auto"/>
            </w:tcBorders>
            <w:shd w:val="clear" w:color="auto" w:fill="auto"/>
            <w:vAlign w:val="center"/>
          </w:tcPr>
          <w:p w14:paraId="6D279E55" w14:textId="6E7351B4" w:rsidR="00456349" w:rsidRDefault="00456349" w:rsidP="00C855EC">
            <w:pPr>
              <w:pStyle w:val="BodyText"/>
              <w:spacing w:before="60" w:after="60"/>
              <w:rPr>
                <w:rFonts w:cs="Arial"/>
              </w:rPr>
            </w:pPr>
            <w:r>
              <w:rPr>
                <w:rFonts w:cs="Arial"/>
              </w:rPr>
              <w:t xml:space="preserve">The GMRG has considered the issues raised by Palisade and APGA about the revocation of single user facility exemptions and agrees there may be some circumstances where further consideration would need to be given to whether an exemption should be revoked. For example, if a secondary shipper only wanted to enter into an OTSA for a three month period, it may be appropriate to consider whether the exemption should be revoked given the costs </w:t>
            </w:r>
            <w:r w:rsidR="000266BB">
              <w:rPr>
                <w:rFonts w:cs="Arial"/>
              </w:rPr>
              <w:t xml:space="preserve">that </w:t>
            </w:r>
            <w:r>
              <w:rPr>
                <w:rFonts w:cs="Arial"/>
              </w:rPr>
              <w:t xml:space="preserve">would </w:t>
            </w:r>
            <w:r w:rsidR="000266BB">
              <w:rPr>
                <w:rFonts w:cs="Arial"/>
              </w:rPr>
              <w:t xml:space="preserve">be </w:t>
            </w:r>
            <w:r>
              <w:rPr>
                <w:rFonts w:cs="Arial"/>
              </w:rPr>
              <w:t>incur</w:t>
            </w:r>
            <w:r w:rsidR="000266BB">
              <w:rPr>
                <w:rFonts w:cs="Arial"/>
              </w:rPr>
              <w:t>red</w:t>
            </w:r>
            <w:r>
              <w:rPr>
                <w:rFonts w:cs="Arial"/>
              </w:rPr>
              <w:t xml:space="preserve"> once the exemption is revoked. </w:t>
            </w:r>
          </w:p>
          <w:p w14:paraId="23F20C15" w14:textId="77777777" w:rsidR="00456349" w:rsidRDefault="00456349" w:rsidP="00C855EC">
            <w:pPr>
              <w:pStyle w:val="BodyText"/>
              <w:spacing w:before="60" w:after="60"/>
              <w:rPr>
                <w:rFonts w:cs="Arial"/>
              </w:rPr>
            </w:pPr>
            <w:r>
              <w:rPr>
                <w:rFonts w:cs="Arial"/>
              </w:rPr>
              <w:t xml:space="preserve">Part 24 of the NGR has therefore been amended to provide the AER with some discretion when considering the revocation of these types of exemptions and to allow it to take into account: </w:t>
            </w:r>
          </w:p>
          <w:p w14:paraId="17C63602" w14:textId="77777777" w:rsidR="00456349" w:rsidRDefault="00456349" w:rsidP="00C855EC">
            <w:pPr>
              <w:pStyle w:val="TableBullet1"/>
            </w:pPr>
            <w:r>
              <w:t xml:space="preserve">the circumstances in which the facility will cease to qualify for the exemption; and </w:t>
            </w:r>
          </w:p>
          <w:p w14:paraId="2A129CEE" w14:textId="77777777" w:rsidR="00456349" w:rsidRPr="00992062" w:rsidRDefault="00456349" w:rsidP="00C855EC">
            <w:pPr>
              <w:pStyle w:val="TableBullet1"/>
            </w:pPr>
            <w:r>
              <w:t>whether the circumstances are reasonably likely to continue and, if so, for how long.</w:t>
            </w:r>
          </w:p>
        </w:tc>
      </w:tr>
      <w:tr w:rsidR="00456349" w:rsidRPr="00992062" w14:paraId="470015E1" w14:textId="77777777" w:rsidTr="00456349">
        <w:trPr>
          <w:cnfStyle w:val="000000010000" w:firstRow="0" w:lastRow="0" w:firstColumn="0" w:lastColumn="0" w:oddVBand="0" w:evenVBand="0" w:oddHBand="0" w:evenHBand="1" w:firstRowFirstColumn="0" w:firstRowLastColumn="0" w:lastRowFirstColumn="0" w:lastRowLastColumn="0"/>
        </w:trPr>
        <w:tc>
          <w:tcPr>
            <w:tcW w:w="1985" w:type="dxa"/>
            <w:tcBorders>
              <w:bottom w:val="single" w:sz="4" w:space="0" w:color="auto"/>
            </w:tcBorders>
          </w:tcPr>
          <w:p w14:paraId="575E1F8F" w14:textId="77777777" w:rsidR="00456349" w:rsidRPr="00992062" w:rsidRDefault="00456349" w:rsidP="00C855EC">
            <w:pPr>
              <w:pStyle w:val="BodyText"/>
              <w:spacing w:before="60" w:after="60"/>
              <w:rPr>
                <w:rFonts w:cs="Arial"/>
              </w:rPr>
            </w:pPr>
            <w:r>
              <w:rPr>
                <w:rFonts w:cs="Arial"/>
              </w:rPr>
              <w:t>Fast-track exemptions for facilities that have a Part 23 exemption</w:t>
            </w:r>
          </w:p>
        </w:tc>
        <w:tc>
          <w:tcPr>
            <w:tcW w:w="11765" w:type="dxa"/>
            <w:tcBorders>
              <w:bottom w:val="single" w:sz="4" w:space="0" w:color="auto"/>
            </w:tcBorders>
          </w:tcPr>
          <w:p w14:paraId="50ED9F2B" w14:textId="77777777" w:rsidR="00456349" w:rsidRPr="00992062" w:rsidRDefault="00456349" w:rsidP="00C855EC">
            <w:pPr>
              <w:pStyle w:val="BodyText"/>
              <w:spacing w:before="60" w:after="60"/>
              <w:rPr>
                <w:rFonts w:cs="Arial"/>
              </w:rPr>
            </w:pPr>
            <w:r>
              <w:rPr>
                <w:rFonts w:cs="Arial"/>
              </w:rPr>
              <w:t xml:space="preserve">The GMRG agrees with Alinta, APLNG and GLNG that a fast-track exemption process should be available if a transportation facility has obtained an exemption under Part 23 of the NGR because it does not provide third party access or only supplies a single user. Provision has therefore been made in Part 24 of the NGR for the AER to </w:t>
            </w:r>
            <w:r w:rsidRPr="00882ED1">
              <w:rPr>
                <w:rFonts w:eastAsiaTheme="minorEastAsia"/>
              </w:rPr>
              <w:t>grant exemption</w:t>
            </w:r>
            <w:r>
              <w:rPr>
                <w:rFonts w:eastAsiaTheme="minorEastAsia"/>
              </w:rPr>
              <w:t xml:space="preserve">s on its own initiative </w:t>
            </w:r>
            <w:r w:rsidRPr="00F14B36">
              <w:rPr>
                <w:rFonts w:eastAsiaTheme="minorEastAsia"/>
                <w:color w:val="000000" w:themeColor="text1"/>
              </w:rPr>
              <w:t xml:space="preserve">based on its understanding that a facility meets the criteria in </w:t>
            </w:r>
            <w:r>
              <w:rPr>
                <w:rFonts w:eastAsiaTheme="minorEastAsia"/>
                <w:color w:val="000000" w:themeColor="text1"/>
              </w:rPr>
              <w:t xml:space="preserve">Part 24, rather than requiring transportation service providers to go through the standard application process. This power will enable the exemption process for facilities that have obtained the relevant exemption under Part 23 of the NGR to be fast-tracked. </w:t>
            </w:r>
          </w:p>
        </w:tc>
      </w:tr>
      <w:tr w:rsidR="00456349" w:rsidRPr="00992062" w14:paraId="6CC7E022" w14:textId="77777777" w:rsidTr="00456349">
        <w:tc>
          <w:tcPr>
            <w:tcW w:w="1985" w:type="dxa"/>
            <w:shd w:val="clear" w:color="auto" w:fill="auto"/>
          </w:tcPr>
          <w:p w14:paraId="695429BC" w14:textId="77777777" w:rsidR="00456349" w:rsidRPr="00992062" w:rsidRDefault="00456349" w:rsidP="00C855EC">
            <w:pPr>
              <w:pStyle w:val="BodyText"/>
              <w:spacing w:before="60" w:after="60"/>
              <w:rPr>
                <w:rFonts w:cs="Arial"/>
              </w:rPr>
            </w:pPr>
            <w:r>
              <w:rPr>
                <w:rFonts w:cs="Arial"/>
              </w:rPr>
              <w:lastRenderedPageBreak/>
              <w:t xml:space="preserve">Exemptions from other elements of the reform package </w:t>
            </w:r>
          </w:p>
        </w:tc>
        <w:tc>
          <w:tcPr>
            <w:tcW w:w="11765" w:type="dxa"/>
            <w:shd w:val="clear" w:color="auto" w:fill="auto"/>
          </w:tcPr>
          <w:p w14:paraId="5CD1F8B2" w14:textId="77777777" w:rsidR="00456349" w:rsidRDefault="00456349" w:rsidP="00C855EC">
            <w:pPr>
              <w:pStyle w:val="BodyText"/>
              <w:spacing w:before="60" w:after="60"/>
              <w:rPr>
                <w:rFonts w:cs="Arial"/>
              </w:rPr>
            </w:pPr>
            <w:r>
              <w:rPr>
                <w:rFonts w:cs="Arial"/>
              </w:rPr>
              <w:t xml:space="preserve">As GLNG has pointed out, the exemptions framework set out in Part 24 of the NGR does not apply to all elements of the capacity trading reform package. It does not, for example, apply to: </w:t>
            </w:r>
          </w:p>
          <w:p w14:paraId="7E3EB7FA" w14:textId="77777777" w:rsidR="00456349" w:rsidRDefault="00456349" w:rsidP="00C855EC">
            <w:pPr>
              <w:pStyle w:val="TableBullet1"/>
            </w:pPr>
            <w:r>
              <w:t xml:space="preserve">the reporting obligations for secondary capacity trades in Part 18 of the NGR, which apply to shippers using any transportation facility, irrespective of whether the facility has an exemption or not; or </w:t>
            </w:r>
          </w:p>
          <w:p w14:paraId="0B86CA60" w14:textId="77777777" w:rsidR="000266BB" w:rsidRDefault="00456349" w:rsidP="00C855EC">
            <w:pPr>
              <w:pStyle w:val="TableBullet1"/>
            </w:pPr>
            <w:r>
              <w:t>the obligation to publish information about the transition to the standard market timetable</w:t>
            </w:r>
            <w:r w:rsidR="000266BB">
              <w:t>.</w:t>
            </w:r>
          </w:p>
          <w:p w14:paraId="4851DC14" w14:textId="0BCC2E29" w:rsidR="00CC50D4" w:rsidRDefault="000266BB" w:rsidP="00CC50D4">
            <w:pPr>
              <w:pStyle w:val="TableBullet1"/>
              <w:numPr>
                <w:ilvl w:val="0"/>
                <w:numId w:val="0"/>
              </w:numPr>
              <w:ind w:left="85"/>
            </w:pPr>
            <w:r>
              <w:t>The decision to limit the scope of the exemptions in this way was intentional</w:t>
            </w:r>
            <w:r w:rsidR="00CC50D4">
              <w:t>, because:</w:t>
            </w:r>
            <w:r>
              <w:t xml:space="preserve"> </w:t>
            </w:r>
          </w:p>
          <w:p w14:paraId="609ED12E" w14:textId="4A6BBB3C" w:rsidR="000266BB" w:rsidRDefault="00CC50D4" w:rsidP="00CC50D4">
            <w:pPr>
              <w:pStyle w:val="TableBullet1"/>
              <w:rPr>
                <w:rFonts w:eastAsiaTheme="minorEastAsia"/>
              </w:rPr>
            </w:pPr>
            <w:r>
              <w:t>T</w:t>
            </w:r>
            <w:r w:rsidR="000266BB">
              <w:t xml:space="preserve">he obligation to report </w:t>
            </w:r>
            <w:r>
              <w:t xml:space="preserve">secondary capacity </w:t>
            </w:r>
            <w:r w:rsidR="000266BB">
              <w:t>trades</w:t>
            </w:r>
            <w:r>
              <w:t xml:space="preserve"> applies to </w:t>
            </w:r>
            <w:r w:rsidR="000266BB" w:rsidRPr="004B4094">
              <w:rPr>
                <w:rFonts w:eastAsiaTheme="minorEastAsia"/>
              </w:rPr>
              <w:t>trading parties rather than on facility operators. While consideration was given to exempting trading parties from reporting trades on transportation facilities that are not subject to the auction or the capacity trading platform, the GMRG</w:t>
            </w:r>
            <w:r w:rsidR="000266BB">
              <w:rPr>
                <w:rFonts w:eastAsiaTheme="minorEastAsia"/>
              </w:rPr>
              <w:t xml:space="preserve"> is of the</w:t>
            </w:r>
            <w:r w:rsidR="000266BB" w:rsidRPr="004B4094">
              <w:rPr>
                <w:rFonts w:eastAsiaTheme="minorEastAsia"/>
              </w:rPr>
              <w:t xml:space="preserve"> view </w:t>
            </w:r>
            <w:r w:rsidR="000266BB">
              <w:rPr>
                <w:rFonts w:eastAsiaTheme="minorEastAsia"/>
              </w:rPr>
              <w:t xml:space="preserve">that </w:t>
            </w:r>
            <w:r w:rsidR="000266BB" w:rsidRPr="004B4094">
              <w:rPr>
                <w:rFonts w:eastAsiaTheme="minorEastAsia"/>
              </w:rPr>
              <w:t>there is still value</w:t>
            </w:r>
            <w:r w:rsidR="000266BB">
              <w:rPr>
                <w:rFonts w:eastAsiaTheme="minorEastAsia"/>
              </w:rPr>
              <w:t>,</w:t>
            </w:r>
            <w:r w:rsidR="000266BB" w:rsidRPr="004B4094">
              <w:rPr>
                <w:rFonts w:eastAsiaTheme="minorEastAsia"/>
              </w:rPr>
              <w:t xml:space="preserve"> from a price discovery perspective, in requiring trades on these facilities to be reported. </w:t>
            </w:r>
            <w:r>
              <w:rPr>
                <w:rFonts w:eastAsiaTheme="minorEastAsia"/>
              </w:rPr>
              <w:t>The GMRG does not therefore consider it appropriate to extend the Part 24 exemptions framework to this obligation.</w:t>
            </w:r>
          </w:p>
          <w:p w14:paraId="4724E090" w14:textId="1713961C" w:rsidR="00CC50D4" w:rsidRPr="00992062" w:rsidRDefault="00CC50D4" w:rsidP="00CC50D4">
            <w:pPr>
              <w:pStyle w:val="TableBullet1"/>
            </w:pPr>
            <w:r>
              <w:rPr>
                <w:rFonts w:eastAsiaTheme="minorEastAsia"/>
              </w:rPr>
              <w:t xml:space="preserve">The obligation to publish information about the transition to the standard market timetable applies to a </w:t>
            </w:r>
            <w:bookmarkStart w:id="192" w:name="_Hlk529244931"/>
            <w:r w:rsidRPr="00D717EE">
              <w:rPr>
                <w:szCs w:val="18"/>
              </w:rPr>
              <w:t>broader group of facilities than Part 24 and 25 (e.g. it applies to distribution pipelines, storage facilities, production facilities, single user transmission pipelines and transmission pipelines with a nameplate rating less than 10TJ</w:t>
            </w:r>
            <w:r>
              <w:rPr>
                <w:szCs w:val="18"/>
              </w:rPr>
              <w:t>/day</w:t>
            </w:r>
            <w:r w:rsidRPr="00D717EE">
              <w:rPr>
                <w:szCs w:val="18"/>
              </w:rPr>
              <w:t>)</w:t>
            </w:r>
            <w:r>
              <w:rPr>
                <w:szCs w:val="18"/>
              </w:rPr>
              <w:t xml:space="preserve"> and the intention of the obligation </w:t>
            </w:r>
            <w:r w:rsidRPr="00D717EE">
              <w:rPr>
                <w:szCs w:val="18"/>
              </w:rPr>
              <w:t xml:space="preserve">is to enable users of these facilities, the operators of interconnected facilities and AEMO to understand how the standard market timetable will be implemented. The GMRG does not therefore consider it appropriate to </w:t>
            </w:r>
            <w:r>
              <w:rPr>
                <w:szCs w:val="18"/>
              </w:rPr>
              <w:t xml:space="preserve">extend </w:t>
            </w:r>
            <w:r w:rsidRPr="00D717EE">
              <w:rPr>
                <w:szCs w:val="18"/>
              </w:rPr>
              <w:t xml:space="preserve">the </w:t>
            </w:r>
            <w:r>
              <w:rPr>
                <w:szCs w:val="18"/>
              </w:rPr>
              <w:t xml:space="preserve">Part 24 </w:t>
            </w:r>
            <w:r w:rsidRPr="00D717EE">
              <w:rPr>
                <w:szCs w:val="18"/>
              </w:rPr>
              <w:t>exemption</w:t>
            </w:r>
            <w:r>
              <w:rPr>
                <w:szCs w:val="18"/>
              </w:rPr>
              <w:t>s framework</w:t>
            </w:r>
            <w:r w:rsidRPr="00D717EE">
              <w:rPr>
                <w:szCs w:val="18"/>
              </w:rPr>
              <w:t xml:space="preserve"> </w:t>
            </w:r>
            <w:r>
              <w:rPr>
                <w:szCs w:val="18"/>
              </w:rPr>
              <w:t xml:space="preserve">to this obligation. </w:t>
            </w:r>
            <w:bookmarkEnd w:id="192"/>
            <w:r>
              <w:rPr>
                <w:szCs w:val="18"/>
              </w:rPr>
              <w:t>Having said that, it is worth noting that the obligation to publish information does not extend to facilities that are not providing services to third parties.</w:t>
            </w:r>
          </w:p>
        </w:tc>
      </w:tr>
    </w:tbl>
    <w:p w14:paraId="4BCFA8D8" w14:textId="37C8474B" w:rsidR="00456349" w:rsidRDefault="00456349" w:rsidP="002B13EB">
      <w:pPr>
        <w:pStyle w:val="BodyText"/>
        <w:sectPr w:rsidR="00456349" w:rsidSect="00456349">
          <w:pgSz w:w="16839" w:h="11907" w:orient="landscape" w:code="9"/>
          <w:pgMar w:top="1701" w:right="1418" w:bottom="993" w:left="1701" w:header="425" w:footer="397" w:gutter="0"/>
          <w:cols w:space="708"/>
          <w:docGrid w:linePitch="360"/>
        </w:sectPr>
      </w:pPr>
    </w:p>
    <w:p w14:paraId="01D25790" w14:textId="77777777" w:rsidR="002B13EB" w:rsidRPr="005F6769" w:rsidRDefault="002B13EB" w:rsidP="002B13EB">
      <w:pPr>
        <w:pStyle w:val="AppendixHeading2"/>
        <w:rPr>
          <w:color w:val="0099CC"/>
        </w:rPr>
      </w:pPr>
      <w:r w:rsidRPr="005F6769">
        <w:rPr>
          <w:color w:val="0099CC"/>
        </w:rPr>
        <w:lastRenderedPageBreak/>
        <w:t>Feedback on measures to facilitate trad</w:t>
      </w:r>
      <w:r>
        <w:rPr>
          <w:color w:val="0099CC"/>
        </w:rPr>
        <w:t>e</w:t>
      </w:r>
      <w:r w:rsidRPr="005F6769">
        <w:rPr>
          <w:color w:val="0099CC"/>
        </w:rPr>
        <w:t xml:space="preserve"> and the auction</w:t>
      </w:r>
      <w:bookmarkEnd w:id="191"/>
    </w:p>
    <w:p w14:paraId="7D75DC6A" w14:textId="3E48491C" w:rsidR="002B13EB" w:rsidRDefault="002B13EB" w:rsidP="002B13EB">
      <w:pPr>
        <w:pStyle w:val="BodyText"/>
      </w:pPr>
      <w:r>
        <w:t>The March 2018 consultation paper asked stakeholders to provide their views on the proposed refinements to:</w:t>
      </w:r>
    </w:p>
    <w:p w14:paraId="2D95DC0D" w14:textId="77777777" w:rsidR="002B13EB" w:rsidRDefault="002B13EB" w:rsidP="002B13EB">
      <w:pPr>
        <w:pStyle w:val="ListBullet"/>
      </w:pPr>
      <w:r>
        <w:t xml:space="preserve">the </w:t>
      </w:r>
      <w:r w:rsidR="00146CA5">
        <w:t xml:space="preserve">governance model for the Code and the </w:t>
      </w:r>
      <w:r>
        <w:t xml:space="preserve">role to be played by the AER when considering changes to the Code; </w:t>
      </w:r>
    </w:p>
    <w:p w14:paraId="6927ADC5" w14:textId="77777777" w:rsidR="002B13EB" w:rsidRDefault="002B13EB" w:rsidP="002B13EB">
      <w:pPr>
        <w:pStyle w:val="ListBullet"/>
      </w:pPr>
      <w:r>
        <w:t>the way in which contractual limitations on capacity trading in facility agreements will be addressed; and</w:t>
      </w:r>
    </w:p>
    <w:p w14:paraId="3242509C" w14:textId="77777777" w:rsidR="002B13EB" w:rsidRDefault="002B13EB" w:rsidP="002B13EB">
      <w:pPr>
        <w:pStyle w:val="ListBullet"/>
      </w:pPr>
      <w:r>
        <w:t>the governance arrangements for the specification of service points, zones and pipeline segments used in the auction, trading platform and reporting framework.</w:t>
      </w:r>
    </w:p>
    <w:p w14:paraId="351B35AF" w14:textId="77777777" w:rsidR="002B13EB" w:rsidRDefault="002B13EB" w:rsidP="002B13EB">
      <w:pPr>
        <w:pStyle w:val="BodyText"/>
      </w:pPr>
      <w:r>
        <w:t>Stakeholders were also asked to provide their views on the service provider cost recovery arrangements.</w:t>
      </w:r>
    </w:p>
    <w:p w14:paraId="6FE73936" w14:textId="77777777" w:rsidR="002B13EB" w:rsidRDefault="002B13EB" w:rsidP="002B13EB">
      <w:pPr>
        <w:pStyle w:val="BodyText"/>
      </w:pPr>
      <w:r>
        <w:t>An overview of the feedback that stakeholders provided on these issues and the GMRG’s responses to this feedback, is provided below.</w:t>
      </w:r>
    </w:p>
    <w:p w14:paraId="148AC721" w14:textId="77777777" w:rsidR="002B13EB" w:rsidRPr="005F6769" w:rsidRDefault="002B13EB" w:rsidP="002B13EB">
      <w:pPr>
        <w:pStyle w:val="AppendixHeading3"/>
        <w:rPr>
          <w:color w:val="0099CC"/>
        </w:rPr>
      </w:pPr>
      <w:r w:rsidRPr="005F6769">
        <w:rPr>
          <w:color w:val="0099CC"/>
        </w:rPr>
        <w:t>Governance model for the Code</w:t>
      </w:r>
    </w:p>
    <w:p w14:paraId="2B05EFDE" w14:textId="77777777" w:rsidR="002B13EB" w:rsidRPr="00FF0C08" w:rsidRDefault="002B13EB" w:rsidP="002B13EB">
      <w:pPr>
        <w:pStyle w:val="BodyText"/>
      </w:pPr>
      <w:r w:rsidRPr="00FF0C08">
        <w:t xml:space="preserve">Stakeholders raised the following concerns </w:t>
      </w:r>
      <w:r w:rsidR="00493EFA">
        <w:t xml:space="preserve">about </w:t>
      </w:r>
      <w:r w:rsidRPr="00FF0C08">
        <w:t>the governance model for the Code:</w:t>
      </w:r>
    </w:p>
    <w:p w14:paraId="1DCFD7F0" w14:textId="77777777" w:rsidR="002B13EB" w:rsidRPr="00CA4710" w:rsidRDefault="002B13EB" w:rsidP="002B13EB">
      <w:pPr>
        <w:pStyle w:val="ListBullet"/>
      </w:pPr>
      <w:r>
        <w:rPr>
          <w:b/>
        </w:rPr>
        <w:t>AEMO</w:t>
      </w:r>
      <w:r w:rsidR="00493EFA">
        <w:rPr>
          <w:b/>
        </w:rPr>
        <w:t>’s</w:t>
      </w:r>
      <w:r>
        <w:rPr>
          <w:b/>
        </w:rPr>
        <w:t xml:space="preserve"> role </w:t>
      </w:r>
      <w:r w:rsidR="005E626F">
        <w:rPr>
          <w:b/>
        </w:rPr>
        <w:t>on the Panel:</w:t>
      </w:r>
      <w:r>
        <w:rPr>
          <w:b/>
        </w:rPr>
        <w:t xml:space="preserve"> </w:t>
      </w:r>
      <w:r w:rsidRPr="00CA4710">
        <w:t>APA</w:t>
      </w:r>
      <w:r w:rsidR="009E5AAC">
        <w:t xml:space="preserve"> and Epic</w:t>
      </w:r>
      <w:r w:rsidRPr="00CA4710">
        <w:t xml:space="preserve"> expressed concerns </w:t>
      </w:r>
      <w:r w:rsidR="009E5AAC">
        <w:t xml:space="preserve">about </w:t>
      </w:r>
      <w:r w:rsidRPr="00CA4710">
        <w:t xml:space="preserve">AEMO’s appointed </w:t>
      </w:r>
      <w:r w:rsidR="009E5AAC">
        <w:t xml:space="preserve">Panel </w:t>
      </w:r>
      <w:r w:rsidRPr="00CA4710">
        <w:t>member having the casting vote</w:t>
      </w:r>
      <w:r w:rsidR="009E5AAC">
        <w:t>. APA also expressed concern</w:t>
      </w:r>
      <w:r w:rsidR="00493EFA">
        <w:t>s</w:t>
      </w:r>
      <w:r w:rsidR="009E5AAC">
        <w:t xml:space="preserve"> about </w:t>
      </w:r>
      <w:r w:rsidR="00493EFA">
        <w:t xml:space="preserve">the </w:t>
      </w:r>
      <w:r w:rsidR="009E5AAC">
        <w:t xml:space="preserve">AEMO </w:t>
      </w:r>
      <w:r w:rsidR="00493EFA">
        <w:t xml:space="preserve">member being the chair and suggested that this role should </w:t>
      </w:r>
      <w:r w:rsidR="002918A2">
        <w:t xml:space="preserve">be </w:t>
      </w:r>
      <w:r w:rsidRPr="00CA4710">
        <w:t>rotate</w:t>
      </w:r>
      <w:r w:rsidR="002918A2">
        <w:t>d</w:t>
      </w:r>
      <w:r w:rsidRPr="00CA4710">
        <w:t xml:space="preserve"> between members. </w:t>
      </w:r>
    </w:p>
    <w:p w14:paraId="499BE62F" w14:textId="77777777" w:rsidR="002B13EB" w:rsidRPr="00CA4710" w:rsidRDefault="005E626F" w:rsidP="002B13EB">
      <w:pPr>
        <w:pStyle w:val="ListBullet"/>
      </w:pPr>
      <w:r>
        <w:rPr>
          <w:b/>
        </w:rPr>
        <w:t>Panel q</w:t>
      </w:r>
      <w:r w:rsidR="002B13EB">
        <w:rPr>
          <w:b/>
        </w:rPr>
        <w:t>uorum</w:t>
      </w:r>
      <w:r>
        <w:rPr>
          <w:b/>
        </w:rPr>
        <w:t>:</w:t>
      </w:r>
      <w:r w:rsidR="002B13EB">
        <w:rPr>
          <w:b/>
        </w:rPr>
        <w:t xml:space="preserve"> </w:t>
      </w:r>
      <w:r w:rsidR="002B13EB" w:rsidRPr="00CA4710">
        <w:t>APA</w:t>
      </w:r>
      <w:r w:rsidR="00493EFA">
        <w:t xml:space="preserve"> expressed some concerns about the quorum requirements for the Panel and suggested that a quorum comprise AEMO and </w:t>
      </w:r>
      <w:r w:rsidR="002B13EB" w:rsidRPr="00CA4710">
        <w:t xml:space="preserve">one </w:t>
      </w:r>
      <w:r w:rsidR="002918A2">
        <w:t xml:space="preserve">transportation service provider </w:t>
      </w:r>
      <w:r w:rsidR="002B13EB" w:rsidRPr="00CA4710">
        <w:t xml:space="preserve">representative and </w:t>
      </w:r>
      <w:r w:rsidR="00493EFA">
        <w:t xml:space="preserve">one </w:t>
      </w:r>
      <w:r w:rsidR="002918A2">
        <w:t xml:space="preserve">shipper </w:t>
      </w:r>
      <w:r w:rsidR="00493EFA">
        <w:t>representative</w:t>
      </w:r>
      <w:r w:rsidR="002B13EB" w:rsidRPr="00CA4710">
        <w:t xml:space="preserve">. </w:t>
      </w:r>
    </w:p>
    <w:p w14:paraId="7CDA644D" w14:textId="77777777" w:rsidR="002B13EB" w:rsidRDefault="002B13EB" w:rsidP="002B13EB">
      <w:pPr>
        <w:pStyle w:val="ListBullet"/>
      </w:pPr>
      <w:r w:rsidRPr="00C578F4">
        <w:rPr>
          <w:b/>
        </w:rPr>
        <w:t>Panel composition</w:t>
      </w:r>
      <w:r w:rsidR="005E626F">
        <w:rPr>
          <w:b/>
        </w:rPr>
        <w:t>:</w:t>
      </w:r>
      <w:r w:rsidRPr="00C578F4">
        <w:rPr>
          <w:b/>
        </w:rPr>
        <w:t xml:space="preserve"> </w:t>
      </w:r>
      <w:r w:rsidRPr="00D35A0F">
        <w:t xml:space="preserve">PIAC, Origin and Jemena </w:t>
      </w:r>
      <w:r>
        <w:t xml:space="preserve">were broadly supportive of the proposed </w:t>
      </w:r>
      <w:r w:rsidRPr="00D35A0F">
        <w:t xml:space="preserve">composition of the </w:t>
      </w:r>
      <w:r>
        <w:t>P</w:t>
      </w:r>
      <w:r w:rsidRPr="00D35A0F">
        <w:t>anel</w:t>
      </w:r>
      <w:r w:rsidR="00493EFA">
        <w:t>,</w:t>
      </w:r>
      <w:r w:rsidR="005E626F">
        <w:t xml:space="preserve"> but a </w:t>
      </w:r>
      <w:r>
        <w:t>number of other stakeholders</w:t>
      </w:r>
      <w:r w:rsidR="005E626F">
        <w:t xml:space="preserve"> </w:t>
      </w:r>
      <w:r>
        <w:t>suggested changes to the composition. For example</w:t>
      </w:r>
      <w:r w:rsidR="002918A2">
        <w:t>:</w:t>
      </w:r>
      <w:r>
        <w:t xml:space="preserve"> </w:t>
      </w:r>
    </w:p>
    <w:p w14:paraId="6146C5E6" w14:textId="77777777" w:rsidR="002B13EB" w:rsidRDefault="002B13EB" w:rsidP="005E626F">
      <w:pPr>
        <w:pStyle w:val="ListBullet2"/>
        <w:spacing w:before="60"/>
      </w:pPr>
      <w:r>
        <w:t xml:space="preserve">A number of </w:t>
      </w:r>
      <w:r w:rsidRPr="00D35A0F">
        <w:t xml:space="preserve">shippers raised </w:t>
      </w:r>
      <w:r>
        <w:t xml:space="preserve">concerns </w:t>
      </w:r>
      <w:r w:rsidR="005E626F">
        <w:t>about</w:t>
      </w:r>
      <w:r w:rsidRPr="00D35A0F">
        <w:t xml:space="preserve"> the nature and extent of shipper representation</w:t>
      </w:r>
      <w:r>
        <w:t>, including:</w:t>
      </w:r>
    </w:p>
    <w:p w14:paraId="7322DFFE" w14:textId="77777777" w:rsidR="002B13EB" w:rsidRDefault="002B13EB" w:rsidP="00EA491F">
      <w:pPr>
        <w:pStyle w:val="BodyText"/>
        <w:numPr>
          <w:ilvl w:val="0"/>
          <w:numId w:val="51"/>
        </w:numPr>
        <w:spacing w:before="60"/>
        <w:ind w:left="1071" w:hanging="357"/>
      </w:pPr>
      <w:r w:rsidRPr="00D35A0F">
        <w:t>AGL</w:t>
      </w:r>
      <w:r>
        <w:t xml:space="preserve"> who thought that </w:t>
      </w:r>
      <w:r w:rsidRPr="00D35A0F">
        <w:t>shippers, as the main traders of capacity (whether as producers, retailers or end users)</w:t>
      </w:r>
      <w:r>
        <w:t>,</w:t>
      </w:r>
      <w:r w:rsidRPr="00D35A0F">
        <w:t xml:space="preserve"> were under-represented</w:t>
      </w:r>
      <w:r w:rsidR="002918A2">
        <w:t>;</w:t>
      </w:r>
      <w:r w:rsidRPr="00D35A0F">
        <w:t xml:space="preserve"> </w:t>
      </w:r>
    </w:p>
    <w:p w14:paraId="1BF81281" w14:textId="77777777" w:rsidR="002B13EB" w:rsidRDefault="002B13EB" w:rsidP="00EA491F">
      <w:pPr>
        <w:pStyle w:val="BodyText"/>
        <w:numPr>
          <w:ilvl w:val="0"/>
          <w:numId w:val="51"/>
        </w:numPr>
        <w:spacing w:before="60"/>
        <w:ind w:left="1071" w:hanging="357"/>
      </w:pPr>
      <w:r w:rsidRPr="00D35A0F">
        <w:t xml:space="preserve">ERM </w:t>
      </w:r>
      <w:r>
        <w:t xml:space="preserve">who thought </w:t>
      </w:r>
      <w:r w:rsidRPr="00D35A0F">
        <w:t xml:space="preserve">the </w:t>
      </w:r>
      <w:r>
        <w:t>P</w:t>
      </w:r>
      <w:r w:rsidRPr="00D35A0F">
        <w:t>anel should include a small shipper</w:t>
      </w:r>
      <w:r>
        <w:t>; and</w:t>
      </w:r>
    </w:p>
    <w:p w14:paraId="16EAA2D3" w14:textId="40AEBEAC" w:rsidR="002B13EB" w:rsidRPr="0010205D" w:rsidRDefault="002B13EB" w:rsidP="00EA491F">
      <w:pPr>
        <w:pStyle w:val="BodyText"/>
        <w:numPr>
          <w:ilvl w:val="0"/>
          <w:numId w:val="51"/>
        </w:numPr>
        <w:spacing w:before="60"/>
        <w:ind w:left="1071" w:hanging="357"/>
      </w:pPr>
      <w:r>
        <w:t xml:space="preserve">Power and Water Corporation (PWC) who thought that </w:t>
      </w:r>
      <w:r w:rsidRPr="0010205D">
        <w:t xml:space="preserve">shippers on the </w:t>
      </w:r>
      <w:r>
        <w:t>P</w:t>
      </w:r>
      <w:r w:rsidRPr="0010205D">
        <w:t xml:space="preserve">anel </w:t>
      </w:r>
      <w:r>
        <w:t xml:space="preserve">should </w:t>
      </w:r>
      <w:r w:rsidRPr="0010205D">
        <w:t>be users of different infrastructure</w:t>
      </w:r>
      <w:r w:rsidR="00841997">
        <w:t xml:space="preserve"> (</w:t>
      </w:r>
      <w:r>
        <w:t xml:space="preserve">preferably </w:t>
      </w:r>
      <w:r w:rsidRPr="0010205D">
        <w:t xml:space="preserve">including </w:t>
      </w:r>
      <w:r w:rsidR="00841997">
        <w:t xml:space="preserve">users </w:t>
      </w:r>
      <w:r w:rsidRPr="0010205D">
        <w:t xml:space="preserve">in the </w:t>
      </w:r>
      <w:r>
        <w:t>NT</w:t>
      </w:r>
      <w:r w:rsidR="00841997">
        <w:t>)</w:t>
      </w:r>
      <w:r>
        <w:t>.</w:t>
      </w:r>
    </w:p>
    <w:p w14:paraId="427548D3" w14:textId="77777777" w:rsidR="002B13EB" w:rsidRPr="0010205D" w:rsidRDefault="005E626F" w:rsidP="002B13EB">
      <w:pPr>
        <w:pStyle w:val="ListBullet2"/>
      </w:pPr>
      <w:r>
        <w:t xml:space="preserve">Palisade </w:t>
      </w:r>
      <w:r w:rsidR="002B13EB">
        <w:t xml:space="preserve">agreed in general with the Panel’s composition but </w:t>
      </w:r>
      <w:r w:rsidR="002B13EB" w:rsidRPr="0010205D">
        <w:t xml:space="preserve">suggested that </w:t>
      </w:r>
      <w:r w:rsidR="002B13EB">
        <w:t xml:space="preserve">a </w:t>
      </w:r>
      <w:r w:rsidR="002B13EB" w:rsidRPr="0010205D">
        <w:t xml:space="preserve">small </w:t>
      </w:r>
      <w:r w:rsidR="002B13EB">
        <w:t xml:space="preserve">and large </w:t>
      </w:r>
      <w:r w:rsidR="002B13EB" w:rsidRPr="0010205D">
        <w:t xml:space="preserve">service provider be represented on the </w:t>
      </w:r>
      <w:r w:rsidR="002B13EB">
        <w:t>P</w:t>
      </w:r>
      <w:r w:rsidR="002B13EB" w:rsidRPr="0010205D">
        <w:t>anel</w:t>
      </w:r>
      <w:r w:rsidR="002B13EB">
        <w:t>.</w:t>
      </w:r>
    </w:p>
    <w:p w14:paraId="2877AE21" w14:textId="77777777" w:rsidR="002B13EB" w:rsidRPr="0010205D" w:rsidRDefault="005E626F" w:rsidP="002B13EB">
      <w:pPr>
        <w:pStyle w:val="ListBullet2"/>
      </w:pPr>
      <w:r>
        <w:t xml:space="preserve">The </w:t>
      </w:r>
      <w:r w:rsidR="002B13EB" w:rsidRPr="0010205D">
        <w:t xml:space="preserve">ECA </w:t>
      </w:r>
      <w:r w:rsidR="002B13EB">
        <w:t>thought a consumer representative should be included on the P</w:t>
      </w:r>
      <w:r w:rsidR="002B13EB" w:rsidRPr="0010205D">
        <w:t>anel.</w:t>
      </w:r>
    </w:p>
    <w:p w14:paraId="125FFBE9" w14:textId="77777777" w:rsidR="002B13EB" w:rsidRPr="0010205D" w:rsidRDefault="002B13EB" w:rsidP="002B13EB">
      <w:pPr>
        <w:pStyle w:val="ListBullet"/>
        <w:rPr>
          <w:b/>
        </w:rPr>
      </w:pPr>
      <w:r w:rsidRPr="0010205D">
        <w:rPr>
          <w:b/>
        </w:rPr>
        <w:lastRenderedPageBreak/>
        <w:t xml:space="preserve">Conflict </w:t>
      </w:r>
      <w:r w:rsidR="007014E7">
        <w:rPr>
          <w:b/>
        </w:rPr>
        <w:t xml:space="preserve">of interest </w:t>
      </w:r>
      <w:r w:rsidRPr="0010205D">
        <w:rPr>
          <w:b/>
        </w:rPr>
        <w:t>provisions</w:t>
      </w:r>
      <w:r w:rsidR="005E626F">
        <w:rPr>
          <w:b/>
        </w:rPr>
        <w:t>:</w:t>
      </w:r>
      <w:r>
        <w:rPr>
          <w:b/>
        </w:rPr>
        <w:t xml:space="preserve"> </w:t>
      </w:r>
      <w:r>
        <w:t>APA</w:t>
      </w:r>
      <w:r w:rsidR="007014E7">
        <w:t xml:space="preserve"> suggested that the conflict of interest provisions be clarified and that </w:t>
      </w:r>
      <w:r>
        <w:t>organisation</w:t>
      </w:r>
      <w:r w:rsidR="002918A2">
        <w:t>s</w:t>
      </w:r>
      <w:r>
        <w:t xml:space="preserve"> represented on the </w:t>
      </w:r>
      <w:r w:rsidR="005E626F">
        <w:t>P</w:t>
      </w:r>
      <w:r>
        <w:t xml:space="preserve">anel not be prevented from </w:t>
      </w:r>
      <w:r w:rsidR="002918A2">
        <w:t>proposing amendments to the Code</w:t>
      </w:r>
      <w:r>
        <w:t>.</w:t>
      </w:r>
    </w:p>
    <w:p w14:paraId="074FDDE8" w14:textId="77777777" w:rsidR="002B13EB" w:rsidRPr="0010205D" w:rsidRDefault="002B13EB" w:rsidP="002B13EB">
      <w:pPr>
        <w:pStyle w:val="ListBullet"/>
      </w:pPr>
      <w:r>
        <w:rPr>
          <w:b/>
        </w:rPr>
        <w:t xml:space="preserve">AER’s </w:t>
      </w:r>
      <w:r w:rsidR="00493EFA">
        <w:rPr>
          <w:b/>
        </w:rPr>
        <w:t>ability to initiate changes to the Code</w:t>
      </w:r>
      <w:r w:rsidR="005E626F">
        <w:rPr>
          <w:b/>
        </w:rPr>
        <w:t>:</w:t>
      </w:r>
      <w:r>
        <w:rPr>
          <w:b/>
        </w:rPr>
        <w:t xml:space="preserve"> </w:t>
      </w:r>
      <w:r w:rsidR="005E626F">
        <w:t xml:space="preserve">Stakeholders raised the following points about the AER’s ability to </w:t>
      </w:r>
      <w:r w:rsidRPr="0010205D">
        <w:t xml:space="preserve">initiate Code </w:t>
      </w:r>
      <w:r>
        <w:t>amendment</w:t>
      </w:r>
      <w:r w:rsidRPr="0010205D">
        <w:t>s:</w:t>
      </w:r>
    </w:p>
    <w:p w14:paraId="1E00D2F8" w14:textId="77777777" w:rsidR="002B13EB" w:rsidRPr="003B691E" w:rsidRDefault="002B13EB" w:rsidP="002B13EB">
      <w:pPr>
        <w:pStyle w:val="ListBullet2"/>
      </w:pPr>
      <w:r w:rsidRPr="0010205D">
        <w:t xml:space="preserve">Many stakeholders were supportive </w:t>
      </w:r>
      <w:r>
        <w:t xml:space="preserve">of </w:t>
      </w:r>
      <w:r w:rsidRPr="0010205D">
        <w:t xml:space="preserve">the AER having this role, provided that </w:t>
      </w:r>
      <w:r w:rsidR="002918A2">
        <w:t xml:space="preserve">it undertakes </w:t>
      </w:r>
      <w:r w:rsidRPr="0010205D">
        <w:t>appropriate</w:t>
      </w:r>
      <w:r w:rsidRPr="003B691E">
        <w:t xml:space="preserve"> consultation</w:t>
      </w:r>
      <w:r w:rsidR="005E626F">
        <w:t xml:space="preserve"> with </w:t>
      </w:r>
      <w:r w:rsidR="002918A2">
        <w:t>stakeholders</w:t>
      </w:r>
      <w:r>
        <w:t>.</w:t>
      </w:r>
    </w:p>
    <w:p w14:paraId="20AA24B9" w14:textId="23004405" w:rsidR="002B13EB" w:rsidRDefault="002B13EB" w:rsidP="002B13EB">
      <w:pPr>
        <w:pStyle w:val="ListBullet2"/>
      </w:pPr>
      <w:r w:rsidRPr="003B691E">
        <w:t>Several stakeholders noted that the AER having the role was a departure from existing practice</w:t>
      </w:r>
      <w:r>
        <w:t>. The ECA</w:t>
      </w:r>
      <w:r w:rsidR="00841997">
        <w:t>, for example,</w:t>
      </w:r>
      <w:r>
        <w:t xml:space="preserve"> suggested that consideration </w:t>
      </w:r>
      <w:r w:rsidRPr="00C1695C">
        <w:t xml:space="preserve">be given to how the integrity and credibility of </w:t>
      </w:r>
      <w:r w:rsidR="00493EFA">
        <w:t xml:space="preserve">this role and the AER’s </w:t>
      </w:r>
      <w:r w:rsidRPr="00C1695C">
        <w:t>role</w:t>
      </w:r>
      <w:r>
        <w:t xml:space="preserve"> </w:t>
      </w:r>
      <w:r w:rsidR="00493EFA">
        <w:t xml:space="preserve">as regulator could </w:t>
      </w:r>
      <w:r w:rsidRPr="00C1695C">
        <w:t>be supported and maintained</w:t>
      </w:r>
      <w:r>
        <w:t>.</w:t>
      </w:r>
    </w:p>
    <w:p w14:paraId="3A4FA2A0" w14:textId="07ACC64C" w:rsidR="002B13EB" w:rsidRPr="003B691E" w:rsidRDefault="002918A2" w:rsidP="002B13EB">
      <w:pPr>
        <w:pStyle w:val="ListBullet2"/>
      </w:pPr>
      <w:r>
        <w:t xml:space="preserve">Palisade thought that a better solution to the concerns that have been raised about the </w:t>
      </w:r>
      <w:r w:rsidR="00841997">
        <w:t xml:space="preserve">potential for the </w:t>
      </w:r>
      <w:r>
        <w:t xml:space="preserve">Panel </w:t>
      </w:r>
      <w:r w:rsidR="00841997">
        <w:t xml:space="preserve">to reach an impasse </w:t>
      </w:r>
      <w:r>
        <w:t xml:space="preserve">was to require a </w:t>
      </w:r>
      <w:r w:rsidR="002B13EB">
        <w:t xml:space="preserve">review </w:t>
      </w:r>
      <w:r>
        <w:t xml:space="preserve">of the effectiveness of the Panel to be carried out </w:t>
      </w:r>
      <w:r w:rsidR="002B13EB">
        <w:t xml:space="preserve">after a </w:t>
      </w:r>
      <w:r w:rsidR="00841997">
        <w:t xml:space="preserve">defined </w:t>
      </w:r>
      <w:r w:rsidR="002B13EB">
        <w:t xml:space="preserve">period. </w:t>
      </w:r>
    </w:p>
    <w:p w14:paraId="1C1EB0AA" w14:textId="77777777" w:rsidR="002B13EB" w:rsidRDefault="002B13EB" w:rsidP="002B13EB">
      <w:pPr>
        <w:pStyle w:val="BodyText"/>
      </w:pPr>
      <w:r>
        <w:t>The GMRG’s response to stakeholder feedback on the governance model for the Code is provided in the table below.</w:t>
      </w:r>
    </w:p>
    <w:p w14:paraId="606C29BF" w14:textId="77777777" w:rsidR="002B13EB" w:rsidRDefault="002B13EB" w:rsidP="005E626F">
      <w:pPr>
        <w:pStyle w:val="Caption"/>
        <w:spacing w:after="0"/>
      </w:pPr>
      <w:r w:rsidRPr="002918A2">
        <w:t xml:space="preserve">Table </w:t>
      </w:r>
      <w:r w:rsidRPr="002918A2">
        <w:rPr>
          <w:noProof/>
        </w:rPr>
        <w:t>A</w:t>
      </w:r>
      <w:r w:rsidRPr="002918A2">
        <w:t>.</w:t>
      </w:r>
      <w:r w:rsidR="009257EC" w:rsidRPr="002918A2">
        <w:rPr>
          <w:noProof/>
        </w:rPr>
        <w:t>2</w:t>
      </w:r>
      <w:r w:rsidRPr="002918A2">
        <w:t>: Response to issues raised on the governance model for the Code</w:t>
      </w:r>
      <w:r>
        <w:t xml:space="preserve"> </w:t>
      </w:r>
    </w:p>
    <w:tbl>
      <w:tblPr>
        <w:tblStyle w:val="TableGrid"/>
        <w:tblW w:w="0" w:type="auto"/>
        <w:tblLook w:val="04A0" w:firstRow="1" w:lastRow="0" w:firstColumn="1" w:lastColumn="0" w:noHBand="0" w:noVBand="1"/>
        <w:tblCaption w:val="Response to issues raised about arbitration"/>
        <w:tblDescription w:val="Table of stakeholder concerns and GMRG response"/>
      </w:tblPr>
      <w:tblGrid>
        <w:gridCol w:w="2525"/>
        <w:gridCol w:w="6263"/>
      </w:tblGrid>
      <w:tr w:rsidR="002B13EB" w:rsidRPr="00992062" w14:paraId="3E5CFFA2" w14:textId="77777777" w:rsidTr="002B13EB">
        <w:trPr>
          <w:cnfStyle w:val="100000000000" w:firstRow="1" w:lastRow="0" w:firstColumn="0" w:lastColumn="0" w:oddVBand="0" w:evenVBand="0" w:oddHBand="0" w:evenHBand="0" w:firstRowFirstColumn="0" w:firstRowLastColumn="0" w:lastRowFirstColumn="0" w:lastRowLastColumn="0"/>
          <w:trHeight w:val="153"/>
          <w:tblHeader/>
        </w:trPr>
        <w:tc>
          <w:tcPr>
            <w:tcW w:w="2525" w:type="dxa"/>
            <w:shd w:val="clear" w:color="auto" w:fill="0099CC"/>
          </w:tcPr>
          <w:p w14:paraId="308A62DF" w14:textId="77777777" w:rsidR="002B13EB" w:rsidRPr="00992062" w:rsidRDefault="002B13EB" w:rsidP="002B13EB">
            <w:pPr>
              <w:pStyle w:val="BodyText"/>
              <w:keepNext/>
              <w:spacing w:before="60" w:after="60"/>
              <w:rPr>
                <w:rFonts w:cs="Arial"/>
                <w:szCs w:val="18"/>
              </w:rPr>
            </w:pPr>
            <w:r w:rsidRPr="00992062">
              <w:rPr>
                <w:rFonts w:cs="Arial"/>
                <w:szCs w:val="18"/>
              </w:rPr>
              <w:t>Stakeholder concern</w:t>
            </w:r>
          </w:p>
        </w:tc>
        <w:tc>
          <w:tcPr>
            <w:tcW w:w="6263" w:type="dxa"/>
            <w:shd w:val="clear" w:color="auto" w:fill="0099CC"/>
          </w:tcPr>
          <w:p w14:paraId="47FFE0B9" w14:textId="77777777" w:rsidR="002B13EB" w:rsidRPr="00992062" w:rsidRDefault="002B13EB" w:rsidP="002B13EB">
            <w:pPr>
              <w:pStyle w:val="BodyText"/>
              <w:keepNext/>
              <w:spacing w:before="60" w:after="60"/>
              <w:rPr>
                <w:rFonts w:cs="Arial"/>
                <w:szCs w:val="18"/>
              </w:rPr>
            </w:pPr>
            <w:r w:rsidRPr="00992062">
              <w:rPr>
                <w:rFonts w:cs="Arial"/>
                <w:szCs w:val="18"/>
              </w:rPr>
              <w:t>GMRG response</w:t>
            </w:r>
          </w:p>
        </w:tc>
      </w:tr>
      <w:tr w:rsidR="002B13EB" w:rsidRPr="00992062" w14:paraId="633A9E5D" w14:textId="77777777" w:rsidTr="002B13EB">
        <w:tc>
          <w:tcPr>
            <w:tcW w:w="2525" w:type="dxa"/>
            <w:vAlign w:val="center"/>
          </w:tcPr>
          <w:p w14:paraId="10C7CF4F" w14:textId="77777777" w:rsidR="002B13EB" w:rsidRPr="00992062" w:rsidRDefault="002B13EB" w:rsidP="002B13EB">
            <w:pPr>
              <w:pStyle w:val="BodyText"/>
              <w:spacing w:before="60" w:after="60"/>
              <w:rPr>
                <w:rFonts w:cs="Arial"/>
              </w:rPr>
            </w:pPr>
            <w:r>
              <w:rPr>
                <w:rFonts w:cs="Arial"/>
              </w:rPr>
              <w:t>AEMO</w:t>
            </w:r>
            <w:r w:rsidR="00493EFA">
              <w:rPr>
                <w:rFonts w:cs="Arial"/>
              </w:rPr>
              <w:t>’s role on the Panel</w:t>
            </w:r>
          </w:p>
        </w:tc>
        <w:tc>
          <w:tcPr>
            <w:tcW w:w="6263" w:type="dxa"/>
            <w:vAlign w:val="center"/>
          </w:tcPr>
          <w:p w14:paraId="5C68BAED" w14:textId="77777777" w:rsidR="002B13EB" w:rsidRDefault="00493EFA" w:rsidP="002B13EB">
            <w:pPr>
              <w:pStyle w:val="BodyText"/>
              <w:spacing w:before="60" w:after="60"/>
              <w:rPr>
                <w:rFonts w:cs="Arial"/>
              </w:rPr>
            </w:pPr>
            <w:r>
              <w:rPr>
                <w:rFonts w:cs="Arial"/>
              </w:rPr>
              <w:t xml:space="preserve">The </w:t>
            </w:r>
            <w:r w:rsidR="002B13EB">
              <w:rPr>
                <w:rFonts w:cs="Arial"/>
              </w:rPr>
              <w:t xml:space="preserve">GMRG </w:t>
            </w:r>
            <w:r>
              <w:rPr>
                <w:rFonts w:cs="Arial"/>
              </w:rPr>
              <w:t xml:space="preserve">has considered the concerns raised by stakeholders about AEMO’s role on the Panel, but is of the view that </w:t>
            </w:r>
            <w:r w:rsidR="002B13EB">
              <w:rPr>
                <w:rFonts w:cs="Arial"/>
              </w:rPr>
              <w:t xml:space="preserve">the AEMO </w:t>
            </w:r>
            <w:r>
              <w:rPr>
                <w:rFonts w:cs="Arial"/>
              </w:rPr>
              <w:t>P</w:t>
            </w:r>
            <w:r w:rsidR="002B13EB">
              <w:rPr>
                <w:rFonts w:cs="Arial"/>
              </w:rPr>
              <w:t xml:space="preserve">anel member should </w:t>
            </w:r>
            <w:r w:rsidR="00222597">
              <w:rPr>
                <w:rFonts w:cs="Arial"/>
              </w:rPr>
              <w:t xml:space="preserve">be the chair and </w:t>
            </w:r>
            <w:r w:rsidR="002B13EB">
              <w:rPr>
                <w:rFonts w:cs="Arial"/>
              </w:rPr>
              <w:t xml:space="preserve">have a casting vote at </w:t>
            </w:r>
            <w:r w:rsidR="00660816">
              <w:rPr>
                <w:rFonts w:cs="Arial"/>
              </w:rPr>
              <w:t>Panel</w:t>
            </w:r>
            <w:r w:rsidR="002B13EB">
              <w:rPr>
                <w:rFonts w:cs="Arial"/>
              </w:rPr>
              <w:t xml:space="preserve"> meetings because: </w:t>
            </w:r>
          </w:p>
          <w:p w14:paraId="38D7FCE6" w14:textId="77777777" w:rsidR="002B13EB" w:rsidRDefault="00222597" w:rsidP="002B13EB">
            <w:pPr>
              <w:pStyle w:val="TableBullet1"/>
            </w:pPr>
            <w:r>
              <w:t>a</w:t>
            </w:r>
            <w:r w:rsidR="00493EFA">
              <w:t xml:space="preserve">s </w:t>
            </w:r>
            <w:r w:rsidR="002B13EB" w:rsidRPr="00D35086">
              <w:t>operator</w:t>
            </w:r>
            <w:r w:rsidR="00493EFA">
              <w:t xml:space="preserve"> of the capacity trading platform and day-ahead auction</w:t>
            </w:r>
            <w:r w:rsidR="002B13EB" w:rsidRPr="00D35086">
              <w:t xml:space="preserve">, </w:t>
            </w:r>
            <w:r w:rsidR="00493EFA">
              <w:t xml:space="preserve">AEMO </w:t>
            </w:r>
            <w:r w:rsidR="002B13EB" w:rsidRPr="00D35086">
              <w:t xml:space="preserve">will have </w:t>
            </w:r>
            <w:r>
              <w:t xml:space="preserve">greater </w:t>
            </w:r>
            <w:r w:rsidR="002B13EB" w:rsidRPr="00D35086">
              <w:t xml:space="preserve">insights into issues </w:t>
            </w:r>
            <w:r>
              <w:t xml:space="preserve">associated with the Code than other </w:t>
            </w:r>
            <w:r w:rsidR="00660816">
              <w:t>Panel</w:t>
            </w:r>
            <w:r>
              <w:t xml:space="preserve"> members</w:t>
            </w:r>
            <w:r w:rsidR="002B13EB" w:rsidRPr="00D35086">
              <w:t xml:space="preserve">; </w:t>
            </w:r>
            <w:r w:rsidR="002B13EB">
              <w:t>and</w:t>
            </w:r>
          </w:p>
          <w:p w14:paraId="510DE57C" w14:textId="77777777" w:rsidR="002B13EB" w:rsidRPr="00D35086" w:rsidRDefault="00222597" w:rsidP="002B13EB">
            <w:pPr>
              <w:pStyle w:val="TableBullet1"/>
            </w:pPr>
            <w:r>
              <w:t xml:space="preserve">AEMO will be </w:t>
            </w:r>
            <w:r w:rsidR="002B13EB" w:rsidRPr="00D35086">
              <w:t xml:space="preserve">better placed than other </w:t>
            </w:r>
            <w:r w:rsidR="00660816">
              <w:t>Panel</w:t>
            </w:r>
            <w:r w:rsidR="002B13EB">
              <w:t xml:space="preserve"> </w:t>
            </w:r>
            <w:r w:rsidR="002B13EB" w:rsidRPr="00D35086">
              <w:t>members</w:t>
            </w:r>
            <w:r w:rsidR="002B13EB">
              <w:t xml:space="preserve"> (who will represent either shippers</w:t>
            </w:r>
            <w:r w:rsidR="002B13EB" w:rsidRPr="00D35086">
              <w:t xml:space="preserve"> </w:t>
            </w:r>
            <w:r w:rsidR="002B13EB">
              <w:t xml:space="preserve">or </w:t>
            </w:r>
            <w:r>
              <w:t xml:space="preserve">transportation </w:t>
            </w:r>
            <w:r w:rsidR="002B13EB">
              <w:t xml:space="preserve">service providers) </w:t>
            </w:r>
            <w:r w:rsidR="002B13EB" w:rsidRPr="00D35086">
              <w:t>to provide a</w:t>
            </w:r>
            <w:r>
              <w:t>n unbiased</w:t>
            </w:r>
            <w:r w:rsidR="002B13EB" w:rsidRPr="00D35086">
              <w:t xml:space="preserve"> assessment of </w:t>
            </w:r>
            <w:r w:rsidR="002B13EB">
              <w:t>Code amendment proposal</w:t>
            </w:r>
            <w:r w:rsidR="002B13EB" w:rsidRPr="00D35086">
              <w:t xml:space="preserve">s. </w:t>
            </w:r>
          </w:p>
          <w:p w14:paraId="1D29AF66" w14:textId="77777777" w:rsidR="002B13EB" w:rsidRPr="00992062" w:rsidRDefault="00222597" w:rsidP="002B13EB">
            <w:pPr>
              <w:pStyle w:val="BodyText"/>
              <w:spacing w:before="60" w:after="60"/>
              <w:rPr>
                <w:rFonts w:cs="Arial"/>
              </w:rPr>
            </w:pPr>
            <w:r>
              <w:rPr>
                <w:rFonts w:cs="Arial"/>
              </w:rPr>
              <w:t xml:space="preserve">The GMRG also has concerns with </w:t>
            </w:r>
            <w:r w:rsidR="002918A2">
              <w:rPr>
                <w:rFonts w:cs="Arial"/>
              </w:rPr>
              <w:t xml:space="preserve">APA’s </w:t>
            </w:r>
            <w:r>
              <w:rPr>
                <w:rFonts w:cs="Arial"/>
              </w:rPr>
              <w:t xml:space="preserve">proposal to rotate the </w:t>
            </w:r>
            <w:r w:rsidR="002B13EB">
              <w:rPr>
                <w:rFonts w:cs="Arial"/>
              </w:rPr>
              <w:t>role of chair</w:t>
            </w:r>
            <w:r>
              <w:rPr>
                <w:rFonts w:cs="Arial"/>
              </w:rPr>
              <w:t xml:space="preserve">, because </w:t>
            </w:r>
            <w:r w:rsidR="002B13EB">
              <w:rPr>
                <w:rFonts w:cs="Arial"/>
              </w:rPr>
              <w:t>this could potentially be gamed by shippers or service providers.</w:t>
            </w:r>
            <w:r w:rsidR="002918A2">
              <w:rPr>
                <w:rStyle w:val="FootnoteReference"/>
                <w:rFonts w:cs="Arial"/>
              </w:rPr>
              <w:footnoteReference w:id="411"/>
            </w:r>
            <w:r w:rsidR="002B13EB">
              <w:rPr>
                <w:rFonts w:cs="Arial"/>
              </w:rPr>
              <w:t xml:space="preserve"> </w:t>
            </w:r>
          </w:p>
        </w:tc>
      </w:tr>
      <w:tr w:rsidR="002B13EB" w:rsidRPr="00992062" w14:paraId="4849C7CA" w14:textId="77777777" w:rsidTr="002B13EB">
        <w:trPr>
          <w:cnfStyle w:val="000000010000" w:firstRow="0" w:lastRow="0" w:firstColumn="0" w:lastColumn="0" w:oddVBand="0" w:evenVBand="0" w:oddHBand="0" w:evenHBand="1" w:firstRowFirstColumn="0" w:firstRowLastColumn="0" w:lastRowFirstColumn="0" w:lastRowLastColumn="0"/>
        </w:trPr>
        <w:tc>
          <w:tcPr>
            <w:tcW w:w="2525" w:type="dxa"/>
            <w:tcBorders>
              <w:bottom w:val="single" w:sz="4" w:space="0" w:color="auto"/>
            </w:tcBorders>
            <w:vAlign w:val="center"/>
          </w:tcPr>
          <w:p w14:paraId="5ADA4C78" w14:textId="77777777" w:rsidR="002B13EB" w:rsidRPr="00992062" w:rsidRDefault="002B13EB" w:rsidP="002B13EB">
            <w:pPr>
              <w:rPr>
                <w:rFonts w:cs="Arial"/>
                <w:szCs w:val="20"/>
                <w:lang w:val="en-US" w:eastAsia="en-US"/>
              </w:rPr>
            </w:pPr>
            <w:r>
              <w:rPr>
                <w:rFonts w:cs="Arial"/>
                <w:szCs w:val="20"/>
                <w:lang w:val="en-US" w:eastAsia="en-US"/>
              </w:rPr>
              <w:t xml:space="preserve">Quorum at </w:t>
            </w:r>
            <w:r w:rsidR="00222597">
              <w:rPr>
                <w:rFonts w:cs="Arial"/>
                <w:szCs w:val="20"/>
                <w:lang w:val="en-US" w:eastAsia="en-US"/>
              </w:rPr>
              <w:t>P</w:t>
            </w:r>
            <w:r>
              <w:rPr>
                <w:rFonts w:cs="Arial"/>
                <w:szCs w:val="20"/>
                <w:lang w:val="en-US" w:eastAsia="en-US"/>
              </w:rPr>
              <w:t>anel meetings</w:t>
            </w:r>
          </w:p>
        </w:tc>
        <w:tc>
          <w:tcPr>
            <w:tcW w:w="6263" w:type="dxa"/>
            <w:tcBorders>
              <w:bottom w:val="single" w:sz="4" w:space="0" w:color="auto"/>
            </w:tcBorders>
            <w:vAlign w:val="center"/>
          </w:tcPr>
          <w:p w14:paraId="03B48D03" w14:textId="77777777" w:rsidR="002B13EB" w:rsidRDefault="002B13EB" w:rsidP="002B13EB">
            <w:pPr>
              <w:pStyle w:val="BodyText"/>
              <w:spacing w:before="60" w:after="60"/>
              <w:rPr>
                <w:rFonts w:cs="Arial"/>
              </w:rPr>
            </w:pPr>
            <w:r>
              <w:rPr>
                <w:rFonts w:cs="Arial"/>
              </w:rPr>
              <w:t xml:space="preserve">The GMRG </w:t>
            </w:r>
            <w:r w:rsidR="00222597">
              <w:rPr>
                <w:rFonts w:cs="Arial"/>
              </w:rPr>
              <w:t xml:space="preserve">has considered the issues raised by APA about </w:t>
            </w:r>
            <w:r>
              <w:rPr>
                <w:rFonts w:cs="Arial"/>
              </w:rPr>
              <w:t xml:space="preserve">the quorum </w:t>
            </w:r>
            <w:r w:rsidR="00222597">
              <w:rPr>
                <w:rFonts w:cs="Arial"/>
              </w:rPr>
              <w:t xml:space="preserve">requirements, but is concerned that the change proposed by APA could be exploited by </w:t>
            </w:r>
            <w:r w:rsidR="002918A2">
              <w:rPr>
                <w:rFonts w:cs="Arial"/>
              </w:rPr>
              <w:t>P</w:t>
            </w:r>
            <w:r w:rsidR="00222597">
              <w:rPr>
                <w:rFonts w:cs="Arial"/>
              </w:rPr>
              <w:t>anel members</w:t>
            </w:r>
            <w:r w:rsidR="00660816">
              <w:rPr>
                <w:rFonts w:cs="Arial"/>
              </w:rPr>
              <w:t xml:space="preserve"> and </w:t>
            </w:r>
            <w:r w:rsidR="00222597">
              <w:rPr>
                <w:rFonts w:cs="Arial"/>
              </w:rPr>
              <w:t xml:space="preserve">undermine </w:t>
            </w:r>
            <w:r>
              <w:rPr>
                <w:rFonts w:cs="Arial"/>
              </w:rPr>
              <w:t xml:space="preserve">the </w:t>
            </w:r>
            <w:r w:rsidR="00222597">
              <w:rPr>
                <w:rFonts w:cs="Arial"/>
              </w:rPr>
              <w:t>P</w:t>
            </w:r>
            <w:r>
              <w:rPr>
                <w:rFonts w:cs="Arial"/>
              </w:rPr>
              <w:t>anel’s ability to assess Code amendment proposals.</w:t>
            </w:r>
            <w:r w:rsidR="00660816">
              <w:rPr>
                <w:rStyle w:val="FootnoteReference"/>
                <w:rFonts w:cs="Arial"/>
              </w:rPr>
              <w:footnoteReference w:id="412"/>
            </w:r>
          </w:p>
          <w:p w14:paraId="40925168" w14:textId="77777777" w:rsidR="002B13EB" w:rsidRPr="00992062" w:rsidRDefault="002B13EB" w:rsidP="002B13EB">
            <w:pPr>
              <w:pStyle w:val="BodyText"/>
              <w:spacing w:before="60" w:after="60"/>
              <w:rPr>
                <w:rFonts w:cs="Arial"/>
              </w:rPr>
            </w:pPr>
            <w:r>
              <w:rPr>
                <w:rFonts w:cs="Arial"/>
              </w:rPr>
              <w:t xml:space="preserve">The </w:t>
            </w:r>
            <w:r w:rsidR="00222597">
              <w:rPr>
                <w:rFonts w:cs="Arial"/>
              </w:rPr>
              <w:t>other point to note about the quorum requirements is that P</w:t>
            </w:r>
            <w:r>
              <w:rPr>
                <w:rFonts w:cs="Arial"/>
              </w:rPr>
              <w:t xml:space="preserve">anel members will have the right to appoint alternates. Panel members </w:t>
            </w:r>
            <w:r w:rsidR="00222597">
              <w:rPr>
                <w:rFonts w:cs="Arial"/>
              </w:rPr>
              <w:t xml:space="preserve">can therefore </w:t>
            </w:r>
            <w:r>
              <w:rPr>
                <w:rFonts w:cs="Arial"/>
              </w:rPr>
              <w:t xml:space="preserve">exercise that right </w:t>
            </w:r>
            <w:r w:rsidR="00222597">
              <w:rPr>
                <w:rFonts w:cs="Arial"/>
              </w:rPr>
              <w:t xml:space="preserve">if </w:t>
            </w:r>
            <w:r>
              <w:rPr>
                <w:rFonts w:cs="Arial"/>
              </w:rPr>
              <w:t xml:space="preserve">they </w:t>
            </w:r>
            <w:r w:rsidR="00222597">
              <w:rPr>
                <w:rFonts w:cs="Arial"/>
              </w:rPr>
              <w:t xml:space="preserve">are </w:t>
            </w:r>
            <w:r>
              <w:rPr>
                <w:rFonts w:cs="Arial"/>
              </w:rPr>
              <w:t xml:space="preserve">unable to attend or vote on a matter at </w:t>
            </w:r>
            <w:r w:rsidR="00222597">
              <w:rPr>
                <w:rFonts w:cs="Arial"/>
              </w:rPr>
              <w:t xml:space="preserve">a </w:t>
            </w:r>
            <w:r>
              <w:rPr>
                <w:rFonts w:cs="Arial"/>
              </w:rPr>
              <w:t>meeting.</w:t>
            </w:r>
            <w:r w:rsidR="00222597">
              <w:rPr>
                <w:rFonts w:cs="Arial"/>
              </w:rPr>
              <w:t xml:space="preserve"> </w:t>
            </w:r>
          </w:p>
        </w:tc>
      </w:tr>
      <w:tr w:rsidR="002B13EB" w:rsidRPr="00992062" w14:paraId="360A20A0" w14:textId="77777777" w:rsidTr="002B13EB">
        <w:tc>
          <w:tcPr>
            <w:tcW w:w="2525" w:type="dxa"/>
            <w:tcBorders>
              <w:bottom w:val="single" w:sz="4" w:space="0" w:color="auto"/>
            </w:tcBorders>
            <w:shd w:val="clear" w:color="auto" w:fill="auto"/>
            <w:vAlign w:val="center"/>
          </w:tcPr>
          <w:p w14:paraId="51827563" w14:textId="77777777" w:rsidR="002B13EB" w:rsidRPr="00992062" w:rsidRDefault="002B13EB" w:rsidP="002B13EB">
            <w:pPr>
              <w:pStyle w:val="BodyText"/>
              <w:spacing w:before="60" w:after="60"/>
              <w:rPr>
                <w:rFonts w:cs="Arial"/>
              </w:rPr>
            </w:pPr>
            <w:r>
              <w:rPr>
                <w:rFonts w:cs="Arial"/>
              </w:rPr>
              <w:t>Panel composition</w:t>
            </w:r>
          </w:p>
        </w:tc>
        <w:tc>
          <w:tcPr>
            <w:tcW w:w="6263" w:type="dxa"/>
            <w:tcBorders>
              <w:bottom w:val="single" w:sz="4" w:space="0" w:color="auto"/>
            </w:tcBorders>
            <w:shd w:val="clear" w:color="auto" w:fill="auto"/>
            <w:vAlign w:val="center"/>
          </w:tcPr>
          <w:p w14:paraId="14DE2B1D" w14:textId="77777777" w:rsidR="002B13EB" w:rsidRDefault="002B13EB" w:rsidP="00660816">
            <w:pPr>
              <w:pStyle w:val="BodyText"/>
              <w:spacing w:before="60" w:after="60"/>
            </w:pPr>
            <w:r w:rsidRPr="00F0672F">
              <w:rPr>
                <w:rFonts w:cs="Arial"/>
              </w:rPr>
              <w:t xml:space="preserve">The GMRG </w:t>
            </w:r>
            <w:r w:rsidR="00222597">
              <w:rPr>
                <w:rFonts w:cs="Arial"/>
              </w:rPr>
              <w:t xml:space="preserve">has </w:t>
            </w:r>
            <w:r w:rsidR="00660816">
              <w:rPr>
                <w:rFonts w:cs="Arial"/>
              </w:rPr>
              <w:t>considered</w:t>
            </w:r>
            <w:r w:rsidR="00222597">
              <w:rPr>
                <w:rFonts w:cs="Arial"/>
              </w:rPr>
              <w:t xml:space="preserve"> </w:t>
            </w:r>
            <w:r w:rsidR="00660816">
              <w:rPr>
                <w:rFonts w:cs="Arial"/>
              </w:rPr>
              <w:t xml:space="preserve">the proposal by some </w:t>
            </w:r>
            <w:r w:rsidR="00222597">
              <w:rPr>
                <w:rFonts w:cs="Arial"/>
              </w:rPr>
              <w:t xml:space="preserve">stakeholders </w:t>
            </w:r>
            <w:r w:rsidR="00660816">
              <w:rPr>
                <w:rFonts w:cs="Arial"/>
              </w:rPr>
              <w:t xml:space="preserve">to increase the number shipper representatives, but is concerned that an imbalance in the representation of transportation service providers and shippers could </w:t>
            </w:r>
            <w:r w:rsidR="00A93AAF">
              <w:t xml:space="preserve">adversely affect the development of the </w:t>
            </w:r>
            <w:r w:rsidRPr="00F0672F">
              <w:t xml:space="preserve">Code </w:t>
            </w:r>
            <w:r w:rsidR="00A93AAF">
              <w:t>and parties to standard OTSAs over time</w:t>
            </w:r>
            <w:r w:rsidRPr="002751D6">
              <w:t xml:space="preserve">. </w:t>
            </w:r>
          </w:p>
          <w:p w14:paraId="2A28AA57" w14:textId="77777777" w:rsidR="002B13EB" w:rsidRDefault="00660816" w:rsidP="00660816">
            <w:pPr>
              <w:pStyle w:val="BodyText"/>
              <w:spacing w:before="60" w:after="60"/>
            </w:pPr>
            <w:r>
              <w:t xml:space="preserve">The GMRG has also considered the suggestion by some stakeholders that the rules require representation from </w:t>
            </w:r>
            <w:r w:rsidR="00213A09">
              <w:t xml:space="preserve">specific groups on the Panel (e.g. </w:t>
            </w:r>
            <w:r w:rsidR="002B13EB" w:rsidRPr="002751D6">
              <w:lastRenderedPageBreak/>
              <w:t>small shippers</w:t>
            </w:r>
            <w:r w:rsidR="00213A09">
              <w:t xml:space="preserve">, shippers using different infrastructure and </w:t>
            </w:r>
            <w:r w:rsidR="002B13EB">
              <w:t>small and large service providers</w:t>
            </w:r>
            <w:r w:rsidR="00213A09">
              <w:t>)</w:t>
            </w:r>
            <w:r>
              <w:t xml:space="preserve">. The </w:t>
            </w:r>
            <w:r w:rsidR="002B13EB">
              <w:t>GMRG is</w:t>
            </w:r>
            <w:r>
              <w:t>, however,</w:t>
            </w:r>
            <w:r w:rsidR="002B13EB">
              <w:t xml:space="preserve"> reluctant to hard-wire these requirements into the </w:t>
            </w:r>
            <w:r w:rsidR="00213A09">
              <w:t>NGR because it may</w:t>
            </w:r>
            <w:r w:rsidR="002B13EB">
              <w:t xml:space="preserve"> introduc</w:t>
            </w:r>
            <w:r w:rsidR="00213A09">
              <w:t>e</w:t>
            </w:r>
            <w:r w:rsidR="002B13EB">
              <w:t xml:space="preserve"> unnecessary complexity into the election procedures. </w:t>
            </w:r>
          </w:p>
          <w:p w14:paraId="751B84EC" w14:textId="77777777" w:rsidR="002B13EB" w:rsidRDefault="002B13EB" w:rsidP="00A93AAF">
            <w:pPr>
              <w:pStyle w:val="BodyText"/>
              <w:spacing w:before="60" w:after="60"/>
              <w:rPr>
                <w:rFonts w:cs="Arial"/>
              </w:rPr>
            </w:pPr>
            <w:r>
              <w:rPr>
                <w:rFonts w:cs="Arial"/>
              </w:rPr>
              <w:t xml:space="preserve">As to the ECA’s suggestion that a consumer representative be </w:t>
            </w:r>
            <w:r w:rsidR="00A93AAF">
              <w:rPr>
                <w:rFonts w:cs="Arial"/>
              </w:rPr>
              <w:t xml:space="preserve">included on </w:t>
            </w:r>
            <w:r>
              <w:rPr>
                <w:rFonts w:cs="Arial"/>
              </w:rPr>
              <w:t xml:space="preserve">the </w:t>
            </w:r>
            <w:r w:rsidR="00A93AAF">
              <w:rPr>
                <w:rFonts w:cs="Arial"/>
              </w:rPr>
              <w:t>P</w:t>
            </w:r>
            <w:r>
              <w:rPr>
                <w:rFonts w:cs="Arial"/>
              </w:rPr>
              <w:t xml:space="preserve">anel, </w:t>
            </w:r>
            <w:r w:rsidR="00A93AAF">
              <w:rPr>
                <w:rFonts w:cs="Arial"/>
              </w:rPr>
              <w:t xml:space="preserve">the </w:t>
            </w:r>
            <w:r>
              <w:rPr>
                <w:rFonts w:cs="Arial"/>
              </w:rPr>
              <w:t xml:space="preserve">GMRG </w:t>
            </w:r>
            <w:r w:rsidR="00A93AAF">
              <w:rPr>
                <w:rFonts w:cs="Arial"/>
              </w:rPr>
              <w:t>is of the view that a more effective way for consumers’ views to be taken into account is to:</w:t>
            </w:r>
          </w:p>
          <w:p w14:paraId="3BC75037" w14:textId="77777777" w:rsidR="002B13EB" w:rsidRDefault="00A93AAF" w:rsidP="002B13EB">
            <w:pPr>
              <w:pStyle w:val="TableBullet1"/>
            </w:pPr>
            <w:r>
              <w:t>allow the P</w:t>
            </w:r>
            <w:r w:rsidR="002B13EB">
              <w:t>anel and the AER to seek the advice of consumer representative</w:t>
            </w:r>
            <w:r>
              <w:t>s</w:t>
            </w:r>
            <w:r w:rsidR="002B13EB">
              <w:t>; and</w:t>
            </w:r>
          </w:p>
          <w:p w14:paraId="685D18D5" w14:textId="77777777" w:rsidR="002B13EB" w:rsidRDefault="002B13EB" w:rsidP="002B13EB">
            <w:pPr>
              <w:pStyle w:val="TableBullet1"/>
            </w:pPr>
            <w:r>
              <w:t xml:space="preserve">require the </w:t>
            </w:r>
            <w:r w:rsidR="00A93AAF">
              <w:t>P</w:t>
            </w:r>
            <w:r>
              <w:t xml:space="preserve">anel and the AER to invite submissions on Code amendment proposals from interested parties, </w:t>
            </w:r>
            <w:r w:rsidR="00A93AAF">
              <w:t xml:space="preserve">including </w:t>
            </w:r>
            <w:r>
              <w:t>consumer representatives.</w:t>
            </w:r>
            <w:r>
              <w:rPr>
                <w:rStyle w:val="FootnoteReference"/>
              </w:rPr>
              <w:footnoteReference w:id="413"/>
            </w:r>
          </w:p>
          <w:p w14:paraId="568E8ED3" w14:textId="1E006B55" w:rsidR="00A93AAF" w:rsidRPr="00992062" w:rsidRDefault="00142468" w:rsidP="00A93AAF">
            <w:pPr>
              <w:pStyle w:val="TableBullet1"/>
              <w:numPr>
                <w:ilvl w:val="0"/>
                <w:numId w:val="0"/>
              </w:numPr>
              <w:ind w:left="85"/>
            </w:pPr>
            <w:r>
              <w:t xml:space="preserve">This is now reflected </w:t>
            </w:r>
            <w:r w:rsidR="00660816">
              <w:t>in Part 24 of the NGR</w:t>
            </w:r>
            <w:r w:rsidR="00A93AAF">
              <w:t>.</w:t>
            </w:r>
          </w:p>
        </w:tc>
      </w:tr>
      <w:tr w:rsidR="002B13EB" w:rsidRPr="00992062" w14:paraId="67A877ED" w14:textId="77777777" w:rsidTr="002B13EB">
        <w:trPr>
          <w:cnfStyle w:val="000000010000" w:firstRow="0" w:lastRow="0" w:firstColumn="0" w:lastColumn="0" w:oddVBand="0" w:evenVBand="0" w:oddHBand="0" w:evenHBand="1" w:firstRowFirstColumn="0" w:firstRowLastColumn="0" w:lastRowFirstColumn="0" w:lastRowLastColumn="0"/>
        </w:trPr>
        <w:tc>
          <w:tcPr>
            <w:tcW w:w="2525" w:type="dxa"/>
            <w:tcBorders>
              <w:bottom w:val="single" w:sz="4" w:space="0" w:color="auto"/>
            </w:tcBorders>
          </w:tcPr>
          <w:p w14:paraId="3D926A26" w14:textId="77777777" w:rsidR="002B13EB" w:rsidRPr="00992062" w:rsidRDefault="002B13EB" w:rsidP="002B13EB">
            <w:pPr>
              <w:pStyle w:val="BodyText"/>
              <w:spacing w:before="60" w:after="60"/>
              <w:rPr>
                <w:rFonts w:cs="Arial"/>
              </w:rPr>
            </w:pPr>
            <w:r>
              <w:rPr>
                <w:rFonts w:cs="Arial"/>
              </w:rPr>
              <w:lastRenderedPageBreak/>
              <w:t xml:space="preserve">Conflict </w:t>
            </w:r>
            <w:r w:rsidR="007014E7">
              <w:rPr>
                <w:rFonts w:cs="Arial"/>
              </w:rPr>
              <w:t xml:space="preserve">of interest </w:t>
            </w:r>
            <w:r>
              <w:rPr>
                <w:rFonts w:cs="Arial"/>
              </w:rPr>
              <w:t>provisions</w:t>
            </w:r>
          </w:p>
        </w:tc>
        <w:tc>
          <w:tcPr>
            <w:tcW w:w="6263" w:type="dxa"/>
            <w:tcBorders>
              <w:bottom w:val="single" w:sz="4" w:space="0" w:color="auto"/>
            </w:tcBorders>
          </w:tcPr>
          <w:p w14:paraId="34FF0D58" w14:textId="77777777" w:rsidR="007014E7" w:rsidRDefault="002B13EB" w:rsidP="007014E7">
            <w:pPr>
              <w:pStyle w:val="BodyText"/>
              <w:spacing w:before="60" w:after="60"/>
              <w:rPr>
                <w:rFonts w:cs="Arial"/>
              </w:rPr>
            </w:pPr>
            <w:r>
              <w:rPr>
                <w:rFonts w:cs="Arial"/>
              </w:rPr>
              <w:t xml:space="preserve">The GMRG </w:t>
            </w:r>
            <w:r w:rsidR="00660816">
              <w:rPr>
                <w:rFonts w:cs="Arial"/>
              </w:rPr>
              <w:t xml:space="preserve">agrees with </w:t>
            </w:r>
            <w:r w:rsidR="00A93AAF">
              <w:rPr>
                <w:rFonts w:cs="Arial"/>
              </w:rPr>
              <w:t xml:space="preserve">APA </w:t>
            </w:r>
            <w:r w:rsidR="00660816">
              <w:rPr>
                <w:rFonts w:cs="Arial"/>
              </w:rPr>
              <w:t xml:space="preserve">that </w:t>
            </w:r>
            <w:r w:rsidR="00A93AAF">
              <w:rPr>
                <w:rFonts w:cs="Arial"/>
              </w:rPr>
              <w:t xml:space="preserve">the conflict </w:t>
            </w:r>
            <w:r w:rsidR="007014E7">
              <w:rPr>
                <w:rFonts w:cs="Arial"/>
              </w:rPr>
              <w:t xml:space="preserve">of interest </w:t>
            </w:r>
            <w:r w:rsidR="00A93AAF">
              <w:rPr>
                <w:rFonts w:cs="Arial"/>
              </w:rPr>
              <w:t>provisions should be clarified</w:t>
            </w:r>
            <w:r w:rsidR="00660816">
              <w:rPr>
                <w:rFonts w:cs="Arial"/>
              </w:rPr>
              <w:t xml:space="preserve"> and also </w:t>
            </w:r>
            <w:r w:rsidR="007014E7">
              <w:rPr>
                <w:rFonts w:cs="Arial"/>
              </w:rPr>
              <w:t>agrees</w:t>
            </w:r>
            <w:r w:rsidR="00A93AAF">
              <w:rPr>
                <w:rFonts w:cs="Arial"/>
              </w:rPr>
              <w:t xml:space="preserve"> that </w:t>
            </w:r>
            <w:r w:rsidR="007014E7">
              <w:rPr>
                <w:rFonts w:cs="Arial"/>
              </w:rPr>
              <w:t>there should not be a blanket prohibition on either:</w:t>
            </w:r>
          </w:p>
          <w:p w14:paraId="37AFC522" w14:textId="77777777" w:rsidR="007014E7" w:rsidRPr="007014E7" w:rsidRDefault="007014E7" w:rsidP="007014E7">
            <w:pPr>
              <w:pStyle w:val="TableBullet1"/>
              <w:rPr>
                <w:b/>
              </w:rPr>
            </w:pPr>
            <w:r>
              <w:t xml:space="preserve">an organisation that has a member on the Panel from putting forward amendment proposals; </w:t>
            </w:r>
            <w:r w:rsidR="00660816">
              <w:t>or</w:t>
            </w:r>
          </w:p>
          <w:p w14:paraId="6D2A6CDC" w14:textId="77777777" w:rsidR="007014E7" w:rsidRPr="007014E7" w:rsidRDefault="007014E7" w:rsidP="007014E7">
            <w:pPr>
              <w:pStyle w:val="TableBullet1"/>
              <w:rPr>
                <w:rFonts w:cs="Times New Roman"/>
                <w:b/>
              </w:rPr>
            </w:pPr>
            <w:r w:rsidRPr="007014E7">
              <w:t xml:space="preserve">a </w:t>
            </w:r>
            <w:r w:rsidR="00A93AAF" w:rsidRPr="007014E7">
              <w:t>P</w:t>
            </w:r>
            <w:r w:rsidR="002B13EB" w:rsidRPr="007014E7">
              <w:t xml:space="preserve">anel member voting on </w:t>
            </w:r>
            <w:r w:rsidR="00A93AAF" w:rsidRPr="007014E7">
              <w:t xml:space="preserve">a proposal </w:t>
            </w:r>
            <w:r>
              <w:t>made by the organisation it is employed by or who nominated it to the Panel.</w:t>
            </w:r>
          </w:p>
          <w:p w14:paraId="0F9F2704" w14:textId="77777777" w:rsidR="002B13EB" w:rsidRPr="007014E7" w:rsidRDefault="007014E7" w:rsidP="007014E7">
            <w:pPr>
              <w:pStyle w:val="TableBodyText"/>
              <w:rPr>
                <w:rFonts w:cs="Times New Roman"/>
                <w:b/>
              </w:rPr>
            </w:pPr>
            <w:r>
              <w:t xml:space="preserve">In the GMRG’s view, any potential conflicts arising from these types of situations should be </w:t>
            </w:r>
            <w:r w:rsidRPr="007014E7">
              <w:t>assessed on a case-by-case basis</w:t>
            </w:r>
            <w:r>
              <w:t xml:space="preserve"> by the Panel</w:t>
            </w:r>
            <w:r w:rsidR="00660816">
              <w:t>,</w:t>
            </w:r>
            <w:r>
              <w:t xml:space="preserve"> having regard to </w:t>
            </w:r>
            <w:r w:rsidR="00660816">
              <w:t xml:space="preserve">the materiality of the </w:t>
            </w:r>
            <w:r>
              <w:t>conflict of interest</w:t>
            </w:r>
            <w:r w:rsidR="002B13EB" w:rsidRPr="007014E7">
              <w:t xml:space="preserve">. </w:t>
            </w:r>
            <w:r w:rsidR="00660816">
              <w:t xml:space="preserve">Part 24 of the NGR has </w:t>
            </w:r>
            <w:r w:rsidRPr="007014E7">
              <w:t xml:space="preserve">been amended accordingly. </w:t>
            </w:r>
          </w:p>
        </w:tc>
      </w:tr>
      <w:tr w:rsidR="002B13EB" w:rsidRPr="00992062" w14:paraId="4B3F110C" w14:textId="77777777" w:rsidTr="002B13EB">
        <w:tc>
          <w:tcPr>
            <w:tcW w:w="2525" w:type="dxa"/>
            <w:shd w:val="clear" w:color="auto" w:fill="auto"/>
          </w:tcPr>
          <w:p w14:paraId="450DB722" w14:textId="77777777" w:rsidR="002B13EB" w:rsidRPr="00992062" w:rsidRDefault="002B13EB" w:rsidP="002B13EB">
            <w:pPr>
              <w:pStyle w:val="BodyText"/>
              <w:spacing w:before="60" w:after="60"/>
              <w:rPr>
                <w:rFonts w:cs="Arial"/>
              </w:rPr>
            </w:pPr>
            <w:r>
              <w:rPr>
                <w:rFonts w:cs="Arial"/>
              </w:rPr>
              <w:t xml:space="preserve">AER’s </w:t>
            </w:r>
            <w:r w:rsidR="007014E7">
              <w:rPr>
                <w:rFonts w:cs="Arial"/>
              </w:rPr>
              <w:t xml:space="preserve">ability to initiate changes to the Code </w:t>
            </w:r>
          </w:p>
        </w:tc>
        <w:tc>
          <w:tcPr>
            <w:tcW w:w="6263" w:type="dxa"/>
            <w:shd w:val="clear" w:color="auto" w:fill="auto"/>
          </w:tcPr>
          <w:p w14:paraId="3A376CBE" w14:textId="77777777" w:rsidR="00660816" w:rsidRDefault="007014E7" w:rsidP="004A5CB9">
            <w:pPr>
              <w:pStyle w:val="BodyText"/>
              <w:spacing w:before="60" w:after="60"/>
              <w:rPr>
                <w:lang w:eastAsia="fr-CA"/>
              </w:rPr>
            </w:pPr>
            <w:r>
              <w:rPr>
                <w:rFonts w:cs="Arial"/>
              </w:rPr>
              <w:t xml:space="preserve">The </w:t>
            </w:r>
            <w:r w:rsidR="002B13EB">
              <w:rPr>
                <w:rFonts w:cs="Arial"/>
              </w:rPr>
              <w:t xml:space="preserve">GMRG </w:t>
            </w:r>
            <w:r>
              <w:rPr>
                <w:rFonts w:cs="Arial"/>
              </w:rPr>
              <w:t xml:space="preserve">has </w:t>
            </w:r>
            <w:r w:rsidR="004A5CB9">
              <w:rPr>
                <w:rFonts w:cs="Arial"/>
              </w:rPr>
              <w:t>considered</w:t>
            </w:r>
            <w:r>
              <w:rPr>
                <w:rFonts w:cs="Arial"/>
              </w:rPr>
              <w:t xml:space="preserve"> the </w:t>
            </w:r>
            <w:r w:rsidR="00660816">
              <w:rPr>
                <w:rFonts w:cs="Arial"/>
              </w:rPr>
              <w:t xml:space="preserve">concerns </w:t>
            </w:r>
            <w:r>
              <w:rPr>
                <w:rFonts w:cs="Arial"/>
              </w:rPr>
              <w:t xml:space="preserve">raised by </w:t>
            </w:r>
            <w:r w:rsidR="00660816">
              <w:rPr>
                <w:rFonts w:cs="Arial"/>
              </w:rPr>
              <w:t xml:space="preserve">some </w:t>
            </w:r>
            <w:r>
              <w:rPr>
                <w:rFonts w:cs="Arial"/>
              </w:rPr>
              <w:t xml:space="preserve">stakeholders about the AER’s </w:t>
            </w:r>
            <w:r w:rsidR="00660816">
              <w:rPr>
                <w:rFonts w:cs="Arial"/>
              </w:rPr>
              <w:t>role in amending the Code</w:t>
            </w:r>
            <w:r w:rsidR="004A5CB9">
              <w:rPr>
                <w:rFonts w:cs="Arial"/>
              </w:rPr>
              <w:t xml:space="preserve">, but </w:t>
            </w:r>
            <w:r w:rsidR="00660816">
              <w:rPr>
                <w:rFonts w:cs="Arial"/>
              </w:rPr>
              <w:t xml:space="preserve">remains </w:t>
            </w:r>
            <w:r w:rsidR="004A5CB9">
              <w:rPr>
                <w:rFonts w:cs="Arial"/>
              </w:rPr>
              <w:t xml:space="preserve">of the view that the AER should have </w:t>
            </w:r>
            <w:r w:rsidR="00660816">
              <w:rPr>
                <w:rFonts w:cs="Arial"/>
              </w:rPr>
              <w:t xml:space="preserve">a </w:t>
            </w:r>
            <w:r w:rsidR="004A5CB9">
              <w:rPr>
                <w:rFonts w:cs="Arial"/>
              </w:rPr>
              <w:t xml:space="preserve">power to </w:t>
            </w:r>
            <w:r w:rsidR="004A5CB9" w:rsidRPr="003C2D90">
              <w:rPr>
                <w:lang w:eastAsia="fr-CA"/>
              </w:rPr>
              <w:t>amend the Code on its own initiative</w:t>
            </w:r>
            <w:r w:rsidR="004A5CB9">
              <w:rPr>
                <w:lang w:eastAsia="fr-CA"/>
              </w:rPr>
              <w:t>, following consultation with the Panel, AEMO and other interested parties</w:t>
            </w:r>
            <w:r w:rsidR="004A5CB9" w:rsidRPr="00793CE9">
              <w:rPr>
                <w:lang w:eastAsia="fr-CA"/>
              </w:rPr>
              <w:t>.</w:t>
            </w:r>
            <w:r w:rsidR="004A5CB9">
              <w:rPr>
                <w:lang w:eastAsia="fr-CA"/>
              </w:rPr>
              <w:t xml:space="preserve"> </w:t>
            </w:r>
          </w:p>
          <w:p w14:paraId="7B53833F" w14:textId="77777777" w:rsidR="00660816" w:rsidRDefault="00660816" w:rsidP="00660816">
            <w:pPr>
              <w:pStyle w:val="BodyText"/>
              <w:spacing w:before="60" w:after="60"/>
              <w:rPr>
                <w:rFonts w:cs="Arial"/>
              </w:rPr>
            </w:pPr>
            <w:r w:rsidRPr="00D41757">
              <w:rPr>
                <w:szCs w:val="18"/>
              </w:rPr>
              <w:t xml:space="preserve">In the GMRG’s view, </w:t>
            </w:r>
            <w:r>
              <w:rPr>
                <w:szCs w:val="18"/>
              </w:rPr>
              <w:t xml:space="preserve">according the AER this role </w:t>
            </w:r>
            <w:r w:rsidRPr="00D41757">
              <w:rPr>
                <w:szCs w:val="18"/>
              </w:rPr>
              <w:t xml:space="preserve">provides an appropriate balance between ensuring that </w:t>
            </w:r>
            <w:r>
              <w:rPr>
                <w:szCs w:val="18"/>
              </w:rPr>
              <w:t>market participants</w:t>
            </w:r>
            <w:r w:rsidRPr="00D41757">
              <w:rPr>
                <w:szCs w:val="18"/>
              </w:rPr>
              <w:t>, through the Panel, ha</w:t>
            </w:r>
            <w:r>
              <w:rPr>
                <w:szCs w:val="18"/>
              </w:rPr>
              <w:t>ve</w:t>
            </w:r>
            <w:r w:rsidRPr="00D41757">
              <w:rPr>
                <w:szCs w:val="18"/>
              </w:rPr>
              <w:t xml:space="preserve"> a central role in the development of the Code, and allowing the AER, as regulator, to ensure the Code is operating as intended</w:t>
            </w:r>
            <w:r>
              <w:rPr>
                <w:szCs w:val="18"/>
              </w:rPr>
              <w:t xml:space="preserve"> and continues to promote the NGO and the Code objective.</w:t>
            </w:r>
          </w:p>
          <w:p w14:paraId="4DDEFA01" w14:textId="18F87846" w:rsidR="004A5CB9" w:rsidRDefault="00660816" w:rsidP="004A5CB9">
            <w:pPr>
              <w:pStyle w:val="BodyText"/>
              <w:spacing w:before="60" w:after="60"/>
              <w:rPr>
                <w:szCs w:val="18"/>
              </w:rPr>
            </w:pPr>
            <w:r>
              <w:rPr>
                <w:szCs w:val="18"/>
              </w:rPr>
              <w:t xml:space="preserve">According </w:t>
            </w:r>
            <w:r w:rsidR="004A5CB9">
              <w:rPr>
                <w:szCs w:val="18"/>
              </w:rPr>
              <w:t xml:space="preserve">the AER </w:t>
            </w:r>
            <w:r>
              <w:rPr>
                <w:szCs w:val="18"/>
              </w:rPr>
              <w:t xml:space="preserve">this power </w:t>
            </w:r>
            <w:r w:rsidR="004A5CB9" w:rsidRPr="00462811">
              <w:rPr>
                <w:szCs w:val="18"/>
              </w:rPr>
              <w:t xml:space="preserve">is not intended to circumvent the Panel. Rather, it is to provide the Panel with an additional incentive to work effectively </w:t>
            </w:r>
            <w:r w:rsidR="004A5CB9">
              <w:rPr>
                <w:szCs w:val="18"/>
              </w:rPr>
              <w:t xml:space="preserve">and ensure that any impasse does not adversely affect the development of the secondary capacity market and auction. As a number of stakeholders pointed out, it will be important that, when exercising this power, </w:t>
            </w:r>
            <w:r w:rsidR="00142468">
              <w:rPr>
                <w:szCs w:val="18"/>
              </w:rPr>
              <w:t xml:space="preserve">that </w:t>
            </w:r>
            <w:r w:rsidR="004A5CB9">
              <w:rPr>
                <w:szCs w:val="18"/>
              </w:rPr>
              <w:t xml:space="preserve">the AER consult with stakeholders. Part 24 of the NGR provides for this to occur and also allows the AER to seek the advice of consumer and industry representatives, where appropriate. </w:t>
            </w:r>
          </w:p>
          <w:p w14:paraId="7E29C469" w14:textId="77777777" w:rsidR="002B13EB" w:rsidRDefault="004A5CB9" w:rsidP="002B13EB">
            <w:pPr>
              <w:pStyle w:val="BodyText"/>
              <w:spacing w:before="60" w:after="60"/>
              <w:rPr>
                <w:rFonts w:cs="Arial"/>
              </w:rPr>
            </w:pPr>
            <w:r>
              <w:rPr>
                <w:rFonts w:cs="Arial"/>
              </w:rPr>
              <w:t xml:space="preserve">As to the </w:t>
            </w:r>
            <w:r w:rsidR="002B13EB">
              <w:rPr>
                <w:rFonts w:cs="Arial"/>
              </w:rPr>
              <w:t xml:space="preserve">concerns </w:t>
            </w:r>
            <w:r>
              <w:rPr>
                <w:rFonts w:cs="Arial"/>
              </w:rPr>
              <w:t xml:space="preserve">that have been raised </w:t>
            </w:r>
            <w:r w:rsidR="002B13EB">
              <w:rPr>
                <w:rFonts w:cs="Arial"/>
              </w:rPr>
              <w:t xml:space="preserve">about this being an unusual role for the AER and </w:t>
            </w:r>
            <w:r>
              <w:rPr>
                <w:rFonts w:cs="Arial"/>
              </w:rPr>
              <w:t xml:space="preserve">potential conflicts with its role in monitoring </w:t>
            </w:r>
            <w:r w:rsidR="002B13EB">
              <w:rPr>
                <w:rFonts w:cs="Arial"/>
              </w:rPr>
              <w:t xml:space="preserve">compliance, the GMRG </w:t>
            </w:r>
            <w:r w:rsidR="00660816">
              <w:rPr>
                <w:rFonts w:cs="Arial"/>
              </w:rPr>
              <w:t xml:space="preserve">does not consider this to be a significant issue and </w:t>
            </w:r>
            <w:r w:rsidR="002B13EB">
              <w:rPr>
                <w:rFonts w:cs="Arial"/>
              </w:rPr>
              <w:t>notes that:</w:t>
            </w:r>
          </w:p>
          <w:p w14:paraId="2360FE5C" w14:textId="77777777" w:rsidR="002B13EB" w:rsidRDefault="002B13EB" w:rsidP="002B13EB">
            <w:pPr>
              <w:pStyle w:val="TableBullet1"/>
            </w:pPr>
            <w:r>
              <w:t xml:space="preserve">it is unlikely that the AER will regularly initiate Code amendment proposals; and </w:t>
            </w:r>
          </w:p>
          <w:p w14:paraId="5B0ADFF8" w14:textId="77777777" w:rsidR="002B13EB" w:rsidRPr="00992062" w:rsidRDefault="002B13EB" w:rsidP="002B13EB">
            <w:pPr>
              <w:pStyle w:val="TableBullet1"/>
            </w:pPr>
            <w:r>
              <w:t>it is open to the AER to implement appropriate protocols to minimise any actual or perceived conflicts.</w:t>
            </w:r>
          </w:p>
        </w:tc>
      </w:tr>
    </w:tbl>
    <w:p w14:paraId="4D7DDF09" w14:textId="77777777" w:rsidR="002B13EB" w:rsidRPr="005F6769" w:rsidRDefault="002B13EB" w:rsidP="002B13EB">
      <w:pPr>
        <w:pStyle w:val="AppendixHeading3"/>
        <w:rPr>
          <w:color w:val="0099CC"/>
        </w:rPr>
      </w:pPr>
      <w:r w:rsidRPr="005F6769">
        <w:rPr>
          <w:color w:val="0099CC"/>
        </w:rPr>
        <w:lastRenderedPageBreak/>
        <w:t>Measures to overcome contractual limitations</w:t>
      </w:r>
    </w:p>
    <w:p w14:paraId="70E248C3" w14:textId="77777777" w:rsidR="002B13EB" w:rsidRPr="00FA20CE" w:rsidRDefault="001C7840" w:rsidP="002B13EB">
      <w:pPr>
        <w:pStyle w:val="BodyText"/>
      </w:pPr>
      <w:r>
        <w:t>S</w:t>
      </w:r>
      <w:r w:rsidR="008D1E3B" w:rsidRPr="00FA20CE">
        <w:t>takeholders were generally supportive of</w:t>
      </w:r>
      <w:r w:rsidR="008D1E3B">
        <w:t xml:space="preserve"> the GMRG’s proposal to allow </w:t>
      </w:r>
      <w:r w:rsidR="005049A2">
        <w:t xml:space="preserve">existing </w:t>
      </w:r>
      <w:r w:rsidR="008D1E3B">
        <w:t xml:space="preserve">facility agreements to </w:t>
      </w:r>
      <w:r>
        <w:t xml:space="preserve">be amended on a case-by-case basis to </w:t>
      </w:r>
      <w:r w:rsidR="008D1E3B">
        <w:t>accommodate capacity trading</w:t>
      </w:r>
      <w:r w:rsidR="005049A2">
        <w:t>,</w:t>
      </w:r>
      <w:r w:rsidR="008D1E3B">
        <w:t xml:space="preserve"> rather than amending those agreements through legislative provisions or standard-form agreements. </w:t>
      </w:r>
      <w:r w:rsidR="002B13EB" w:rsidRPr="00FF0C08">
        <w:t xml:space="preserve">Stakeholders </w:t>
      </w:r>
      <w:r w:rsidR="005049A2">
        <w:t xml:space="preserve">did, however, </w:t>
      </w:r>
      <w:r w:rsidR="002B13EB" w:rsidRPr="00FF0C08">
        <w:t xml:space="preserve">raise the following </w:t>
      </w:r>
      <w:r>
        <w:t>issues</w:t>
      </w:r>
      <w:r w:rsidR="002B13EB" w:rsidRPr="00FA20CE">
        <w:t>:</w:t>
      </w:r>
    </w:p>
    <w:p w14:paraId="340E61A5" w14:textId="77777777" w:rsidR="002B13EB" w:rsidRPr="00FA20CE" w:rsidRDefault="002B13EB" w:rsidP="002B13EB">
      <w:pPr>
        <w:pStyle w:val="ListBullet"/>
      </w:pPr>
      <w:r>
        <w:rPr>
          <w:b/>
        </w:rPr>
        <w:t>Offer period for amending agreements</w:t>
      </w:r>
      <w:r w:rsidR="005049A2">
        <w:rPr>
          <w:b/>
        </w:rPr>
        <w:t>:</w:t>
      </w:r>
      <w:r>
        <w:rPr>
          <w:b/>
        </w:rPr>
        <w:t xml:space="preserve"> </w:t>
      </w:r>
      <w:r>
        <w:t>S</w:t>
      </w:r>
      <w:r w:rsidRPr="00FA20CE">
        <w:t xml:space="preserve">everal </w:t>
      </w:r>
      <w:r>
        <w:t>service providers</w:t>
      </w:r>
      <w:r w:rsidRPr="00FA20CE">
        <w:t xml:space="preserve"> </w:t>
      </w:r>
      <w:r>
        <w:t>indicated that they needed longer than 30-day</w:t>
      </w:r>
      <w:r w:rsidR="004A5CB9">
        <w:t>s</w:t>
      </w:r>
      <w:r>
        <w:t xml:space="preserve"> to prepare an amending agreement following receipt of a shipper’s request</w:t>
      </w:r>
      <w:r w:rsidR="001C7840">
        <w:t xml:space="preserve">. APA also suggested that additional time be provided for a transitional period </w:t>
      </w:r>
      <w:r>
        <w:t xml:space="preserve">following </w:t>
      </w:r>
      <w:r w:rsidR="001C7840">
        <w:t xml:space="preserve">the </w:t>
      </w:r>
      <w:r>
        <w:t xml:space="preserve">implementation of the </w:t>
      </w:r>
      <w:r w:rsidR="004A5CB9">
        <w:t>reforms</w:t>
      </w:r>
      <w:r w:rsidR="005E626F">
        <w:t>,</w:t>
      </w:r>
      <w:r>
        <w:t xml:space="preserve"> </w:t>
      </w:r>
      <w:r w:rsidR="001C7840">
        <w:t xml:space="preserve">because </w:t>
      </w:r>
      <w:r>
        <w:t xml:space="preserve">they </w:t>
      </w:r>
      <w:r w:rsidR="004A5CB9">
        <w:t>expected to</w:t>
      </w:r>
      <w:r>
        <w:t xml:space="preserve"> receive numerous requests to amend agreements</w:t>
      </w:r>
      <w:r w:rsidR="001C7840">
        <w:t xml:space="preserve"> during this period</w:t>
      </w:r>
      <w:r>
        <w:t xml:space="preserve">. </w:t>
      </w:r>
    </w:p>
    <w:p w14:paraId="26C4B3B6" w14:textId="77777777" w:rsidR="002B13EB" w:rsidRDefault="005049A2" w:rsidP="002815CD">
      <w:pPr>
        <w:pStyle w:val="ListBullet"/>
      </w:pPr>
      <w:r w:rsidRPr="005049A2">
        <w:rPr>
          <w:b/>
        </w:rPr>
        <w:t>Principles for terms to facilitate sale by operational transfer:</w:t>
      </w:r>
      <w:r w:rsidR="002B13EB" w:rsidRPr="005049A2">
        <w:rPr>
          <w:b/>
        </w:rPr>
        <w:t xml:space="preserve"> </w:t>
      </w:r>
      <w:r w:rsidR="002B13EB">
        <w:t xml:space="preserve">Service providers </w:t>
      </w:r>
      <w:r>
        <w:t xml:space="preserve">expressed some </w:t>
      </w:r>
      <w:r w:rsidR="002B13EB" w:rsidRPr="00FA20CE">
        <w:t xml:space="preserve">concerns about </w:t>
      </w:r>
      <w:r>
        <w:t xml:space="preserve">the requirement to </w:t>
      </w:r>
      <w:r w:rsidR="005E626F">
        <w:t>unbundle services</w:t>
      </w:r>
      <w:r>
        <w:t xml:space="preserve">, with a number noting that </w:t>
      </w:r>
      <w:r w:rsidR="001C7840">
        <w:t xml:space="preserve">the draft rules appeared to suggest that they would be required </w:t>
      </w:r>
      <w:r w:rsidR="002B13EB">
        <w:t xml:space="preserve">to </w:t>
      </w:r>
      <w:r>
        <w:t xml:space="preserve">unbundle </w:t>
      </w:r>
      <w:r w:rsidR="002B13EB">
        <w:t xml:space="preserve">services that were ordinarily sold on a bundled basis </w:t>
      </w:r>
      <w:r w:rsidR="008D1E3B">
        <w:t xml:space="preserve">even where it was not </w:t>
      </w:r>
      <w:r w:rsidR="002B13EB">
        <w:t>operationally feasible to do so</w:t>
      </w:r>
      <w:r w:rsidR="00D950E2">
        <w:t>.</w:t>
      </w:r>
      <w:r>
        <w:t xml:space="preserve"> Service providers also raised concerns about the requirement to permit trades of </w:t>
      </w:r>
      <w:r w:rsidR="002B13EB">
        <w:t xml:space="preserve">hourly </w:t>
      </w:r>
      <w:r>
        <w:t xml:space="preserve">entitlements, </w:t>
      </w:r>
      <w:r w:rsidR="002B13EB">
        <w:t xml:space="preserve">imbalance </w:t>
      </w:r>
      <w:r w:rsidR="002B13EB" w:rsidRPr="00FA20CE">
        <w:t>entitlements</w:t>
      </w:r>
      <w:r w:rsidR="002B13EB">
        <w:t xml:space="preserve"> </w:t>
      </w:r>
      <w:r>
        <w:t>and other contractual entitlements</w:t>
      </w:r>
      <w:r w:rsidR="002B13EB">
        <w:t>.</w:t>
      </w:r>
    </w:p>
    <w:p w14:paraId="632F0C81" w14:textId="77777777" w:rsidR="002B13EB" w:rsidRPr="00D910D4" w:rsidRDefault="002B13EB" w:rsidP="002815CD">
      <w:pPr>
        <w:pStyle w:val="ListBullet"/>
      </w:pPr>
      <w:r w:rsidRPr="008D1E3B">
        <w:rPr>
          <w:b/>
        </w:rPr>
        <w:t>Change</w:t>
      </w:r>
      <w:r w:rsidR="008D1E3B" w:rsidRPr="008D1E3B">
        <w:rPr>
          <w:b/>
        </w:rPr>
        <w:t>s</w:t>
      </w:r>
      <w:r w:rsidRPr="008D1E3B">
        <w:rPr>
          <w:b/>
        </w:rPr>
        <w:t xml:space="preserve"> in receipt and delivery points</w:t>
      </w:r>
      <w:r w:rsidR="005049A2">
        <w:t>:</w:t>
      </w:r>
      <w:r w:rsidRPr="0010017E">
        <w:t xml:space="preserve"> </w:t>
      </w:r>
      <w:r w:rsidR="005049A2">
        <w:t>A number of</w:t>
      </w:r>
      <w:r w:rsidRPr="0010017E">
        <w:t xml:space="preserve"> service providers </w:t>
      </w:r>
      <w:r w:rsidR="005049A2">
        <w:t xml:space="preserve">were of the view that the </w:t>
      </w:r>
      <w:r w:rsidR="008D1E3B">
        <w:t xml:space="preserve">draft provisions in the </w:t>
      </w:r>
      <w:r w:rsidR="00D950E2">
        <w:t xml:space="preserve">NGR </w:t>
      </w:r>
      <w:r w:rsidRPr="0010017E">
        <w:t xml:space="preserve">did not provide adequate financial protection for </w:t>
      </w:r>
      <w:r w:rsidR="005049A2">
        <w:t xml:space="preserve">the </w:t>
      </w:r>
      <w:r w:rsidRPr="0010017E">
        <w:t xml:space="preserve">costs they would incur and lost income that they would suffer, as a consequence of </w:t>
      </w:r>
      <w:r w:rsidR="005049A2">
        <w:t xml:space="preserve">allowing </w:t>
      </w:r>
      <w:r w:rsidRPr="0010017E">
        <w:t xml:space="preserve">shippers to change receipt and delivery points. </w:t>
      </w:r>
      <w:r w:rsidR="008D1E3B">
        <w:t xml:space="preserve">A number of </w:t>
      </w:r>
      <w:r w:rsidRPr="00D910D4">
        <w:t xml:space="preserve">stakeholders </w:t>
      </w:r>
      <w:r w:rsidR="008D1E3B">
        <w:t xml:space="preserve">also thought the </w:t>
      </w:r>
      <w:r w:rsidR="00D950E2">
        <w:t xml:space="preserve">reference to </w:t>
      </w:r>
      <w:r w:rsidRPr="00D910D4">
        <w:t xml:space="preserve">3 January 2018 </w:t>
      </w:r>
      <w:r>
        <w:t xml:space="preserve">in </w:t>
      </w:r>
      <w:r w:rsidR="00D950E2">
        <w:t xml:space="preserve">this </w:t>
      </w:r>
      <w:r w:rsidR="005049A2">
        <w:t xml:space="preserve">section </w:t>
      </w:r>
      <w:r w:rsidR="00D950E2">
        <w:t xml:space="preserve">of the draft </w:t>
      </w:r>
      <w:r w:rsidR="001C7840">
        <w:t xml:space="preserve">rules </w:t>
      </w:r>
      <w:r w:rsidRPr="00D910D4">
        <w:t xml:space="preserve">was unreasonable and should be </w:t>
      </w:r>
      <w:r w:rsidR="005049A2">
        <w:t xml:space="preserve">based on </w:t>
      </w:r>
      <w:r w:rsidRPr="00D910D4">
        <w:t>the date the reforms take effect</w:t>
      </w:r>
      <w:r>
        <w:t>.</w:t>
      </w:r>
    </w:p>
    <w:p w14:paraId="1EFFA455" w14:textId="77777777" w:rsidR="002B13EB" w:rsidRDefault="00D950E2" w:rsidP="002B13EB">
      <w:pPr>
        <w:pStyle w:val="BodyText"/>
      </w:pPr>
      <w:r>
        <w:t xml:space="preserve">The </w:t>
      </w:r>
      <w:r w:rsidR="002B13EB">
        <w:t>GMRG’s response</w:t>
      </w:r>
      <w:r w:rsidR="008D1E3B">
        <w:t>s</w:t>
      </w:r>
      <w:r w:rsidR="002B13EB">
        <w:t xml:space="preserve"> to </w:t>
      </w:r>
      <w:r w:rsidR="008D1E3B">
        <w:t xml:space="preserve">this </w:t>
      </w:r>
      <w:r w:rsidR="002B13EB">
        <w:t xml:space="preserve">feedback </w:t>
      </w:r>
      <w:r w:rsidR="008D1E3B">
        <w:t xml:space="preserve">are set </w:t>
      </w:r>
      <w:r w:rsidR="002B13EB">
        <w:t>out in the table below.</w:t>
      </w:r>
    </w:p>
    <w:p w14:paraId="505000D5" w14:textId="77777777" w:rsidR="002B13EB" w:rsidRDefault="002B13EB" w:rsidP="00456349">
      <w:pPr>
        <w:pStyle w:val="Caption"/>
        <w:spacing w:after="0"/>
      </w:pPr>
      <w:r w:rsidRPr="00AD4A23">
        <w:lastRenderedPageBreak/>
        <w:t xml:space="preserve">Table </w:t>
      </w:r>
      <w:r w:rsidRPr="00AD4A23">
        <w:rPr>
          <w:noProof/>
        </w:rPr>
        <w:t>A</w:t>
      </w:r>
      <w:r w:rsidRPr="00AD4A23">
        <w:t>.</w:t>
      </w:r>
      <w:r w:rsidR="009257EC" w:rsidRPr="00AD4A23">
        <w:rPr>
          <w:noProof/>
        </w:rPr>
        <w:t>3</w:t>
      </w:r>
      <w:r w:rsidRPr="00AD4A23">
        <w:t xml:space="preserve">: Response to issues raised </w:t>
      </w:r>
      <w:r w:rsidR="008D1E3B" w:rsidRPr="00AD4A23">
        <w:t xml:space="preserve">regarding </w:t>
      </w:r>
      <w:r w:rsidRPr="00AD4A23">
        <w:t>contractual limitations</w:t>
      </w:r>
      <w:r>
        <w:t xml:space="preserve"> </w:t>
      </w:r>
    </w:p>
    <w:tbl>
      <w:tblPr>
        <w:tblStyle w:val="TableGrid"/>
        <w:tblW w:w="9072" w:type="dxa"/>
        <w:tblLook w:val="04A0" w:firstRow="1" w:lastRow="0" w:firstColumn="1" w:lastColumn="0" w:noHBand="0" w:noVBand="1"/>
        <w:tblCaption w:val="Response to issues raised about arbitration"/>
        <w:tblDescription w:val="Table of stakeholder concerns and GMRG response"/>
      </w:tblPr>
      <w:tblGrid>
        <w:gridCol w:w="2525"/>
        <w:gridCol w:w="6547"/>
      </w:tblGrid>
      <w:tr w:rsidR="002B13EB" w:rsidRPr="00992062" w14:paraId="2B22AFD9" w14:textId="77777777" w:rsidTr="00456349">
        <w:trPr>
          <w:cnfStyle w:val="100000000000" w:firstRow="1" w:lastRow="0" w:firstColumn="0" w:lastColumn="0" w:oddVBand="0" w:evenVBand="0" w:oddHBand="0" w:evenHBand="0" w:firstRowFirstColumn="0" w:firstRowLastColumn="0" w:lastRowFirstColumn="0" w:lastRowLastColumn="0"/>
          <w:trHeight w:val="153"/>
          <w:tblHeader/>
        </w:trPr>
        <w:tc>
          <w:tcPr>
            <w:tcW w:w="2525" w:type="dxa"/>
            <w:shd w:val="clear" w:color="auto" w:fill="0099CC"/>
          </w:tcPr>
          <w:p w14:paraId="283CCECF" w14:textId="77777777" w:rsidR="002B13EB" w:rsidRPr="00992062" w:rsidRDefault="002B13EB" w:rsidP="00456349">
            <w:pPr>
              <w:pStyle w:val="BodyText"/>
              <w:keepNext/>
              <w:spacing w:before="60" w:after="60"/>
              <w:rPr>
                <w:rFonts w:cs="Arial"/>
                <w:szCs w:val="18"/>
              </w:rPr>
            </w:pPr>
            <w:r w:rsidRPr="00992062">
              <w:rPr>
                <w:rFonts w:cs="Arial"/>
                <w:szCs w:val="18"/>
              </w:rPr>
              <w:t>Stakeholder concern</w:t>
            </w:r>
          </w:p>
        </w:tc>
        <w:tc>
          <w:tcPr>
            <w:tcW w:w="6547" w:type="dxa"/>
            <w:shd w:val="clear" w:color="auto" w:fill="0099CC"/>
          </w:tcPr>
          <w:p w14:paraId="3FD6B676" w14:textId="77777777" w:rsidR="002B13EB" w:rsidRPr="00992062" w:rsidRDefault="002B13EB" w:rsidP="00456349">
            <w:pPr>
              <w:pStyle w:val="BodyText"/>
              <w:keepNext/>
              <w:spacing w:before="60" w:after="60"/>
              <w:rPr>
                <w:rFonts w:cs="Arial"/>
                <w:szCs w:val="18"/>
              </w:rPr>
            </w:pPr>
            <w:r w:rsidRPr="00992062">
              <w:rPr>
                <w:rFonts w:cs="Arial"/>
                <w:szCs w:val="18"/>
              </w:rPr>
              <w:t>GMRG response</w:t>
            </w:r>
          </w:p>
        </w:tc>
      </w:tr>
      <w:tr w:rsidR="002B13EB" w:rsidRPr="00992062" w14:paraId="0CE142F9" w14:textId="77777777" w:rsidTr="00456349">
        <w:tc>
          <w:tcPr>
            <w:tcW w:w="2525" w:type="dxa"/>
            <w:vAlign w:val="center"/>
          </w:tcPr>
          <w:p w14:paraId="6CC0EFA5" w14:textId="77777777" w:rsidR="002B13EB" w:rsidRPr="001C7840" w:rsidRDefault="002B13EB" w:rsidP="00456349">
            <w:pPr>
              <w:pStyle w:val="BodyText"/>
              <w:keepNext/>
              <w:spacing w:before="60" w:after="60"/>
              <w:rPr>
                <w:rFonts w:cs="Arial"/>
              </w:rPr>
            </w:pPr>
            <w:r w:rsidRPr="001C7840">
              <w:rPr>
                <w:rFonts w:cs="Arial"/>
              </w:rPr>
              <w:t>Offer period for amending agreements</w:t>
            </w:r>
          </w:p>
        </w:tc>
        <w:tc>
          <w:tcPr>
            <w:tcW w:w="6547" w:type="dxa"/>
            <w:vAlign w:val="center"/>
          </w:tcPr>
          <w:p w14:paraId="40B688A6" w14:textId="77777777" w:rsidR="002B13EB" w:rsidRDefault="002B13EB" w:rsidP="00456349">
            <w:pPr>
              <w:pStyle w:val="BodyText"/>
              <w:keepNext/>
              <w:spacing w:before="60" w:after="60"/>
              <w:rPr>
                <w:rFonts w:cs="Arial"/>
              </w:rPr>
            </w:pPr>
            <w:r>
              <w:rPr>
                <w:rFonts w:cs="Arial"/>
              </w:rPr>
              <w:t xml:space="preserve">The GMRG has </w:t>
            </w:r>
            <w:r w:rsidR="008D1E3B">
              <w:rPr>
                <w:rFonts w:cs="Arial"/>
              </w:rPr>
              <w:t>considered the concerns raised by service providers regarding the 30-day period and agrees that this should be lengthened as follows</w:t>
            </w:r>
            <w:r>
              <w:rPr>
                <w:rFonts w:cs="Arial"/>
              </w:rPr>
              <w:t>:</w:t>
            </w:r>
          </w:p>
          <w:p w14:paraId="35A51DF3" w14:textId="77777777" w:rsidR="008D1E3B" w:rsidRDefault="008D1E3B" w:rsidP="00456349">
            <w:pPr>
              <w:pStyle w:val="TableBullet1"/>
              <w:keepNext/>
            </w:pPr>
            <w:r>
              <w:t xml:space="preserve">for requests made prior to 1 March 2019, transportation service providers should have 45 business days to provide an amending agreement in response to a request from a shipper; and  </w:t>
            </w:r>
          </w:p>
          <w:p w14:paraId="1A7ABE5C" w14:textId="77777777" w:rsidR="002B13EB" w:rsidRDefault="008D1E3B" w:rsidP="00456349">
            <w:pPr>
              <w:pStyle w:val="TableBullet1"/>
              <w:keepNext/>
            </w:pPr>
            <w:r>
              <w:t xml:space="preserve">for requests made post 1 March 2019, transportation service providers should have </w:t>
            </w:r>
            <w:r w:rsidR="002B13EB">
              <w:t xml:space="preserve">30 </w:t>
            </w:r>
            <w:r w:rsidR="002B13EB" w:rsidRPr="001C7840">
              <w:rPr>
                <w:i/>
              </w:rPr>
              <w:t>business</w:t>
            </w:r>
            <w:r w:rsidR="002B13EB">
              <w:t xml:space="preserve"> days</w:t>
            </w:r>
            <w:r w:rsidR="001C7840">
              <w:rPr>
                <w:rStyle w:val="FootnoteReference"/>
              </w:rPr>
              <w:footnoteReference w:id="414"/>
            </w:r>
            <w:r w:rsidR="002B13EB">
              <w:t xml:space="preserve"> </w:t>
            </w:r>
            <w:r>
              <w:t xml:space="preserve">to provide an amending agreement in response to a request from a shipper, rather than 30 days. </w:t>
            </w:r>
          </w:p>
          <w:p w14:paraId="71E5830B" w14:textId="77777777" w:rsidR="001C7840" w:rsidRPr="00992062" w:rsidRDefault="001C7840" w:rsidP="00456349">
            <w:pPr>
              <w:pStyle w:val="TableBullet1"/>
              <w:keepNext/>
              <w:numPr>
                <w:ilvl w:val="0"/>
                <w:numId w:val="0"/>
              </w:numPr>
              <w:ind w:left="85"/>
            </w:pPr>
            <w:r>
              <w:t>Part 24 of the NGR and the transitional rules in Schedule 5 of the NGR have been amended accordingly.</w:t>
            </w:r>
          </w:p>
        </w:tc>
      </w:tr>
      <w:tr w:rsidR="002B13EB" w:rsidRPr="00992062" w14:paraId="64483E1E" w14:textId="77777777" w:rsidTr="00456349">
        <w:trPr>
          <w:cnfStyle w:val="000000010000" w:firstRow="0" w:lastRow="0" w:firstColumn="0" w:lastColumn="0" w:oddVBand="0" w:evenVBand="0" w:oddHBand="0" w:evenHBand="1" w:firstRowFirstColumn="0" w:firstRowLastColumn="0" w:lastRowFirstColumn="0" w:lastRowLastColumn="0"/>
        </w:trPr>
        <w:tc>
          <w:tcPr>
            <w:tcW w:w="2525" w:type="dxa"/>
            <w:tcBorders>
              <w:bottom w:val="single" w:sz="4" w:space="0" w:color="auto"/>
            </w:tcBorders>
            <w:vAlign w:val="center"/>
          </w:tcPr>
          <w:p w14:paraId="38D2F53E" w14:textId="77777777" w:rsidR="002B13EB" w:rsidRPr="001C7840" w:rsidRDefault="005049A2" w:rsidP="00456349">
            <w:pPr>
              <w:keepNext/>
              <w:rPr>
                <w:rFonts w:cs="Arial"/>
                <w:szCs w:val="20"/>
                <w:lang w:val="en-US" w:eastAsia="en-US"/>
              </w:rPr>
            </w:pPr>
            <w:r w:rsidRPr="001C7840">
              <w:rPr>
                <w:rFonts w:cs="Arial"/>
                <w:szCs w:val="20"/>
                <w:lang w:val="en-US" w:eastAsia="en-US"/>
              </w:rPr>
              <w:t xml:space="preserve">Principles for terms to facilitate sale by operational transfer </w:t>
            </w:r>
          </w:p>
        </w:tc>
        <w:tc>
          <w:tcPr>
            <w:tcW w:w="6547" w:type="dxa"/>
            <w:tcBorders>
              <w:bottom w:val="single" w:sz="4" w:space="0" w:color="auto"/>
            </w:tcBorders>
            <w:vAlign w:val="center"/>
          </w:tcPr>
          <w:p w14:paraId="10171A80" w14:textId="77777777" w:rsidR="002B13EB" w:rsidRPr="00DC3062" w:rsidRDefault="005049A2" w:rsidP="00456349">
            <w:pPr>
              <w:pStyle w:val="BodyText"/>
              <w:keepNext/>
              <w:spacing w:before="60" w:after="60"/>
              <w:rPr>
                <w:rFonts w:cs="Arial"/>
              </w:rPr>
            </w:pPr>
            <w:r>
              <w:rPr>
                <w:rFonts w:cs="Arial"/>
              </w:rPr>
              <w:t xml:space="preserve">The GMRG understands the concerns raised by service providers regarding the </w:t>
            </w:r>
            <w:r w:rsidR="001C7840">
              <w:rPr>
                <w:rFonts w:cs="Arial"/>
              </w:rPr>
              <w:t xml:space="preserve">drafting of the provisions relating to the unbundling of </w:t>
            </w:r>
            <w:r w:rsidR="002B13EB" w:rsidRPr="0059475E">
              <w:rPr>
                <w:rFonts w:cs="Arial"/>
              </w:rPr>
              <w:t>services</w:t>
            </w:r>
            <w:r w:rsidR="001C7840">
              <w:rPr>
                <w:rFonts w:cs="Arial"/>
              </w:rPr>
              <w:t xml:space="preserve"> and notes that it was not the intention to require service providers to unbundle services that were not otherwise sold on an unbundled basis</w:t>
            </w:r>
            <w:r>
              <w:rPr>
                <w:rFonts w:cs="Arial"/>
              </w:rPr>
              <w:t xml:space="preserve">. These provisions </w:t>
            </w:r>
            <w:r w:rsidR="001C7840">
              <w:rPr>
                <w:rFonts w:cs="Arial"/>
              </w:rPr>
              <w:t xml:space="preserve">in Part 24 of the NGR </w:t>
            </w:r>
            <w:r>
              <w:rPr>
                <w:rFonts w:cs="Arial"/>
              </w:rPr>
              <w:t xml:space="preserve">have therefore been amended to make it clear that </w:t>
            </w:r>
            <w:r w:rsidR="002B13EB" w:rsidRPr="0059475E">
              <w:rPr>
                <w:rFonts w:cs="Arial"/>
              </w:rPr>
              <w:t xml:space="preserve">unbundling of services </w:t>
            </w:r>
            <w:r>
              <w:rPr>
                <w:rFonts w:cs="Arial"/>
              </w:rPr>
              <w:t xml:space="preserve">is only required </w:t>
            </w:r>
            <w:r w:rsidR="002B13EB" w:rsidRPr="00DC3062">
              <w:rPr>
                <w:rFonts w:cs="Arial"/>
              </w:rPr>
              <w:t xml:space="preserve">if: </w:t>
            </w:r>
          </w:p>
          <w:p w14:paraId="61606535" w14:textId="77777777" w:rsidR="002B13EB" w:rsidRPr="006B5093" w:rsidRDefault="005049A2" w:rsidP="00456349">
            <w:pPr>
              <w:pStyle w:val="TableBullet1"/>
              <w:keepNext/>
            </w:pPr>
            <w:r>
              <w:t xml:space="preserve">the unbundled </w:t>
            </w:r>
            <w:r w:rsidR="002B13EB" w:rsidRPr="006B5093">
              <w:t>service</w:t>
            </w:r>
            <w:r>
              <w:t>s</w:t>
            </w:r>
            <w:r w:rsidR="002B13EB" w:rsidRPr="006B5093">
              <w:t xml:space="preserve"> </w:t>
            </w:r>
            <w:r>
              <w:t xml:space="preserve">are </w:t>
            </w:r>
            <w:r w:rsidR="002B13EB" w:rsidRPr="006B5093">
              <w:t xml:space="preserve">available as a separate transportation service to </w:t>
            </w:r>
            <w:r>
              <w:t xml:space="preserve">other </w:t>
            </w:r>
            <w:r w:rsidR="002B13EB" w:rsidRPr="006B5093">
              <w:t xml:space="preserve">shippers </w:t>
            </w:r>
            <w:r>
              <w:t xml:space="preserve">using </w:t>
            </w:r>
            <w:r w:rsidR="002B13EB" w:rsidRPr="006B5093">
              <w:t>that facility; and</w:t>
            </w:r>
          </w:p>
          <w:p w14:paraId="4A1791BF" w14:textId="77777777" w:rsidR="002B13EB" w:rsidRPr="006B5093" w:rsidRDefault="002B13EB" w:rsidP="00456349">
            <w:pPr>
              <w:pStyle w:val="TableBullet1"/>
              <w:keepNext/>
            </w:pPr>
            <w:r w:rsidRPr="006B5093">
              <w:t xml:space="preserve">it is technically and operationally feasible to provide </w:t>
            </w:r>
            <w:r w:rsidR="005049A2">
              <w:t xml:space="preserve">the </w:t>
            </w:r>
            <w:r w:rsidRPr="006B5093">
              <w:t>service</w:t>
            </w:r>
            <w:r w:rsidR="005049A2">
              <w:t>s</w:t>
            </w:r>
            <w:r w:rsidRPr="006B5093">
              <w:t xml:space="preserve"> as separate service</w:t>
            </w:r>
            <w:r w:rsidR="005049A2">
              <w:t>s</w:t>
            </w:r>
            <w:r w:rsidRPr="006B5093">
              <w:t xml:space="preserve"> </w:t>
            </w:r>
            <w:r w:rsidRPr="00DC3062">
              <w:t>in a manner consistent with the safe and reliable operation of the transportation facility</w:t>
            </w:r>
            <w:r w:rsidRPr="006B5093">
              <w:t>.</w:t>
            </w:r>
          </w:p>
          <w:p w14:paraId="053F3105" w14:textId="77777777" w:rsidR="002B13EB" w:rsidRPr="00992062" w:rsidRDefault="002B13EB" w:rsidP="00456349">
            <w:pPr>
              <w:pStyle w:val="BodyText"/>
              <w:keepNext/>
              <w:spacing w:before="60" w:after="60"/>
              <w:rPr>
                <w:rFonts w:cs="Arial"/>
              </w:rPr>
            </w:pPr>
            <w:r>
              <w:rPr>
                <w:rFonts w:cs="Arial"/>
              </w:rPr>
              <w:t xml:space="preserve">In relation to </w:t>
            </w:r>
            <w:r w:rsidR="005049A2">
              <w:rPr>
                <w:rFonts w:cs="Arial"/>
              </w:rPr>
              <w:t xml:space="preserve">the </w:t>
            </w:r>
            <w:r w:rsidR="00E85B22">
              <w:rPr>
                <w:rFonts w:cs="Arial"/>
              </w:rPr>
              <w:t xml:space="preserve">other </w:t>
            </w:r>
            <w:r>
              <w:rPr>
                <w:rFonts w:cs="Arial"/>
              </w:rPr>
              <w:t xml:space="preserve">concerns </w:t>
            </w:r>
            <w:r w:rsidR="00E85B22">
              <w:rPr>
                <w:rFonts w:cs="Arial"/>
              </w:rPr>
              <w:t xml:space="preserve">raised by </w:t>
            </w:r>
            <w:r w:rsidR="00A254B0">
              <w:rPr>
                <w:rFonts w:cs="Arial"/>
              </w:rPr>
              <w:t>service providers</w:t>
            </w:r>
            <w:r w:rsidR="00E85B22">
              <w:rPr>
                <w:rFonts w:cs="Arial"/>
              </w:rPr>
              <w:t xml:space="preserve">, the GMRG notes that the </w:t>
            </w:r>
            <w:r w:rsidR="005049A2">
              <w:t xml:space="preserve">requirement </w:t>
            </w:r>
            <w:r w:rsidR="00A254B0">
              <w:t xml:space="preserve">to facilitate trades </w:t>
            </w:r>
            <w:r w:rsidR="00E85B22">
              <w:t xml:space="preserve">of other contractual entitlements </w:t>
            </w:r>
            <w:r>
              <w:t>only applies to the extent that the transfer can occur in a manner consistent with the operational and technical requirements necessary for the safe and reliable operational of the transportation facility</w:t>
            </w:r>
            <w:r w:rsidR="005049A2">
              <w:t xml:space="preserve">. </w:t>
            </w:r>
            <w:r w:rsidR="00A254B0">
              <w:t>In t</w:t>
            </w:r>
            <w:r w:rsidR="005049A2">
              <w:t>he GMRG</w:t>
            </w:r>
            <w:r w:rsidR="00A254B0">
              <w:t xml:space="preserve">’s view this limitation is appropriate and no further limitations are required. </w:t>
            </w:r>
          </w:p>
        </w:tc>
      </w:tr>
      <w:tr w:rsidR="0030259F" w:rsidRPr="00992062" w14:paraId="4DDAFA27" w14:textId="77777777" w:rsidTr="00456349">
        <w:tc>
          <w:tcPr>
            <w:tcW w:w="2525" w:type="dxa"/>
            <w:vMerge w:val="restart"/>
          </w:tcPr>
          <w:p w14:paraId="4283F2AB" w14:textId="77777777" w:rsidR="0030259F" w:rsidRPr="0010017E" w:rsidRDefault="0030259F" w:rsidP="002B13EB">
            <w:pPr>
              <w:pStyle w:val="BodyText"/>
              <w:spacing w:before="60" w:after="60"/>
              <w:rPr>
                <w:rFonts w:cs="Arial"/>
                <w:b/>
              </w:rPr>
            </w:pPr>
            <w:r w:rsidRPr="0010017E">
              <w:rPr>
                <w:rFonts w:cs="Arial"/>
                <w:b/>
              </w:rPr>
              <w:t>Changes in receipt and delivery points in facility agreements</w:t>
            </w:r>
          </w:p>
        </w:tc>
        <w:tc>
          <w:tcPr>
            <w:tcW w:w="6547" w:type="dxa"/>
            <w:tcBorders>
              <w:bottom w:val="single" w:sz="4" w:space="0" w:color="auto"/>
            </w:tcBorders>
          </w:tcPr>
          <w:p w14:paraId="5B0167EE" w14:textId="77777777" w:rsidR="0030259F" w:rsidRPr="004B4094" w:rsidRDefault="0030259F" w:rsidP="00A254B0">
            <w:pPr>
              <w:pStyle w:val="BodyText"/>
              <w:spacing w:before="60" w:after="60"/>
              <w:rPr>
                <w:sz w:val="16"/>
                <w:szCs w:val="16"/>
              </w:rPr>
            </w:pPr>
            <w:r>
              <w:rPr>
                <w:rFonts w:cs="Arial"/>
              </w:rPr>
              <w:t xml:space="preserve">The GMRG has considered the issues raised by service providers regarding the costs associated with making changes to receipt and delivery points. While the GMRG considers that sufficient protection was provided for in the </w:t>
            </w:r>
            <w:r w:rsidR="00E85B22">
              <w:rPr>
                <w:rFonts w:cs="Arial"/>
              </w:rPr>
              <w:t>draft rules</w:t>
            </w:r>
            <w:r>
              <w:rPr>
                <w:rFonts w:cs="Arial"/>
              </w:rPr>
              <w:t xml:space="preserve">, some minor amendments have been made to </w:t>
            </w:r>
            <w:r w:rsidR="00E85B22">
              <w:rPr>
                <w:rFonts w:cs="Arial"/>
              </w:rPr>
              <w:t xml:space="preserve">Part 24 of the NGR to </w:t>
            </w:r>
            <w:r>
              <w:rPr>
                <w:rFonts w:cs="Arial"/>
              </w:rPr>
              <w:t>allow</w:t>
            </w:r>
            <w:r w:rsidR="00E85B22">
              <w:rPr>
                <w:rFonts w:cs="Arial"/>
              </w:rPr>
              <w:t xml:space="preserve"> transportation service providers to</w:t>
            </w:r>
            <w:r>
              <w:rPr>
                <w:rFonts w:cs="Arial"/>
              </w:rPr>
              <w:t>:</w:t>
            </w:r>
          </w:p>
          <w:p w14:paraId="5FFCFF2F" w14:textId="77777777" w:rsidR="0030259F" w:rsidRDefault="00E85B22" w:rsidP="00E85B22">
            <w:pPr>
              <w:pStyle w:val="TableBullet1"/>
            </w:pPr>
            <w:r>
              <w:t xml:space="preserve">require, as a condition of giving consent to a request, the </w:t>
            </w:r>
            <w:r w:rsidR="0030259F">
              <w:t>shipper pay an additional charge reflecting any additional tariff or other charge applicable to the transportation of natural gas to that point (provided the charge reflects the charges applicable to the facility)</w:t>
            </w:r>
            <w:r>
              <w:t>; and</w:t>
            </w:r>
          </w:p>
          <w:p w14:paraId="07D6933B" w14:textId="77777777" w:rsidR="00E85B22" w:rsidRPr="00992062" w:rsidRDefault="00E85B22" w:rsidP="00E85B22">
            <w:pPr>
              <w:pStyle w:val="TableBullet1"/>
            </w:pPr>
            <w:r>
              <w:t>consider whether the revenue received by the service provider from the transportation facility or any other person would be reduced as a result of the change when deciding whether to provide its consent.</w:t>
            </w:r>
          </w:p>
        </w:tc>
      </w:tr>
      <w:tr w:rsidR="0030259F" w:rsidRPr="00992062" w14:paraId="2A251783" w14:textId="77777777" w:rsidTr="00456349">
        <w:trPr>
          <w:cnfStyle w:val="000000010000" w:firstRow="0" w:lastRow="0" w:firstColumn="0" w:lastColumn="0" w:oddVBand="0" w:evenVBand="0" w:oddHBand="0" w:evenHBand="1" w:firstRowFirstColumn="0" w:firstRowLastColumn="0" w:lastRowFirstColumn="0" w:lastRowLastColumn="0"/>
        </w:trPr>
        <w:tc>
          <w:tcPr>
            <w:tcW w:w="2525" w:type="dxa"/>
            <w:vMerge/>
            <w:shd w:val="clear" w:color="auto" w:fill="auto"/>
          </w:tcPr>
          <w:p w14:paraId="64BB7B17" w14:textId="77777777" w:rsidR="0030259F" w:rsidRPr="0010017E" w:rsidRDefault="0030259F" w:rsidP="002B13EB">
            <w:pPr>
              <w:pStyle w:val="BodyText"/>
              <w:spacing w:before="60" w:after="60"/>
              <w:rPr>
                <w:rFonts w:cs="Arial"/>
                <w:b/>
              </w:rPr>
            </w:pPr>
          </w:p>
        </w:tc>
        <w:tc>
          <w:tcPr>
            <w:tcW w:w="6547" w:type="dxa"/>
            <w:shd w:val="clear" w:color="auto" w:fill="auto"/>
          </w:tcPr>
          <w:p w14:paraId="076E01CB" w14:textId="77777777" w:rsidR="0030259F" w:rsidRDefault="00E85B22" w:rsidP="0030259F">
            <w:pPr>
              <w:pStyle w:val="BodyText"/>
              <w:spacing w:before="60" w:after="60"/>
            </w:pPr>
            <w:r>
              <w:rPr>
                <w:rFonts w:cs="Arial"/>
              </w:rPr>
              <w:t xml:space="preserve">In relation to the </w:t>
            </w:r>
            <w:r w:rsidR="0030259F">
              <w:rPr>
                <w:rFonts w:cs="Arial"/>
              </w:rPr>
              <w:t xml:space="preserve">concerns raised about the use of the </w:t>
            </w:r>
            <w:r w:rsidR="0030259F" w:rsidRPr="00AE2E70">
              <w:rPr>
                <w:rFonts w:cs="Arial"/>
              </w:rPr>
              <w:t xml:space="preserve">3 January 2018 date in </w:t>
            </w:r>
            <w:r w:rsidR="0030259F">
              <w:rPr>
                <w:rFonts w:cs="Arial"/>
              </w:rPr>
              <w:t>this part of the NGR</w:t>
            </w:r>
            <w:r>
              <w:rPr>
                <w:rFonts w:cs="Arial"/>
              </w:rPr>
              <w:t xml:space="preserve">, the GMRG notes that this date, which is the date the Energy Council approved the design of the day-ahead auction, </w:t>
            </w:r>
            <w:r w:rsidR="00FC7112">
              <w:t xml:space="preserve">was originally adopted because </w:t>
            </w:r>
            <w:r>
              <w:t xml:space="preserve">the GMRG </w:t>
            </w:r>
            <w:r w:rsidR="00FC7112">
              <w:t xml:space="preserve">was concerned that market participants could try and circumvent certain provisions in the NGR if a </w:t>
            </w:r>
            <w:r w:rsidR="0030259F">
              <w:t xml:space="preserve">future </w:t>
            </w:r>
            <w:r w:rsidR="0030259F" w:rsidRPr="00AE2E70">
              <w:t xml:space="preserve">date </w:t>
            </w:r>
            <w:r w:rsidR="00FC7112">
              <w:t xml:space="preserve">was hard wired </w:t>
            </w:r>
            <w:r w:rsidR="0030259F">
              <w:t>into the regulatory framework</w:t>
            </w:r>
            <w:r w:rsidR="0030259F" w:rsidRPr="00AE2E70">
              <w:t xml:space="preserve">. </w:t>
            </w:r>
          </w:p>
          <w:p w14:paraId="22477375" w14:textId="77777777" w:rsidR="0030259F" w:rsidRPr="00992062" w:rsidRDefault="00FC7112" w:rsidP="002B13EB">
            <w:pPr>
              <w:pStyle w:val="BodyText"/>
              <w:spacing w:before="60" w:after="60"/>
              <w:rPr>
                <w:rFonts w:cs="Arial"/>
              </w:rPr>
            </w:pPr>
            <w:r>
              <w:rPr>
                <w:rFonts w:cs="Arial"/>
              </w:rPr>
              <w:t xml:space="preserve">While the GMRG still </w:t>
            </w:r>
            <w:r w:rsidR="00E85B22">
              <w:rPr>
                <w:rFonts w:cs="Arial"/>
              </w:rPr>
              <w:t xml:space="preserve">has these </w:t>
            </w:r>
            <w:r>
              <w:rPr>
                <w:rFonts w:cs="Arial"/>
              </w:rPr>
              <w:t xml:space="preserve">concerns, it recognises that </w:t>
            </w:r>
            <w:r w:rsidR="00E85B22">
              <w:rPr>
                <w:rFonts w:cs="Arial"/>
              </w:rPr>
              <w:t xml:space="preserve">transportation </w:t>
            </w:r>
            <w:r w:rsidR="0030259F" w:rsidRPr="00AE2E70">
              <w:rPr>
                <w:rFonts w:cs="Arial"/>
              </w:rPr>
              <w:t xml:space="preserve">service providers may have entered into contracts </w:t>
            </w:r>
            <w:r w:rsidR="0030259F">
              <w:rPr>
                <w:rFonts w:cs="Arial"/>
              </w:rPr>
              <w:t>between</w:t>
            </w:r>
            <w:r w:rsidR="0030259F" w:rsidRPr="00AE2E70">
              <w:rPr>
                <w:rFonts w:cs="Arial"/>
              </w:rPr>
              <w:t xml:space="preserve"> 3 January 2018 </w:t>
            </w:r>
            <w:r w:rsidR="0030259F">
              <w:rPr>
                <w:rFonts w:cs="Arial"/>
              </w:rPr>
              <w:t>and 19 March 201</w:t>
            </w:r>
            <w:r>
              <w:rPr>
                <w:rFonts w:cs="Arial"/>
              </w:rPr>
              <w:t>8</w:t>
            </w:r>
            <w:r w:rsidR="0030259F">
              <w:rPr>
                <w:rFonts w:cs="Arial"/>
              </w:rPr>
              <w:t xml:space="preserve"> (</w:t>
            </w:r>
            <w:r>
              <w:rPr>
                <w:rFonts w:cs="Arial"/>
              </w:rPr>
              <w:t xml:space="preserve">i.e. </w:t>
            </w:r>
            <w:r w:rsidR="0030259F">
              <w:rPr>
                <w:rFonts w:cs="Arial"/>
              </w:rPr>
              <w:t xml:space="preserve">the date the consultation package was released) </w:t>
            </w:r>
            <w:r w:rsidR="0030259F" w:rsidRPr="00AE2E70">
              <w:rPr>
                <w:rFonts w:cs="Arial"/>
              </w:rPr>
              <w:t>in good faith</w:t>
            </w:r>
            <w:r>
              <w:rPr>
                <w:rFonts w:cs="Arial"/>
              </w:rPr>
              <w:t xml:space="preserve"> without knowing about the proposed drafting of particular provisions. The reference to 3 January 2018 </w:t>
            </w:r>
            <w:r w:rsidR="00E85B22">
              <w:rPr>
                <w:rFonts w:cs="Arial"/>
              </w:rPr>
              <w:t xml:space="preserve">in Part 24 of the NGR </w:t>
            </w:r>
            <w:r>
              <w:rPr>
                <w:rFonts w:cs="Arial"/>
              </w:rPr>
              <w:t xml:space="preserve">has therefore been replaced with </w:t>
            </w:r>
            <w:r w:rsidR="0030259F">
              <w:rPr>
                <w:rFonts w:cs="Arial"/>
              </w:rPr>
              <w:t>19 March 2018.</w:t>
            </w:r>
          </w:p>
        </w:tc>
      </w:tr>
    </w:tbl>
    <w:p w14:paraId="6C03C56B" w14:textId="77777777" w:rsidR="002B13EB" w:rsidRPr="00FF7B5D" w:rsidRDefault="002B13EB" w:rsidP="002B13EB">
      <w:pPr>
        <w:pStyle w:val="AppendixHeading3"/>
        <w:rPr>
          <w:color w:val="0099CC"/>
        </w:rPr>
      </w:pPr>
      <w:r w:rsidRPr="00FF7B5D">
        <w:rPr>
          <w:color w:val="0099CC"/>
        </w:rPr>
        <w:lastRenderedPageBreak/>
        <w:t xml:space="preserve">Governance arrangements for the specification of </w:t>
      </w:r>
      <w:r w:rsidR="002F2167" w:rsidRPr="00FF7B5D">
        <w:rPr>
          <w:color w:val="0099CC"/>
        </w:rPr>
        <w:t xml:space="preserve">service points, </w:t>
      </w:r>
      <w:r w:rsidRPr="00FF7B5D">
        <w:rPr>
          <w:color w:val="0099CC"/>
        </w:rPr>
        <w:t>zones</w:t>
      </w:r>
      <w:r w:rsidR="002F2167" w:rsidRPr="00FF7B5D">
        <w:rPr>
          <w:color w:val="0099CC"/>
        </w:rPr>
        <w:t xml:space="preserve"> and pipeline segments</w:t>
      </w:r>
    </w:p>
    <w:p w14:paraId="67B988FD" w14:textId="77777777" w:rsidR="002B13EB" w:rsidRDefault="00D950E2" w:rsidP="002B13EB">
      <w:pPr>
        <w:pStyle w:val="BodyText"/>
      </w:pPr>
      <w:r>
        <w:t>S</w:t>
      </w:r>
      <w:r w:rsidR="002B13EB">
        <w:t>takeholders provide</w:t>
      </w:r>
      <w:r>
        <w:t>d the following</w:t>
      </w:r>
      <w:r w:rsidR="002B13EB">
        <w:t xml:space="preserve"> feedback </w:t>
      </w:r>
      <w:r w:rsidR="002F2167">
        <w:t xml:space="preserve">on </w:t>
      </w:r>
      <w:r>
        <w:t xml:space="preserve">the proposed governance framework for </w:t>
      </w:r>
      <w:r w:rsidR="002F2167">
        <w:t xml:space="preserve">service points, </w:t>
      </w:r>
      <w:r>
        <w:t>zones</w:t>
      </w:r>
      <w:r w:rsidR="002F2167">
        <w:t xml:space="preserve"> and pipeline segments</w:t>
      </w:r>
      <w:r w:rsidR="002B13EB">
        <w:t>:</w:t>
      </w:r>
    </w:p>
    <w:p w14:paraId="53C93A22" w14:textId="1CC0F762" w:rsidR="002B13EB" w:rsidRDefault="002F2167" w:rsidP="002B13EB">
      <w:pPr>
        <w:pStyle w:val="ListBullet"/>
      </w:pPr>
      <w:r>
        <w:rPr>
          <w:b/>
        </w:rPr>
        <w:t>AEMO’s role</w:t>
      </w:r>
      <w:r w:rsidR="002B13EB" w:rsidRPr="00C1158D">
        <w:rPr>
          <w:b/>
        </w:rPr>
        <w:t>:</w:t>
      </w:r>
      <w:r w:rsidR="002B13EB">
        <w:rPr>
          <w:b/>
        </w:rPr>
        <w:t xml:space="preserve"> </w:t>
      </w:r>
      <w:r w:rsidR="002815CD" w:rsidRPr="002815CD">
        <w:t>The majority of</w:t>
      </w:r>
      <w:r w:rsidR="002815CD">
        <w:rPr>
          <w:b/>
        </w:rPr>
        <w:t xml:space="preserve"> </w:t>
      </w:r>
      <w:r w:rsidR="002B13EB">
        <w:t>stakeholders were supportive of the proposal to accord AEMO responsibility for determining zones. AGL, ERM, Origin, GLNG, APLNG, Chemistry Australia and the ECA did, however, note that before making a determination, AEMO should be required to consult with market participants. ERM suggested that this requirement be included in the NGR and also suggested that provision be made for the AER to conduct a review of these determinations either on it</w:t>
      </w:r>
      <w:r w:rsidR="00142468">
        <w:t>s</w:t>
      </w:r>
      <w:r w:rsidR="002B13EB">
        <w:t xml:space="preserve"> own initiative or in response to concerns raised by stakeholders. </w:t>
      </w:r>
    </w:p>
    <w:p w14:paraId="69C81D97" w14:textId="77777777" w:rsidR="002B13EB" w:rsidRDefault="002B13EB" w:rsidP="002B13EB">
      <w:pPr>
        <w:pStyle w:val="ListBullet"/>
        <w:numPr>
          <w:ilvl w:val="0"/>
          <w:numId w:val="0"/>
        </w:numPr>
        <w:ind w:left="360"/>
      </w:pPr>
      <w:r>
        <w:t xml:space="preserve">In contrast to these stakeholders, APGA, Jemena and Palisade were of the view that the determination of zones was an operational matter that should be left to </w:t>
      </w:r>
      <w:r w:rsidR="004D46BC">
        <w:t xml:space="preserve">transportation </w:t>
      </w:r>
      <w:r>
        <w:t xml:space="preserve">service providers and, if required by AEMO, could be subject to independent certification by an engineer. </w:t>
      </w:r>
    </w:p>
    <w:p w14:paraId="3D2411A2" w14:textId="77777777" w:rsidR="002B13EB" w:rsidRPr="00D01AE6" w:rsidRDefault="002B13EB" w:rsidP="002B13EB">
      <w:pPr>
        <w:pStyle w:val="ListBullet"/>
        <w:rPr>
          <w:b/>
        </w:rPr>
      </w:pPr>
      <w:r w:rsidRPr="00C1158D">
        <w:rPr>
          <w:b/>
        </w:rPr>
        <w:t>Principles to guide the development of zones:</w:t>
      </w:r>
      <w:r>
        <w:rPr>
          <w:b/>
        </w:rPr>
        <w:t xml:space="preserve"> </w:t>
      </w:r>
      <w:r>
        <w:t xml:space="preserve">While the principles in the draft rules were supported by most stakeholders: </w:t>
      </w:r>
    </w:p>
    <w:p w14:paraId="2BC53D48" w14:textId="77777777" w:rsidR="002B13EB" w:rsidRPr="009A51D0" w:rsidRDefault="002B13EB" w:rsidP="002B13EB">
      <w:pPr>
        <w:pStyle w:val="ListBullet2"/>
        <w:rPr>
          <w:b/>
        </w:rPr>
      </w:pPr>
      <w:r>
        <w:t>the ECA and Chemistry Australia raised some concerns about the potential for single point zones to become the default given the way the principles were drafted and noted that if this occurred it could limit competition and the benefits of the reforms</w:t>
      </w:r>
      <w:r w:rsidR="004D46BC">
        <w:t>.</w:t>
      </w:r>
    </w:p>
    <w:p w14:paraId="48CCCD4B" w14:textId="77777777" w:rsidR="002B13EB" w:rsidRPr="00EC43D6" w:rsidRDefault="002B13EB" w:rsidP="002B13EB">
      <w:pPr>
        <w:pStyle w:val="ListBullet2"/>
        <w:rPr>
          <w:b/>
        </w:rPr>
      </w:pPr>
      <w:r>
        <w:t>APA, AGL, APGA and Jemena, suggested the principles should also require consideration to be given to:</w:t>
      </w:r>
    </w:p>
    <w:p w14:paraId="73ECA3CA" w14:textId="77777777" w:rsidR="002B13EB" w:rsidRPr="009C4EAA" w:rsidRDefault="002B13EB" w:rsidP="00EA491F">
      <w:pPr>
        <w:pStyle w:val="BodyText"/>
        <w:numPr>
          <w:ilvl w:val="0"/>
          <w:numId w:val="55"/>
        </w:numPr>
        <w:spacing w:before="60" w:after="60"/>
        <w:ind w:left="1071" w:hanging="357"/>
        <w:rPr>
          <w:b/>
        </w:rPr>
      </w:pPr>
      <w:r>
        <w:t>the physical characteristics of the pipeline (APA, AGL, APGA and Jemena);</w:t>
      </w:r>
    </w:p>
    <w:p w14:paraId="58546BA6" w14:textId="77777777" w:rsidR="00C01A87" w:rsidRDefault="00C01A87" w:rsidP="00C01A87">
      <w:pPr>
        <w:pStyle w:val="BodyText"/>
        <w:numPr>
          <w:ilvl w:val="0"/>
          <w:numId w:val="55"/>
        </w:numPr>
        <w:spacing w:before="60" w:after="60"/>
        <w:ind w:left="1071" w:hanging="357"/>
      </w:pPr>
      <w:r>
        <w:t>whether capacity can be transferred on a near one</w:t>
      </w:r>
      <w:r w:rsidR="004D46BC">
        <w:t>-</w:t>
      </w:r>
      <w:r>
        <w:t>to</w:t>
      </w:r>
      <w:r w:rsidR="004D46BC">
        <w:t>-</w:t>
      </w:r>
      <w:r>
        <w:t xml:space="preserve">one basis (APA); </w:t>
      </w:r>
    </w:p>
    <w:p w14:paraId="39B2B578" w14:textId="77777777" w:rsidR="002B13EB" w:rsidRDefault="002B13EB" w:rsidP="00EA491F">
      <w:pPr>
        <w:pStyle w:val="BodyText"/>
        <w:numPr>
          <w:ilvl w:val="0"/>
          <w:numId w:val="55"/>
        </w:numPr>
        <w:spacing w:before="60" w:after="60"/>
        <w:ind w:left="1071" w:hanging="357"/>
      </w:pPr>
      <w:r>
        <w:t>any tariff zones employed by the service provider (APA and Jemena);</w:t>
      </w:r>
      <w:r w:rsidR="00C01A87">
        <w:t xml:space="preserve"> and</w:t>
      </w:r>
    </w:p>
    <w:p w14:paraId="17E8813B" w14:textId="77777777" w:rsidR="002B13EB" w:rsidRDefault="002B13EB" w:rsidP="00EA491F">
      <w:pPr>
        <w:pStyle w:val="BodyText"/>
        <w:numPr>
          <w:ilvl w:val="0"/>
          <w:numId w:val="55"/>
        </w:numPr>
        <w:spacing w:before="60" w:after="60"/>
        <w:ind w:left="1071" w:hanging="357"/>
      </w:pPr>
      <w:r>
        <w:t>the rights of shippers and the obligations of</w:t>
      </w:r>
      <w:r w:rsidR="004D46BC">
        <w:t xml:space="preserve"> transportation</w:t>
      </w:r>
      <w:r>
        <w:t xml:space="preserve"> service providers under existing contracts (Jemena).</w:t>
      </w:r>
    </w:p>
    <w:p w14:paraId="4DB27698" w14:textId="77777777" w:rsidR="002B13EB" w:rsidRDefault="002B13EB" w:rsidP="002B13EB">
      <w:pPr>
        <w:pStyle w:val="ListBullet"/>
        <w:rPr>
          <w:b/>
        </w:rPr>
      </w:pPr>
      <w:r>
        <w:rPr>
          <w:b/>
        </w:rPr>
        <w:t xml:space="preserve">Other matters: </w:t>
      </w:r>
      <w:r w:rsidRPr="004C6DA4">
        <w:t>In addition to the matters set out above, Origin and Palisade noted the importance of AEMO publishing information on the ability to transfer capacity between points within a zone so that secondary shippers understand the risks associated with transferring capacity</w:t>
      </w:r>
      <w:r>
        <w:t xml:space="preserve"> before they purchase the product</w:t>
      </w:r>
      <w:r w:rsidRPr="004C6DA4">
        <w:t>.</w:t>
      </w:r>
      <w:r>
        <w:t xml:space="preserve"> The ECA and Chemistry Australia also noted that it would be important for AEMO to ensure that zonal definitions remain appropriate over</w:t>
      </w:r>
      <w:r w:rsidR="0004736D">
        <w:t xml:space="preserve"> </w:t>
      </w:r>
      <w:r>
        <w:t xml:space="preserve">time given the dynamic changes in demand and supply for capacity that are occurring in the market. </w:t>
      </w:r>
    </w:p>
    <w:p w14:paraId="527C8DF8" w14:textId="77777777" w:rsidR="002B13EB" w:rsidRDefault="002B13EB" w:rsidP="002B13EB">
      <w:pPr>
        <w:pStyle w:val="BodyText"/>
      </w:pPr>
      <w:r>
        <w:t xml:space="preserve">The GMRG’s response to the feedback provided by stakeholders on this issue </w:t>
      </w:r>
      <w:r w:rsidR="004D46BC">
        <w:t xml:space="preserve">are </w:t>
      </w:r>
      <w:r>
        <w:t>set out in the table below.</w:t>
      </w:r>
    </w:p>
    <w:p w14:paraId="0F5F3A63" w14:textId="77777777" w:rsidR="002B13EB" w:rsidRDefault="002B13EB" w:rsidP="00456349">
      <w:pPr>
        <w:pStyle w:val="Caption"/>
        <w:spacing w:after="0"/>
      </w:pPr>
      <w:r>
        <w:lastRenderedPageBreak/>
        <w:t xml:space="preserve">Table </w:t>
      </w:r>
      <w:r>
        <w:rPr>
          <w:noProof/>
        </w:rPr>
        <w:t>A</w:t>
      </w:r>
      <w:r>
        <w:t>.</w:t>
      </w:r>
      <w:r w:rsidR="009257EC">
        <w:rPr>
          <w:noProof/>
        </w:rPr>
        <w:t>4</w:t>
      </w:r>
      <w:r>
        <w:t xml:space="preserve">: Response to issues raised on governance arrangements for the specification of zones </w:t>
      </w:r>
    </w:p>
    <w:tbl>
      <w:tblPr>
        <w:tblStyle w:val="TableGrid"/>
        <w:tblW w:w="0" w:type="auto"/>
        <w:tblLook w:val="04A0" w:firstRow="1" w:lastRow="0" w:firstColumn="1" w:lastColumn="0" w:noHBand="0" w:noVBand="1"/>
        <w:tblCaption w:val="Response to issues raised about arbitration"/>
        <w:tblDescription w:val="Table of stakeholder concerns and GMRG response"/>
      </w:tblPr>
      <w:tblGrid>
        <w:gridCol w:w="2525"/>
        <w:gridCol w:w="6263"/>
      </w:tblGrid>
      <w:tr w:rsidR="002B13EB" w:rsidRPr="00992062" w14:paraId="077E7D61" w14:textId="77777777" w:rsidTr="002B13EB">
        <w:trPr>
          <w:cnfStyle w:val="100000000000" w:firstRow="1" w:lastRow="0" w:firstColumn="0" w:lastColumn="0" w:oddVBand="0" w:evenVBand="0" w:oddHBand="0" w:evenHBand="0" w:firstRowFirstColumn="0" w:firstRowLastColumn="0" w:lastRowFirstColumn="0" w:lastRowLastColumn="0"/>
          <w:trHeight w:val="153"/>
          <w:tblHeader/>
        </w:trPr>
        <w:tc>
          <w:tcPr>
            <w:tcW w:w="2525" w:type="dxa"/>
            <w:shd w:val="clear" w:color="auto" w:fill="0099CC"/>
          </w:tcPr>
          <w:p w14:paraId="534FB2E4" w14:textId="77777777" w:rsidR="002B13EB" w:rsidRPr="00992062" w:rsidRDefault="002B13EB" w:rsidP="00456349">
            <w:pPr>
              <w:pStyle w:val="BodyText"/>
              <w:keepNext/>
              <w:spacing w:before="60" w:after="60"/>
              <w:rPr>
                <w:rFonts w:cs="Arial"/>
                <w:szCs w:val="18"/>
              </w:rPr>
            </w:pPr>
            <w:r w:rsidRPr="00992062">
              <w:rPr>
                <w:rFonts w:cs="Arial"/>
                <w:szCs w:val="18"/>
              </w:rPr>
              <w:t>Stakeholder concern</w:t>
            </w:r>
          </w:p>
        </w:tc>
        <w:tc>
          <w:tcPr>
            <w:tcW w:w="6263" w:type="dxa"/>
            <w:shd w:val="clear" w:color="auto" w:fill="0099CC"/>
          </w:tcPr>
          <w:p w14:paraId="338EC73F" w14:textId="77777777" w:rsidR="002B13EB" w:rsidRPr="00992062" w:rsidRDefault="002B13EB" w:rsidP="00456349">
            <w:pPr>
              <w:pStyle w:val="BodyText"/>
              <w:keepNext/>
              <w:spacing w:before="60" w:after="60"/>
              <w:rPr>
                <w:rFonts w:cs="Arial"/>
                <w:szCs w:val="18"/>
              </w:rPr>
            </w:pPr>
            <w:r w:rsidRPr="00992062">
              <w:rPr>
                <w:rFonts w:cs="Arial"/>
                <w:szCs w:val="18"/>
              </w:rPr>
              <w:t>GMRG response</w:t>
            </w:r>
          </w:p>
        </w:tc>
      </w:tr>
      <w:tr w:rsidR="002B13EB" w:rsidRPr="00992062" w14:paraId="581A399B" w14:textId="77777777" w:rsidTr="002B13EB">
        <w:tc>
          <w:tcPr>
            <w:tcW w:w="2525" w:type="dxa"/>
            <w:vAlign w:val="center"/>
          </w:tcPr>
          <w:p w14:paraId="1A9C9C47" w14:textId="77777777" w:rsidR="002B13EB" w:rsidRPr="00992062" w:rsidRDefault="002B13EB" w:rsidP="00456349">
            <w:pPr>
              <w:pStyle w:val="BodyText"/>
              <w:keepNext/>
              <w:spacing w:before="60" w:after="60"/>
              <w:rPr>
                <w:rFonts w:cs="Arial"/>
              </w:rPr>
            </w:pPr>
            <w:r>
              <w:rPr>
                <w:rFonts w:cs="Arial"/>
              </w:rPr>
              <w:t>Responsibility for determining zones</w:t>
            </w:r>
          </w:p>
        </w:tc>
        <w:tc>
          <w:tcPr>
            <w:tcW w:w="6263" w:type="dxa"/>
            <w:vAlign w:val="center"/>
          </w:tcPr>
          <w:p w14:paraId="0523FF74" w14:textId="77777777" w:rsidR="0004736D" w:rsidRDefault="0004736D" w:rsidP="00456349">
            <w:pPr>
              <w:pStyle w:val="BodyText"/>
              <w:keepNext/>
              <w:spacing w:before="60" w:after="60"/>
              <w:rPr>
                <w:rFonts w:cs="Arial"/>
              </w:rPr>
            </w:pPr>
            <w:r>
              <w:rPr>
                <w:rFonts w:cs="Arial"/>
              </w:rPr>
              <w:t xml:space="preserve">The GMRG agrees with the majority stakeholders that AEMO should be accorded responsibility for determining zones because </w:t>
            </w:r>
            <w:r w:rsidR="004D46BC">
              <w:rPr>
                <w:rFonts w:cs="Arial"/>
              </w:rPr>
              <w:t xml:space="preserve">in its view, AEMO </w:t>
            </w:r>
            <w:r>
              <w:rPr>
                <w:rFonts w:cs="Arial"/>
              </w:rPr>
              <w:t xml:space="preserve">is best placed to ensure that any market and operational trade-offs associated with defining zones are appropriately balanced. </w:t>
            </w:r>
            <w:r w:rsidR="002815CD">
              <w:rPr>
                <w:rFonts w:cs="Arial"/>
              </w:rPr>
              <w:t>If the determination was limited to operational matters only then it is possible that service providers could play this role, but as noted in the March 2018 consultation paper the specification of zones will have broader reaching implications for the market. The GMRG is therefore of the view that AEMO is the appropriate party to make this determination.</w:t>
            </w:r>
          </w:p>
          <w:p w14:paraId="510BA655" w14:textId="77777777" w:rsidR="002815CD" w:rsidRDefault="004D46BC" w:rsidP="00456349">
            <w:pPr>
              <w:pStyle w:val="BodyText"/>
              <w:keepNext/>
              <w:spacing w:before="60" w:after="60"/>
              <w:rPr>
                <w:rFonts w:cs="Arial"/>
                <w:szCs w:val="18"/>
              </w:rPr>
            </w:pPr>
            <w:r>
              <w:rPr>
                <w:rFonts w:cs="Arial"/>
              </w:rPr>
              <w:t xml:space="preserve">The </w:t>
            </w:r>
            <w:r w:rsidR="002815CD">
              <w:rPr>
                <w:rFonts w:cs="Arial"/>
              </w:rPr>
              <w:t xml:space="preserve">GMRG </w:t>
            </w:r>
            <w:r>
              <w:rPr>
                <w:rFonts w:cs="Arial"/>
              </w:rPr>
              <w:t xml:space="preserve">also agrees with the majority of stakeholders </w:t>
            </w:r>
            <w:r w:rsidR="0004736D">
              <w:rPr>
                <w:rFonts w:cs="Arial"/>
              </w:rPr>
              <w:t xml:space="preserve">that before making a determination AEMO should be required to </w:t>
            </w:r>
            <w:r w:rsidR="0004736D">
              <w:t xml:space="preserve">consult with interested parties. This requirement is reflected in </w:t>
            </w:r>
            <w:r>
              <w:t xml:space="preserve">Part 24 of the </w:t>
            </w:r>
            <w:r w:rsidR="0004736D">
              <w:t>NGR.</w:t>
            </w:r>
            <w:r w:rsidR="0004736D">
              <w:rPr>
                <w:rFonts w:cs="Arial"/>
                <w:szCs w:val="18"/>
              </w:rPr>
              <w:t xml:space="preserve"> </w:t>
            </w:r>
          </w:p>
          <w:p w14:paraId="46F8F6A0" w14:textId="6F31C7D3" w:rsidR="002815CD" w:rsidRPr="002815CD" w:rsidRDefault="002815CD" w:rsidP="00456349">
            <w:pPr>
              <w:pStyle w:val="BodyText"/>
              <w:keepNext/>
              <w:spacing w:before="60" w:after="60"/>
              <w:rPr>
                <w:rFonts w:cs="Arial"/>
                <w:szCs w:val="18"/>
              </w:rPr>
            </w:pPr>
            <w:r>
              <w:rPr>
                <w:rFonts w:cs="Arial"/>
                <w:szCs w:val="18"/>
              </w:rPr>
              <w:t xml:space="preserve">As to ERM’s suggestion that the AER should be able to conduct a review of the zonal determinations, the GMRG does not consider this necessary at this stage </w:t>
            </w:r>
            <w:r w:rsidR="004D46BC">
              <w:rPr>
                <w:rFonts w:cs="Arial"/>
                <w:szCs w:val="18"/>
              </w:rPr>
              <w:t xml:space="preserve">because it believes this role can be carried out by AEMO. If, however, it </w:t>
            </w:r>
            <w:r>
              <w:rPr>
                <w:rFonts w:cs="Arial"/>
                <w:szCs w:val="18"/>
              </w:rPr>
              <w:t>becomes clearer over time that a review mechanism is required</w:t>
            </w:r>
            <w:r w:rsidR="004D46BC">
              <w:rPr>
                <w:rFonts w:cs="Arial"/>
                <w:szCs w:val="18"/>
              </w:rPr>
              <w:t>,</w:t>
            </w:r>
            <w:r>
              <w:rPr>
                <w:rFonts w:cs="Arial"/>
                <w:szCs w:val="18"/>
              </w:rPr>
              <w:t xml:space="preserve"> this could be contemplated through a rule change</w:t>
            </w:r>
            <w:r w:rsidR="00142468">
              <w:rPr>
                <w:rFonts w:cs="Arial"/>
                <w:szCs w:val="18"/>
              </w:rPr>
              <w:t xml:space="preserve"> request</w:t>
            </w:r>
            <w:r>
              <w:rPr>
                <w:rFonts w:cs="Arial"/>
                <w:szCs w:val="18"/>
              </w:rPr>
              <w:t>.</w:t>
            </w:r>
          </w:p>
        </w:tc>
      </w:tr>
      <w:tr w:rsidR="002B13EB" w:rsidRPr="00992062" w14:paraId="0E3E30A6" w14:textId="77777777" w:rsidTr="002B13EB">
        <w:trPr>
          <w:cnfStyle w:val="000000010000" w:firstRow="0" w:lastRow="0" w:firstColumn="0" w:lastColumn="0" w:oddVBand="0" w:evenVBand="0" w:oddHBand="0" w:evenHBand="1" w:firstRowFirstColumn="0" w:firstRowLastColumn="0" w:lastRowFirstColumn="0" w:lastRowLastColumn="0"/>
        </w:trPr>
        <w:tc>
          <w:tcPr>
            <w:tcW w:w="2525" w:type="dxa"/>
            <w:vAlign w:val="center"/>
          </w:tcPr>
          <w:p w14:paraId="0120D537" w14:textId="77777777" w:rsidR="002B13EB" w:rsidRPr="00992062" w:rsidRDefault="002B13EB" w:rsidP="002B13EB">
            <w:pPr>
              <w:rPr>
                <w:rFonts w:cs="Arial"/>
                <w:szCs w:val="20"/>
                <w:lang w:val="en-US" w:eastAsia="en-US"/>
              </w:rPr>
            </w:pPr>
            <w:r>
              <w:rPr>
                <w:rFonts w:cs="Arial"/>
                <w:szCs w:val="20"/>
                <w:lang w:val="en-US" w:eastAsia="en-US"/>
              </w:rPr>
              <w:t>Principles for determining zones</w:t>
            </w:r>
          </w:p>
        </w:tc>
        <w:tc>
          <w:tcPr>
            <w:tcW w:w="6263" w:type="dxa"/>
            <w:vAlign w:val="center"/>
          </w:tcPr>
          <w:p w14:paraId="63A053A7" w14:textId="77777777" w:rsidR="002B13EB" w:rsidRDefault="002815CD" w:rsidP="002B13EB">
            <w:pPr>
              <w:pStyle w:val="BodyText"/>
              <w:spacing w:before="60" w:after="60"/>
              <w:rPr>
                <w:rFonts w:cs="Arial"/>
              </w:rPr>
            </w:pPr>
            <w:r>
              <w:rPr>
                <w:rFonts w:cs="Arial"/>
              </w:rPr>
              <w:t xml:space="preserve">The GMRG has considered the feedback stakeholders provided on the principles </w:t>
            </w:r>
            <w:r w:rsidR="004D46BC">
              <w:rPr>
                <w:rFonts w:cs="Arial"/>
              </w:rPr>
              <w:t xml:space="preserve">for determining </w:t>
            </w:r>
            <w:r>
              <w:rPr>
                <w:rFonts w:cs="Arial"/>
              </w:rPr>
              <w:t xml:space="preserve">zones and agrees that some refinements </w:t>
            </w:r>
            <w:r w:rsidR="00C01A87">
              <w:rPr>
                <w:rFonts w:cs="Arial"/>
              </w:rPr>
              <w:t xml:space="preserve">to </w:t>
            </w:r>
            <w:r w:rsidR="004D46BC">
              <w:rPr>
                <w:rFonts w:cs="Arial"/>
              </w:rPr>
              <w:t xml:space="preserve">these principles </w:t>
            </w:r>
            <w:r>
              <w:rPr>
                <w:rFonts w:cs="Arial"/>
              </w:rPr>
              <w:t>are required to address the concerns raised about:</w:t>
            </w:r>
          </w:p>
          <w:p w14:paraId="18B6221C" w14:textId="77777777" w:rsidR="002815CD" w:rsidRDefault="00C01A87" w:rsidP="00C01A87">
            <w:pPr>
              <w:pStyle w:val="TableBullet1"/>
            </w:pPr>
            <w:r>
              <w:t>t</w:t>
            </w:r>
            <w:r w:rsidR="002815CD">
              <w:t xml:space="preserve">he potential for single point zones to become the default; </w:t>
            </w:r>
          </w:p>
          <w:p w14:paraId="1E475574" w14:textId="77777777" w:rsidR="002815CD" w:rsidRDefault="00C01A87" w:rsidP="00C01A87">
            <w:pPr>
              <w:pStyle w:val="TableBullet1"/>
            </w:pPr>
            <w:r>
              <w:t>t</w:t>
            </w:r>
            <w:r w:rsidR="002815CD">
              <w:t xml:space="preserve">he </w:t>
            </w:r>
            <w:r w:rsidR="004D46BC">
              <w:t xml:space="preserve">requirement for </w:t>
            </w:r>
            <w:r w:rsidR="002815CD">
              <w:t>consider</w:t>
            </w:r>
            <w:r w:rsidR="004D46BC">
              <w:t>ation to be given to</w:t>
            </w:r>
            <w:r w:rsidR="002815CD">
              <w:t xml:space="preserve"> the physical characteristics of a pipeline</w:t>
            </w:r>
            <w:r>
              <w:t>; and</w:t>
            </w:r>
          </w:p>
          <w:p w14:paraId="31A60F58" w14:textId="77777777" w:rsidR="00C01A87" w:rsidRDefault="00C01A87" w:rsidP="00C01A87">
            <w:pPr>
              <w:pStyle w:val="TableBullet1"/>
            </w:pPr>
            <w:r>
              <w:t xml:space="preserve">the </w:t>
            </w:r>
            <w:r w:rsidR="004D46BC">
              <w:t xml:space="preserve">requirement for consideration to be given to the </w:t>
            </w:r>
            <w:r>
              <w:t>potential curtailment of capacity.</w:t>
            </w:r>
          </w:p>
          <w:p w14:paraId="4AA77264" w14:textId="77777777" w:rsidR="00117F97" w:rsidRDefault="00117F97" w:rsidP="00C01A87">
            <w:pPr>
              <w:pStyle w:val="TableBullet1"/>
              <w:numPr>
                <w:ilvl w:val="0"/>
                <w:numId w:val="0"/>
              </w:numPr>
              <w:ind w:left="85"/>
            </w:pPr>
            <w:r>
              <w:t xml:space="preserve">The principles in Part 24 of the NGR have therefore been amended. </w:t>
            </w:r>
          </w:p>
          <w:p w14:paraId="14DC54DA" w14:textId="77777777" w:rsidR="00117F97" w:rsidRDefault="00117F97" w:rsidP="00C01A87">
            <w:pPr>
              <w:pStyle w:val="TableBullet1"/>
              <w:numPr>
                <w:ilvl w:val="0"/>
                <w:numId w:val="0"/>
              </w:numPr>
              <w:ind w:left="85"/>
            </w:pPr>
            <w:r>
              <w:t>In relation to the other matters raised by service providers, the GMRG is of the view that:</w:t>
            </w:r>
          </w:p>
          <w:p w14:paraId="63AFDF99" w14:textId="77777777" w:rsidR="00117F97" w:rsidRDefault="00117F97" w:rsidP="00117F97">
            <w:pPr>
              <w:pStyle w:val="TableBullet1"/>
            </w:pPr>
            <w:r>
              <w:t xml:space="preserve">a principle requiring AEMO to consider contractual obligations would </w:t>
            </w:r>
            <w:r w:rsidR="00700609">
              <w:t xml:space="preserve">be </w:t>
            </w:r>
            <w:r w:rsidR="004D46BC">
              <w:t>im</w:t>
            </w:r>
            <w:r w:rsidR="00C01A87">
              <w:t>practical to implement (i.e. due to the confidential nature of contracts) and could undermine the effectiveness of the reforms</w:t>
            </w:r>
            <w:r>
              <w:t>; and</w:t>
            </w:r>
          </w:p>
          <w:p w14:paraId="6D21D775" w14:textId="77777777" w:rsidR="00117F97" w:rsidRDefault="00117F97" w:rsidP="00117F97">
            <w:pPr>
              <w:pStyle w:val="TableBullet1"/>
            </w:pPr>
            <w:r>
              <w:t xml:space="preserve">the principles would already allow AEMO to consider the impact of any tariff zones on the specification of zones (i.e. </w:t>
            </w:r>
            <w:r w:rsidR="00C01A87">
              <w:t>when considering the impact of the zonal specification on trade in products</w:t>
            </w:r>
            <w:r>
              <w:t xml:space="preserve">). </w:t>
            </w:r>
          </w:p>
          <w:p w14:paraId="46538C67" w14:textId="77777777" w:rsidR="00C01A87" w:rsidRPr="00992062" w:rsidRDefault="00117F97" w:rsidP="00C01A87">
            <w:pPr>
              <w:pStyle w:val="TableBullet1"/>
              <w:numPr>
                <w:ilvl w:val="0"/>
                <w:numId w:val="0"/>
              </w:numPr>
              <w:ind w:left="85"/>
            </w:pPr>
            <w:r>
              <w:t xml:space="preserve">No refinements have therefore been made to address these matters. </w:t>
            </w:r>
          </w:p>
        </w:tc>
      </w:tr>
      <w:tr w:rsidR="002B13EB" w:rsidRPr="00992062" w14:paraId="2ACE3EBF" w14:textId="77777777" w:rsidTr="002B13EB">
        <w:tc>
          <w:tcPr>
            <w:tcW w:w="2525" w:type="dxa"/>
            <w:tcBorders>
              <w:bottom w:val="single" w:sz="4" w:space="0" w:color="auto"/>
            </w:tcBorders>
            <w:vAlign w:val="center"/>
          </w:tcPr>
          <w:p w14:paraId="02DD12FF" w14:textId="77777777" w:rsidR="002B13EB" w:rsidRDefault="002B13EB" w:rsidP="002B13EB">
            <w:pPr>
              <w:rPr>
                <w:rFonts w:cs="Arial"/>
                <w:szCs w:val="20"/>
                <w:lang w:val="en-US" w:eastAsia="en-US"/>
              </w:rPr>
            </w:pPr>
            <w:r>
              <w:rPr>
                <w:rFonts w:cs="Arial"/>
                <w:szCs w:val="20"/>
                <w:lang w:val="en-US" w:eastAsia="en-US"/>
              </w:rPr>
              <w:t>Other matters</w:t>
            </w:r>
          </w:p>
        </w:tc>
        <w:tc>
          <w:tcPr>
            <w:tcW w:w="6263" w:type="dxa"/>
            <w:tcBorders>
              <w:bottom w:val="single" w:sz="4" w:space="0" w:color="auto"/>
            </w:tcBorders>
            <w:vAlign w:val="center"/>
          </w:tcPr>
          <w:p w14:paraId="762E6712" w14:textId="77777777" w:rsidR="002B13EB" w:rsidRDefault="00C01A87" w:rsidP="002B13EB">
            <w:pPr>
              <w:pStyle w:val="BodyText"/>
              <w:spacing w:before="60" w:after="60"/>
              <w:rPr>
                <w:rFonts w:cs="Arial"/>
              </w:rPr>
            </w:pPr>
            <w:r>
              <w:rPr>
                <w:rFonts w:cs="Arial"/>
              </w:rPr>
              <w:t xml:space="preserve">The GMRG agrees with Origin and Palisade that there would be benefit in AEMO publishing information on the curtailment of capacity in a zone so that shippers can understand the risks surrounding deliverability within a zone. Provision has therefore been made in </w:t>
            </w:r>
            <w:r w:rsidR="00117F97">
              <w:rPr>
                <w:rFonts w:cs="Arial"/>
              </w:rPr>
              <w:t xml:space="preserve">Part 24 of </w:t>
            </w:r>
            <w:r>
              <w:rPr>
                <w:rFonts w:cs="Arial"/>
              </w:rPr>
              <w:t>the NGR for facility operators to provide AEMO with information on curtailments within a zone and for AEMO to publish this information on the Bulletin Board.</w:t>
            </w:r>
          </w:p>
          <w:p w14:paraId="6D3524B6" w14:textId="77777777" w:rsidR="00C01A87" w:rsidRPr="00992062" w:rsidRDefault="00C01A87" w:rsidP="002B13EB">
            <w:pPr>
              <w:pStyle w:val="BodyText"/>
              <w:spacing w:before="60" w:after="60"/>
              <w:rPr>
                <w:rFonts w:cs="Arial"/>
              </w:rPr>
            </w:pPr>
            <w:r>
              <w:rPr>
                <w:rFonts w:cs="Arial"/>
              </w:rPr>
              <w:t>As to the ECA and Chemistry Australia’s suggestion, the GMRG notes that the governance framework allows for any interested party (including AEMO) to propose a change to zone specifications</w:t>
            </w:r>
            <w:r w:rsidR="00117F97">
              <w:rPr>
                <w:rFonts w:cs="Arial"/>
              </w:rPr>
              <w:t xml:space="preserve"> at any time</w:t>
            </w:r>
            <w:r>
              <w:rPr>
                <w:rFonts w:cs="Arial"/>
              </w:rPr>
              <w:t xml:space="preserve">. </w:t>
            </w:r>
            <w:r w:rsidR="00117F97">
              <w:rPr>
                <w:rFonts w:cs="Arial"/>
              </w:rPr>
              <w:t xml:space="preserve">This should ensure that the currency of zonal definitions is maintained </w:t>
            </w:r>
            <w:r w:rsidR="00FF7B5D">
              <w:rPr>
                <w:rFonts w:cs="Arial"/>
              </w:rPr>
              <w:t xml:space="preserve">over time. </w:t>
            </w:r>
          </w:p>
        </w:tc>
      </w:tr>
    </w:tbl>
    <w:p w14:paraId="4549FD21" w14:textId="77777777" w:rsidR="002B13EB" w:rsidRPr="00AD4A23" w:rsidRDefault="00AD4A23" w:rsidP="002B13EB">
      <w:pPr>
        <w:pStyle w:val="AppendixHeading3"/>
        <w:rPr>
          <w:color w:val="0099CC"/>
        </w:rPr>
      </w:pPr>
      <w:r w:rsidRPr="00AD4A23">
        <w:rPr>
          <w:color w:val="0099CC"/>
        </w:rPr>
        <w:t>Transportation s</w:t>
      </w:r>
      <w:r w:rsidR="002B13EB" w:rsidRPr="00AD4A23">
        <w:rPr>
          <w:color w:val="0099CC"/>
        </w:rPr>
        <w:t>ervice provider cost recovery</w:t>
      </w:r>
    </w:p>
    <w:p w14:paraId="4280A95D" w14:textId="77777777" w:rsidR="002B13EB" w:rsidRDefault="002B13EB" w:rsidP="002B13EB">
      <w:pPr>
        <w:pStyle w:val="BodyText"/>
      </w:pPr>
      <w:r>
        <w:t xml:space="preserve">The </w:t>
      </w:r>
      <w:r w:rsidR="009257EC">
        <w:t xml:space="preserve">March 2018 consultation paper sought stakeholder feedback on </w:t>
      </w:r>
      <w:r>
        <w:t xml:space="preserve">whether the cost recovery arrangements </w:t>
      </w:r>
      <w:r w:rsidR="00AD4A23">
        <w:t xml:space="preserve">for transportation services providers </w:t>
      </w:r>
      <w:r w:rsidRPr="00F12295">
        <w:rPr>
          <w:rFonts w:eastAsiaTheme="majorEastAsia"/>
        </w:rPr>
        <w:t>provide</w:t>
      </w:r>
      <w:r>
        <w:rPr>
          <w:rFonts w:eastAsiaTheme="majorEastAsia"/>
        </w:rPr>
        <w:t>d</w:t>
      </w:r>
      <w:r w:rsidRPr="00F12295">
        <w:rPr>
          <w:rFonts w:eastAsiaTheme="majorEastAsia"/>
        </w:rPr>
        <w:t xml:space="preserve"> sufficient protection </w:t>
      </w:r>
      <w:r w:rsidRPr="00F12295">
        <w:rPr>
          <w:rFonts w:eastAsiaTheme="majorEastAsia"/>
        </w:rPr>
        <w:lastRenderedPageBreak/>
        <w:t xml:space="preserve">against </w:t>
      </w:r>
      <w:r w:rsidR="00AD4A23">
        <w:rPr>
          <w:rFonts w:eastAsiaTheme="majorEastAsia"/>
        </w:rPr>
        <w:t>the risks some shippers had raised regarding ‘gold plating’ and over-recovery of costs</w:t>
      </w:r>
      <w:r>
        <w:rPr>
          <w:rFonts w:eastAsiaTheme="majorEastAsia"/>
        </w:rPr>
        <w:t xml:space="preserve">, or if additional </w:t>
      </w:r>
      <w:r w:rsidRPr="00F12295">
        <w:rPr>
          <w:rFonts w:eastAsiaTheme="majorEastAsia"/>
        </w:rPr>
        <w:t xml:space="preserve">measures </w:t>
      </w:r>
      <w:r>
        <w:rPr>
          <w:rFonts w:eastAsiaTheme="majorEastAsia"/>
        </w:rPr>
        <w:t xml:space="preserve">were required. </w:t>
      </w:r>
    </w:p>
    <w:p w14:paraId="5CEE2E79" w14:textId="77777777" w:rsidR="00117F97" w:rsidRDefault="002B13EB" w:rsidP="002B13EB">
      <w:pPr>
        <w:pStyle w:val="BodyText"/>
      </w:pPr>
      <w:r>
        <w:t xml:space="preserve">The shippers and user groups that responded to this question agreed that there was a risk that the cost recovery mechanism could be exploited by service providers </w:t>
      </w:r>
      <w:r w:rsidR="00117F97">
        <w:t xml:space="preserve">and noted that </w:t>
      </w:r>
      <w:r>
        <w:t xml:space="preserve">the costs </w:t>
      </w:r>
      <w:r w:rsidRPr="008F64CE">
        <w:t xml:space="preserve">would ultimately </w:t>
      </w:r>
      <w:r w:rsidR="00117F97">
        <w:t xml:space="preserve">be </w:t>
      </w:r>
      <w:r w:rsidRPr="008F64CE">
        <w:t xml:space="preserve">borne by shippers and end-users. To address this risk, some stakeholders suggested that further consideration be given to requiring the AER to conduct an ex ante review of service providers’ costs and other measures (such as benchmarking or an output-based assessment) be employed (AGL, Chemistry Australia and ECA). </w:t>
      </w:r>
    </w:p>
    <w:p w14:paraId="3879C20E" w14:textId="77777777" w:rsidR="002B13EB" w:rsidRPr="008F64CE" w:rsidRDefault="002B13EB" w:rsidP="002B13EB">
      <w:pPr>
        <w:pStyle w:val="BodyText"/>
      </w:pPr>
      <w:r w:rsidRPr="008F64CE">
        <w:t>Other stakeholders</w:t>
      </w:r>
      <w:r w:rsidR="00AD4A23">
        <w:t>, on the other hand,</w:t>
      </w:r>
      <w:r>
        <w:t xml:space="preserve"> </w:t>
      </w:r>
      <w:r w:rsidRPr="008F64CE">
        <w:t xml:space="preserve">thought the proposal to allow the AER to conduct an ex post review if it or other interested parties had concerns with the charges was sufficient (PIAC, ERM and PWC), but suggested that this could be strengthened by: </w:t>
      </w:r>
    </w:p>
    <w:p w14:paraId="321674B8" w14:textId="77777777" w:rsidR="002B13EB" w:rsidRPr="008F64CE" w:rsidRDefault="002B13EB" w:rsidP="002B13EB">
      <w:pPr>
        <w:pStyle w:val="ListBullet"/>
      </w:pPr>
      <w:r w:rsidRPr="008F64CE">
        <w:t xml:space="preserve">requiring the AER to conduct a review within the first 12 months (ERM); </w:t>
      </w:r>
      <w:r w:rsidR="00AD4A23">
        <w:t>or</w:t>
      </w:r>
    </w:p>
    <w:p w14:paraId="22888452" w14:textId="77777777" w:rsidR="002B13EB" w:rsidRPr="008F64CE" w:rsidRDefault="002B13EB" w:rsidP="002B13EB">
      <w:pPr>
        <w:pStyle w:val="ListBullet"/>
      </w:pPr>
      <w:r w:rsidRPr="008F64CE">
        <w:t>allowing the AER to require an independent audit of costs (PWC)</w:t>
      </w:r>
      <w:r w:rsidR="00AD4A23">
        <w:t>.</w:t>
      </w:r>
    </w:p>
    <w:p w14:paraId="6A491095" w14:textId="77777777" w:rsidR="002B13EB" w:rsidRPr="008F64CE" w:rsidRDefault="002B13EB" w:rsidP="002B13EB">
      <w:pPr>
        <w:pStyle w:val="ListBullet"/>
        <w:numPr>
          <w:ilvl w:val="0"/>
          <w:numId w:val="0"/>
        </w:numPr>
        <w:spacing w:after="240"/>
      </w:pPr>
      <w:r>
        <w:t>The MEU</w:t>
      </w:r>
      <w:r w:rsidR="00AD4A23">
        <w:t xml:space="preserve"> also noted the </w:t>
      </w:r>
      <w:r>
        <w:t>importance of consumers being involved in any assessment</w:t>
      </w:r>
      <w:r w:rsidR="00AD4A23">
        <w:t xml:space="preserve"> of whether the costs are acceptable</w:t>
      </w:r>
      <w:r>
        <w:t>.</w:t>
      </w:r>
    </w:p>
    <w:p w14:paraId="100E1952" w14:textId="77777777" w:rsidR="002B13EB" w:rsidRPr="00ED3327" w:rsidRDefault="002B13EB" w:rsidP="002B13EB">
      <w:pPr>
        <w:pStyle w:val="ListBullet"/>
        <w:numPr>
          <w:ilvl w:val="0"/>
          <w:numId w:val="0"/>
        </w:numPr>
      </w:pPr>
      <w:r w:rsidRPr="00ED3327">
        <w:t xml:space="preserve">The service providers that responded to this question (APA, Jemena and Palisade) were not opposed to the AER being able to conduct an ex post review of their costs and charges. They did, however, raise concerns </w:t>
      </w:r>
      <w:r w:rsidR="00117F97">
        <w:t xml:space="preserve">about the proposed </w:t>
      </w:r>
      <w:r w:rsidRPr="00ED3327">
        <w:t xml:space="preserve">drafting of the cost recovery mechanism in </w:t>
      </w:r>
      <w:r w:rsidR="00117F97">
        <w:t>Part 24 of the NGR</w:t>
      </w:r>
      <w:r w:rsidRPr="00ED3327">
        <w:t>.  For example:</w:t>
      </w:r>
    </w:p>
    <w:p w14:paraId="07EE1591" w14:textId="77777777" w:rsidR="002B13EB" w:rsidRPr="00ED3327" w:rsidRDefault="002B13EB" w:rsidP="002B13EB">
      <w:pPr>
        <w:pStyle w:val="ListBullet"/>
      </w:pPr>
      <w:r w:rsidRPr="00ED3327">
        <w:t>APA stated that service providers should be able to recover the incremental costs associated with their obligations under Part 25 of the NGR, while Jemena stated they should be able to recover the costs associated with implementing the standard market timetable and any other procedures or protocols issued by AEMO</w:t>
      </w:r>
      <w:r>
        <w:t>;</w:t>
      </w:r>
      <w:r w:rsidRPr="00ED3327">
        <w:t xml:space="preserve"> </w:t>
      </w:r>
    </w:p>
    <w:p w14:paraId="53BE06AF" w14:textId="77777777" w:rsidR="002B13EB" w:rsidRDefault="002B13EB" w:rsidP="002B13EB">
      <w:pPr>
        <w:pStyle w:val="ListBullet"/>
      </w:pPr>
      <w:r w:rsidRPr="00ED3327">
        <w:t xml:space="preserve">Jemena stated that it was unclear who service providers </w:t>
      </w:r>
      <w:r w:rsidR="00117F97">
        <w:t xml:space="preserve">would be able to </w:t>
      </w:r>
      <w:r w:rsidRPr="00ED3327">
        <w:t xml:space="preserve">recover costs from and </w:t>
      </w:r>
      <w:r w:rsidR="00117F97">
        <w:t xml:space="preserve">noted </w:t>
      </w:r>
      <w:r w:rsidRPr="00ED3327">
        <w:t>that it may be necessary to impose additional charges on existing primary shippers as a ‘change in law’ cost</w:t>
      </w:r>
      <w:r>
        <w:t>; and</w:t>
      </w:r>
    </w:p>
    <w:p w14:paraId="3C134B74" w14:textId="77777777" w:rsidR="002B13EB" w:rsidRPr="00ED3327" w:rsidRDefault="002B13EB" w:rsidP="002B13EB">
      <w:pPr>
        <w:pStyle w:val="ListBullet"/>
      </w:pPr>
      <w:r w:rsidRPr="00ED3327">
        <w:t>APA and Palisade raised concerns about the proposal to classify a number of the cost recovery provisions as civil penalty and conduct provisions</w:t>
      </w:r>
      <w:r>
        <w:t>.</w:t>
      </w:r>
      <w:r w:rsidRPr="00ED3327">
        <w:t xml:space="preserve"> </w:t>
      </w:r>
    </w:p>
    <w:p w14:paraId="4B427FDA" w14:textId="77777777" w:rsidR="002B13EB" w:rsidRDefault="002B13EB" w:rsidP="002B13EB">
      <w:pPr>
        <w:pStyle w:val="BodyText"/>
      </w:pPr>
      <w:r>
        <w:t xml:space="preserve">The GMRG’s responses to this feedback </w:t>
      </w:r>
      <w:r w:rsidR="00117F97">
        <w:t xml:space="preserve">are </w:t>
      </w:r>
      <w:r>
        <w:t>provided in the table below.</w:t>
      </w:r>
    </w:p>
    <w:p w14:paraId="512F9873" w14:textId="77777777" w:rsidR="002B13EB" w:rsidRDefault="002B13EB" w:rsidP="00456349">
      <w:pPr>
        <w:pStyle w:val="Caption"/>
        <w:spacing w:after="0"/>
      </w:pPr>
      <w:r>
        <w:lastRenderedPageBreak/>
        <w:t xml:space="preserve">Table </w:t>
      </w:r>
      <w:r>
        <w:rPr>
          <w:noProof/>
        </w:rPr>
        <w:t>A</w:t>
      </w:r>
      <w:r>
        <w:t>.</w:t>
      </w:r>
      <w:r w:rsidR="009257EC">
        <w:rPr>
          <w:noProof/>
        </w:rPr>
        <w:t>5</w:t>
      </w:r>
      <w:r>
        <w:t xml:space="preserve">: Response to issues raised on service provider cost recovery </w:t>
      </w:r>
    </w:p>
    <w:tbl>
      <w:tblPr>
        <w:tblStyle w:val="TableGrid"/>
        <w:tblW w:w="0" w:type="auto"/>
        <w:tblLook w:val="04A0" w:firstRow="1" w:lastRow="0" w:firstColumn="1" w:lastColumn="0" w:noHBand="0" w:noVBand="1"/>
        <w:tblCaption w:val="Response to issues raised about arbitration"/>
        <w:tblDescription w:val="Table of stakeholder concerns and GMRG response"/>
      </w:tblPr>
      <w:tblGrid>
        <w:gridCol w:w="1843"/>
        <w:gridCol w:w="6945"/>
      </w:tblGrid>
      <w:tr w:rsidR="002B13EB" w:rsidRPr="00992062" w14:paraId="64CC6199" w14:textId="77777777" w:rsidTr="002B13EB">
        <w:trPr>
          <w:cnfStyle w:val="100000000000" w:firstRow="1" w:lastRow="0" w:firstColumn="0" w:lastColumn="0" w:oddVBand="0" w:evenVBand="0" w:oddHBand="0" w:evenHBand="0" w:firstRowFirstColumn="0" w:firstRowLastColumn="0" w:lastRowFirstColumn="0" w:lastRowLastColumn="0"/>
          <w:trHeight w:val="153"/>
          <w:tblHeader/>
        </w:trPr>
        <w:tc>
          <w:tcPr>
            <w:tcW w:w="1843" w:type="dxa"/>
            <w:shd w:val="clear" w:color="auto" w:fill="0099CC"/>
          </w:tcPr>
          <w:p w14:paraId="29F84DD8" w14:textId="77777777" w:rsidR="002B13EB" w:rsidRPr="00992062" w:rsidRDefault="002B13EB" w:rsidP="00456349">
            <w:pPr>
              <w:pStyle w:val="BodyText"/>
              <w:keepNext/>
              <w:spacing w:before="60" w:after="60"/>
              <w:rPr>
                <w:rFonts w:cs="Arial"/>
                <w:szCs w:val="18"/>
              </w:rPr>
            </w:pPr>
            <w:r w:rsidRPr="00992062">
              <w:rPr>
                <w:rFonts w:cs="Arial"/>
                <w:szCs w:val="18"/>
              </w:rPr>
              <w:t>Stakeholder concern</w:t>
            </w:r>
          </w:p>
        </w:tc>
        <w:tc>
          <w:tcPr>
            <w:tcW w:w="6945" w:type="dxa"/>
            <w:shd w:val="clear" w:color="auto" w:fill="0099CC"/>
          </w:tcPr>
          <w:p w14:paraId="35CF17AF" w14:textId="77777777" w:rsidR="002B13EB" w:rsidRPr="00992062" w:rsidRDefault="002B13EB" w:rsidP="00456349">
            <w:pPr>
              <w:pStyle w:val="BodyText"/>
              <w:keepNext/>
              <w:spacing w:before="60" w:after="60"/>
              <w:rPr>
                <w:rFonts w:cs="Arial"/>
                <w:szCs w:val="18"/>
              </w:rPr>
            </w:pPr>
            <w:r w:rsidRPr="00992062">
              <w:rPr>
                <w:rFonts w:cs="Arial"/>
                <w:szCs w:val="18"/>
              </w:rPr>
              <w:t>GMRG response</w:t>
            </w:r>
          </w:p>
        </w:tc>
      </w:tr>
      <w:tr w:rsidR="002B13EB" w:rsidRPr="00992062" w14:paraId="66EEBE43" w14:textId="77777777" w:rsidTr="002B13EB">
        <w:tc>
          <w:tcPr>
            <w:tcW w:w="1843" w:type="dxa"/>
            <w:vAlign w:val="center"/>
          </w:tcPr>
          <w:p w14:paraId="0FC9204C" w14:textId="77777777" w:rsidR="002B13EB" w:rsidRPr="00992062" w:rsidRDefault="002B13EB" w:rsidP="00456349">
            <w:pPr>
              <w:pStyle w:val="BodyText"/>
              <w:keepNext/>
              <w:spacing w:before="60" w:after="60"/>
              <w:rPr>
                <w:rFonts w:cs="Arial"/>
              </w:rPr>
            </w:pPr>
            <w:r>
              <w:rPr>
                <w:rFonts w:cs="Arial"/>
              </w:rPr>
              <w:t xml:space="preserve">Review mechanism </w:t>
            </w:r>
          </w:p>
        </w:tc>
        <w:tc>
          <w:tcPr>
            <w:tcW w:w="6945" w:type="dxa"/>
            <w:vAlign w:val="center"/>
          </w:tcPr>
          <w:p w14:paraId="31E8C4CC" w14:textId="77777777" w:rsidR="00117F97" w:rsidRDefault="002B13EB" w:rsidP="00456349">
            <w:pPr>
              <w:pStyle w:val="TableBodyText"/>
              <w:keepNext/>
            </w:pPr>
            <w:r>
              <w:t>The GMRG understands the concerns that shippers and user groups have expressed about the potential for the cost recovery mechanism to result in service providers ‘gold plating’ their systems or trying to recover more than the incremental costs from shippers. The GMRG is, however, concerned about</w:t>
            </w:r>
            <w:r w:rsidR="00117F97">
              <w:t>:</w:t>
            </w:r>
            <w:r>
              <w:t xml:space="preserve"> </w:t>
            </w:r>
          </w:p>
          <w:p w14:paraId="49D2A0FF" w14:textId="77777777" w:rsidR="00117F97" w:rsidRDefault="00117F97" w:rsidP="00142468">
            <w:pPr>
              <w:pStyle w:val="TableBullet1"/>
            </w:pPr>
            <w:r>
              <w:t xml:space="preserve">the costs that would be associated with </w:t>
            </w:r>
            <w:r w:rsidR="002B13EB">
              <w:t>requiring the AER to conduct an ex ante review of the standardisation costs and charges levied by all service providers given that this would not be a one-off review</w:t>
            </w:r>
            <w:r>
              <w:t>; and</w:t>
            </w:r>
          </w:p>
          <w:p w14:paraId="30773D24" w14:textId="77777777" w:rsidR="00117F97" w:rsidRDefault="002B13EB" w:rsidP="00142468">
            <w:pPr>
              <w:pStyle w:val="TableBullet1"/>
            </w:pPr>
            <w:r>
              <w:t xml:space="preserve">the practicalities associated with using an output-based recovery mechanism. </w:t>
            </w:r>
          </w:p>
          <w:p w14:paraId="69715422" w14:textId="77777777" w:rsidR="002B13EB" w:rsidRDefault="002B13EB" w:rsidP="00456349">
            <w:pPr>
              <w:pStyle w:val="TableBodyText"/>
              <w:keepNext/>
            </w:pPr>
            <w:r>
              <w:t xml:space="preserve">The GMRG remains therefore of the view that an ex post review mechanism that allows the AER to initiate a review at any point in time is the more appropriate review mechanism to adopt in this context. </w:t>
            </w:r>
          </w:p>
          <w:p w14:paraId="3BB59630" w14:textId="6F99C2B3" w:rsidR="002B13EB" w:rsidRDefault="00142468" w:rsidP="00456349">
            <w:pPr>
              <w:pStyle w:val="TableBodyText"/>
              <w:keepNext/>
            </w:pPr>
            <w:r>
              <w:t xml:space="preserve">That said, the GMRG </w:t>
            </w:r>
            <w:r w:rsidR="002B13EB">
              <w:t xml:space="preserve">does think there would be merit in implementing the additional measures proposed by ERM and PWC. Provision has therefore been made in the transitional rules </w:t>
            </w:r>
            <w:r w:rsidR="00117F97">
              <w:t xml:space="preserve">in Schedule 5 of the NGR </w:t>
            </w:r>
            <w:r w:rsidR="002B13EB">
              <w:t xml:space="preserve">for the AER to: </w:t>
            </w:r>
          </w:p>
          <w:p w14:paraId="404F7040" w14:textId="77777777" w:rsidR="002B13EB" w:rsidRDefault="002B13EB" w:rsidP="00142468">
            <w:pPr>
              <w:pStyle w:val="TableBullet1"/>
            </w:pPr>
            <w:r>
              <w:t xml:space="preserve">conduct a review of the compliance of the standardisation costs and charges with the cost recovery and charging principles within the first 12 months of the capacity trading platform and </w:t>
            </w:r>
            <w:r w:rsidR="00117F97">
              <w:t xml:space="preserve">day-ahead </w:t>
            </w:r>
            <w:r>
              <w:t xml:space="preserve">auction being implemented; </w:t>
            </w:r>
          </w:p>
          <w:p w14:paraId="429225A9" w14:textId="77777777" w:rsidR="002B13EB" w:rsidRDefault="002B13EB" w:rsidP="00142468">
            <w:pPr>
              <w:pStyle w:val="TableBullet1"/>
            </w:pPr>
            <w:r>
              <w:t>require an independent audit of the standardisation costs to be conducted as part of this review; and</w:t>
            </w:r>
          </w:p>
          <w:p w14:paraId="7BBB9923" w14:textId="77777777" w:rsidR="002B13EB" w:rsidRPr="00992062" w:rsidRDefault="002B13EB" w:rsidP="00142468">
            <w:pPr>
              <w:pStyle w:val="TableBullet1"/>
            </w:pPr>
            <w:r>
              <w:t>seek input from users and other interested parties when conducting the review.</w:t>
            </w:r>
          </w:p>
        </w:tc>
      </w:tr>
      <w:tr w:rsidR="002B13EB" w:rsidRPr="00992062" w14:paraId="4763E3C6" w14:textId="77777777" w:rsidTr="002B13EB">
        <w:trPr>
          <w:cnfStyle w:val="000000010000" w:firstRow="0" w:lastRow="0" w:firstColumn="0" w:lastColumn="0" w:oddVBand="0" w:evenVBand="0" w:oddHBand="0" w:evenHBand="1" w:firstRowFirstColumn="0" w:firstRowLastColumn="0" w:lastRowFirstColumn="0" w:lastRowLastColumn="0"/>
        </w:trPr>
        <w:tc>
          <w:tcPr>
            <w:tcW w:w="1843" w:type="dxa"/>
            <w:tcBorders>
              <w:bottom w:val="single" w:sz="4" w:space="0" w:color="auto"/>
            </w:tcBorders>
            <w:vAlign w:val="center"/>
          </w:tcPr>
          <w:p w14:paraId="7005F591" w14:textId="77777777" w:rsidR="002B13EB" w:rsidRPr="00992062" w:rsidRDefault="002B13EB" w:rsidP="002B13EB">
            <w:pPr>
              <w:rPr>
                <w:rFonts w:cs="Arial"/>
                <w:szCs w:val="20"/>
                <w:lang w:val="en-US" w:eastAsia="en-US"/>
              </w:rPr>
            </w:pPr>
            <w:r>
              <w:rPr>
                <w:rFonts w:cs="Arial"/>
                <w:szCs w:val="20"/>
                <w:lang w:val="en-US" w:eastAsia="en-US"/>
              </w:rPr>
              <w:t>Other matters raised by service providers</w:t>
            </w:r>
          </w:p>
        </w:tc>
        <w:tc>
          <w:tcPr>
            <w:tcW w:w="6945" w:type="dxa"/>
            <w:tcBorders>
              <w:bottom w:val="single" w:sz="4" w:space="0" w:color="auto"/>
            </w:tcBorders>
            <w:vAlign w:val="center"/>
          </w:tcPr>
          <w:p w14:paraId="2FAAA4BA" w14:textId="77777777" w:rsidR="002B13EB" w:rsidRDefault="00AD4A23" w:rsidP="00AD4A23">
            <w:pPr>
              <w:pStyle w:val="TableBodyText"/>
            </w:pPr>
            <w:r>
              <w:t xml:space="preserve">The GMRG has considered the issues raised by service providers about the drafting of the cost recovery provisions and agrees with </w:t>
            </w:r>
            <w:r w:rsidR="002B13EB">
              <w:t xml:space="preserve">APA that the cost recovery rule should refer to Part 25 </w:t>
            </w:r>
            <w:r>
              <w:t xml:space="preserve">of the NGR. </w:t>
            </w:r>
            <w:r w:rsidR="002B13EB">
              <w:t xml:space="preserve">In relation to Jemena’s concerns, the GMRG </w:t>
            </w:r>
            <w:r w:rsidR="00117F97">
              <w:t xml:space="preserve">notes </w:t>
            </w:r>
            <w:r w:rsidR="002B13EB">
              <w:t xml:space="preserve">that: </w:t>
            </w:r>
          </w:p>
          <w:p w14:paraId="407E4086" w14:textId="77777777" w:rsidR="002B13EB" w:rsidRDefault="002B13EB" w:rsidP="00AD4A23">
            <w:pPr>
              <w:pStyle w:val="TableBullet1"/>
            </w:pPr>
            <w:r>
              <w:t>the costs associated with negotiating changes to contracts to implement the standard market timetable is a matter for the parties to negotiate; and</w:t>
            </w:r>
          </w:p>
          <w:p w14:paraId="467E1D0F" w14:textId="77777777" w:rsidR="002B13EB" w:rsidRDefault="002B13EB" w:rsidP="00AD4A23">
            <w:pPr>
              <w:pStyle w:val="TableBullet1"/>
            </w:pPr>
            <w:r>
              <w:t xml:space="preserve">to the extent the implementation of the </w:t>
            </w:r>
            <w:r w:rsidR="00475829">
              <w:t xml:space="preserve">standard market </w:t>
            </w:r>
            <w:r>
              <w:t xml:space="preserve">timetable affects the operation of systems and processes that are required under Part 24, Part 25 or the CT&amp;A Procedures then this could be recovered, but this is already provided for </w:t>
            </w:r>
            <w:r w:rsidR="00475829">
              <w:t xml:space="preserve">in </w:t>
            </w:r>
            <w:r>
              <w:t>the cost recovery mechanism</w:t>
            </w:r>
            <w:r w:rsidR="00AD4A23">
              <w:t>.</w:t>
            </w:r>
          </w:p>
          <w:p w14:paraId="6F2DB41E" w14:textId="37410C15" w:rsidR="002B13EB" w:rsidRPr="00992062" w:rsidRDefault="00AD4A23" w:rsidP="00AD4A23">
            <w:pPr>
              <w:pStyle w:val="TableBodyText"/>
            </w:pPr>
            <w:r>
              <w:t>In relation to w</w:t>
            </w:r>
            <w:r w:rsidR="002B13EB">
              <w:t xml:space="preserve">ho costs </w:t>
            </w:r>
            <w:r>
              <w:t xml:space="preserve">can </w:t>
            </w:r>
            <w:r w:rsidR="002B13EB">
              <w:t>be recovered from</w:t>
            </w:r>
            <w:r>
              <w:t xml:space="preserve">, the GMRG notes that transportation </w:t>
            </w:r>
            <w:r w:rsidR="002B13EB">
              <w:t xml:space="preserve">service providers </w:t>
            </w:r>
            <w:r>
              <w:t xml:space="preserve">have some </w:t>
            </w:r>
            <w:r w:rsidR="002B13EB">
              <w:t>discretion to determine whether charges are imposed on secondary shippers only or a combination of primary and secondary shippers.</w:t>
            </w:r>
            <w:r w:rsidR="002B13EB">
              <w:rPr>
                <w:rStyle w:val="FootnoteReference"/>
              </w:rPr>
              <w:footnoteReference w:id="415"/>
            </w:r>
            <w:r w:rsidR="002B13EB">
              <w:t xml:space="preserve"> This discretion is reflected in </w:t>
            </w:r>
            <w:r w:rsidR="00142468">
              <w:t xml:space="preserve">Part 24 of </w:t>
            </w:r>
            <w:r>
              <w:t>the NGR</w:t>
            </w:r>
            <w:r w:rsidR="002B13EB">
              <w:t xml:space="preserve">. </w:t>
            </w:r>
          </w:p>
        </w:tc>
      </w:tr>
    </w:tbl>
    <w:p w14:paraId="05A24D8F" w14:textId="2EFCD62F" w:rsidR="002B13EB" w:rsidRPr="005F6769" w:rsidRDefault="002B13EB" w:rsidP="00982484">
      <w:pPr>
        <w:pStyle w:val="AppendixHeading2"/>
        <w:spacing w:before="240" w:after="120"/>
        <w:rPr>
          <w:color w:val="0099CC"/>
        </w:rPr>
      </w:pPr>
      <w:bookmarkStart w:id="193" w:name="_Toc518473986"/>
      <w:bookmarkStart w:id="194" w:name="_Toc518473985"/>
      <w:r w:rsidRPr="005F6769">
        <w:rPr>
          <w:color w:val="0099CC"/>
        </w:rPr>
        <w:t>Feedback on the capacity trading platform</w:t>
      </w:r>
      <w:bookmarkEnd w:id="193"/>
    </w:p>
    <w:p w14:paraId="3E860884" w14:textId="77777777" w:rsidR="002B13EB" w:rsidRDefault="00D950E2" w:rsidP="002B13EB">
      <w:pPr>
        <w:pStyle w:val="BodyText"/>
      </w:pPr>
      <w:r>
        <w:t xml:space="preserve">The March 2018 </w:t>
      </w:r>
      <w:r w:rsidR="002B13EB">
        <w:t xml:space="preserve">consultation paper </w:t>
      </w:r>
      <w:r w:rsidR="009257EC">
        <w:t xml:space="preserve">sought </w:t>
      </w:r>
      <w:r>
        <w:t>stakeholder</w:t>
      </w:r>
      <w:r w:rsidR="009257EC">
        <w:t xml:space="preserve"> feedback on the </w:t>
      </w:r>
      <w:r w:rsidR="002B13EB">
        <w:t xml:space="preserve">proposed legal and regulatory framework for the capacity trading platform. APA and </w:t>
      </w:r>
      <w:r>
        <w:t>Palisade were the only stakeholders that responded to this part of the consultation paper</w:t>
      </w:r>
      <w:r w:rsidR="00663CAA">
        <w:t xml:space="preserve">, both of whom raised </w:t>
      </w:r>
      <w:r>
        <w:t xml:space="preserve">concerns about the </w:t>
      </w:r>
      <w:r w:rsidR="002B13EB">
        <w:t xml:space="preserve">service continuity provisions </w:t>
      </w:r>
      <w:r>
        <w:t xml:space="preserve">that would be </w:t>
      </w:r>
      <w:r w:rsidR="002B13EB">
        <w:t xml:space="preserve">triggered </w:t>
      </w:r>
      <w:r>
        <w:t xml:space="preserve">if </w:t>
      </w:r>
      <w:r w:rsidR="002B13EB">
        <w:t xml:space="preserve">a primary facility agreement </w:t>
      </w:r>
      <w:r>
        <w:t xml:space="preserve">was </w:t>
      </w:r>
      <w:r w:rsidR="002B13EB">
        <w:t>terminated.</w:t>
      </w:r>
    </w:p>
    <w:p w14:paraId="3701982E" w14:textId="2CB5AE51" w:rsidR="002B13EB" w:rsidRDefault="00663CAA" w:rsidP="00663CAA">
      <w:pPr>
        <w:pStyle w:val="BodyText"/>
      </w:pPr>
      <w:r>
        <w:t xml:space="preserve">Palisade, for example, expressed some concern about the proposal to base the price payable to service providers on the price payable under the capacity trade and stated that it should be based on the price payable by the primary shipper. </w:t>
      </w:r>
      <w:r w:rsidR="002B13EB">
        <w:t xml:space="preserve">APA </w:t>
      </w:r>
      <w:r>
        <w:t xml:space="preserve">also raised some concerns about the </w:t>
      </w:r>
      <w:r w:rsidR="002B13EB">
        <w:t xml:space="preserve">requirement for AEMO to determine the price to be paid to service providers </w:t>
      </w:r>
      <w:r>
        <w:t xml:space="preserve">and noted that this </w:t>
      </w:r>
      <w:r w:rsidR="002B13EB">
        <w:t xml:space="preserve">could result in AEMO determining the price of primary </w:t>
      </w:r>
      <w:r w:rsidR="002B13EB">
        <w:lastRenderedPageBreak/>
        <w:t>capacity</w:t>
      </w:r>
      <w:r>
        <w:t xml:space="preserve">. APA also </w:t>
      </w:r>
      <w:r w:rsidR="00142468">
        <w:t>claimed</w:t>
      </w:r>
      <w:r>
        <w:t xml:space="preserve"> that the </w:t>
      </w:r>
      <w:r w:rsidR="002B13EB">
        <w:t xml:space="preserve">liability incurred by a secondary shipper in the service continuity period could exceed the credit support limits governing secondary trades and suggested a participant compensation fund be established to fund the cost of any default. </w:t>
      </w:r>
    </w:p>
    <w:p w14:paraId="5337E996" w14:textId="77777777" w:rsidR="002B13EB" w:rsidRDefault="002B13EB" w:rsidP="002B13EB">
      <w:pPr>
        <w:pStyle w:val="BodyText"/>
      </w:pPr>
      <w:r>
        <w:t>The GMRG’s response</w:t>
      </w:r>
      <w:r w:rsidR="00663CAA">
        <w:t>s</w:t>
      </w:r>
      <w:r>
        <w:t xml:space="preserve"> to these </w:t>
      </w:r>
      <w:r w:rsidR="00663CAA">
        <w:t xml:space="preserve">concerns are </w:t>
      </w:r>
      <w:r>
        <w:t xml:space="preserve">summarised in the table below. </w:t>
      </w:r>
    </w:p>
    <w:p w14:paraId="23090745" w14:textId="01EB03A5" w:rsidR="002B13EB" w:rsidRDefault="002B13EB" w:rsidP="002B13EB">
      <w:pPr>
        <w:pStyle w:val="Caption"/>
        <w:spacing w:after="0"/>
      </w:pPr>
      <w:r>
        <w:t xml:space="preserve">Table </w:t>
      </w:r>
      <w:r>
        <w:rPr>
          <w:noProof/>
        </w:rPr>
        <w:t>A</w:t>
      </w:r>
      <w:r>
        <w:t>.</w:t>
      </w:r>
      <w:r w:rsidR="00EE244C">
        <w:rPr>
          <w:noProof/>
        </w:rPr>
        <w:t>6</w:t>
      </w:r>
      <w:r>
        <w:t xml:space="preserve">: </w:t>
      </w:r>
      <w:r w:rsidRPr="00C32111">
        <w:t>Response to issues raised about the capacity trading platform</w:t>
      </w:r>
    </w:p>
    <w:tbl>
      <w:tblPr>
        <w:tblStyle w:val="TableGrid"/>
        <w:tblW w:w="9072" w:type="dxa"/>
        <w:tblLook w:val="04A0" w:firstRow="1" w:lastRow="0" w:firstColumn="1" w:lastColumn="0" w:noHBand="0" w:noVBand="1"/>
        <w:tblCaption w:val="Response to issues raised about arbitration"/>
        <w:tblDescription w:val="Table of stakeholder concerns and GMRG response"/>
      </w:tblPr>
      <w:tblGrid>
        <w:gridCol w:w="1985"/>
        <w:gridCol w:w="7087"/>
      </w:tblGrid>
      <w:tr w:rsidR="002B13EB" w:rsidRPr="00992062" w14:paraId="6AA5C7F9" w14:textId="77777777" w:rsidTr="00982484">
        <w:trPr>
          <w:cnfStyle w:val="100000000000" w:firstRow="1" w:lastRow="0" w:firstColumn="0" w:lastColumn="0" w:oddVBand="0" w:evenVBand="0" w:oddHBand="0" w:evenHBand="0" w:firstRowFirstColumn="0" w:firstRowLastColumn="0" w:lastRowFirstColumn="0" w:lastRowLastColumn="0"/>
          <w:trHeight w:val="153"/>
          <w:tblHeader/>
        </w:trPr>
        <w:tc>
          <w:tcPr>
            <w:tcW w:w="1985" w:type="dxa"/>
            <w:shd w:val="clear" w:color="auto" w:fill="0099CC"/>
          </w:tcPr>
          <w:p w14:paraId="2C68AB7F" w14:textId="77777777" w:rsidR="002B13EB" w:rsidRPr="00992062" w:rsidRDefault="002B13EB" w:rsidP="002B13EB">
            <w:pPr>
              <w:pStyle w:val="BodyText"/>
              <w:keepNext/>
              <w:spacing w:before="60" w:after="60"/>
              <w:rPr>
                <w:rFonts w:cs="Arial"/>
                <w:szCs w:val="18"/>
              </w:rPr>
            </w:pPr>
            <w:r w:rsidRPr="00992062">
              <w:rPr>
                <w:rFonts w:cs="Arial"/>
                <w:szCs w:val="18"/>
              </w:rPr>
              <w:t>Stakeholder concern</w:t>
            </w:r>
          </w:p>
        </w:tc>
        <w:tc>
          <w:tcPr>
            <w:tcW w:w="7087" w:type="dxa"/>
            <w:shd w:val="clear" w:color="auto" w:fill="0099CC"/>
          </w:tcPr>
          <w:p w14:paraId="46880146" w14:textId="77777777" w:rsidR="002B13EB" w:rsidRPr="00992062" w:rsidRDefault="002B13EB" w:rsidP="002B13EB">
            <w:pPr>
              <w:pStyle w:val="BodyText"/>
              <w:keepNext/>
              <w:spacing w:before="60" w:after="60"/>
              <w:rPr>
                <w:rFonts w:cs="Arial"/>
                <w:szCs w:val="18"/>
              </w:rPr>
            </w:pPr>
            <w:r w:rsidRPr="00992062">
              <w:rPr>
                <w:rFonts w:cs="Arial"/>
                <w:szCs w:val="18"/>
              </w:rPr>
              <w:t>GMRG response</w:t>
            </w:r>
          </w:p>
        </w:tc>
      </w:tr>
      <w:tr w:rsidR="002B13EB" w:rsidRPr="00992062" w14:paraId="1824FAC5" w14:textId="77777777" w:rsidTr="00982484">
        <w:tc>
          <w:tcPr>
            <w:tcW w:w="1985" w:type="dxa"/>
            <w:vAlign w:val="center"/>
          </w:tcPr>
          <w:p w14:paraId="74F58AB9" w14:textId="77777777" w:rsidR="002B13EB" w:rsidRPr="00992062" w:rsidRDefault="002B13EB" w:rsidP="002B13EB">
            <w:pPr>
              <w:pStyle w:val="BodyText"/>
              <w:spacing w:before="40" w:after="40" w:line="252" w:lineRule="auto"/>
              <w:rPr>
                <w:rFonts w:cs="Arial"/>
              </w:rPr>
            </w:pPr>
            <w:r>
              <w:rPr>
                <w:rFonts w:cs="Arial"/>
              </w:rPr>
              <w:t>Price to be paid to service providers if a primary facility agreement is terminated</w:t>
            </w:r>
          </w:p>
        </w:tc>
        <w:tc>
          <w:tcPr>
            <w:tcW w:w="7087" w:type="dxa"/>
            <w:vAlign w:val="center"/>
          </w:tcPr>
          <w:p w14:paraId="0AD7D14C" w14:textId="77777777" w:rsidR="002B13EB" w:rsidRDefault="002B13EB" w:rsidP="002B13EB">
            <w:pPr>
              <w:pStyle w:val="BodyText"/>
              <w:spacing w:before="40" w:after="40" w:line="252" w:lineRule="auto"/>
              <w:rPr>
                <w:rFonts w:cs="Arial"/>
              </w:rPr>
            </w:pPr>
            <w:r>
              <w:rPr>
                <w:rFonts w:cs="Arial"/>
              </w:rPr>
              <w:t xml:space="preserve">The price to be paid to the service provider if a primary facility agreement is terminated was </w:t>
            </w:r>
            <w:r w:rsidR="00663CAA">
              <w:rPr>
                <w:rFonts w:cs="Arial"/>
              </w:rPr>
              <w:t xml:space="preserve">considered </w:t>
            </w:r>
            <w:r>
              <w:rPr>
                <w:rFonts w:cs="Arial"/>
              </w:rPr>
              <w:t>in the consultation carried out in 2017 and culminated in the GMRG’s final recommendation to the Energy Council that:</w:t>
            </w:r>
            <w:r>
              <w:rPr>
                <w:rStyle w:val="FootnoteReference"/>
                <w:rFonts w:cs="Arial"/>
              </w:rPr>
              <w:footnoteReference w:id="416"/>
            </w:r>
            <w:r>
              <w:rPr>
                <w:rFonts w:cs="Arial"/>
              </w:rPr>
              <w:t xml:space="preserve"> </w:t>
            </w:r>
          </w:p>
          <w:p w14:paraId="14850E47" w14:textId="342D695D" w:rsidR="002B13EB" w:rsidRDefault="00142468" w:rsidP="002B13EB">
            <w:pPr>
              <w:pStyle w:val="TableBullet1"/>
              <w:spacing w:before="40" w:after="40" w:line="252" w:lineRule="auto"/>
            </w:pPr>
            <w:r>
              <w:t xml:space="preserve">transportation </w:t>
            </w:r>
            <w:r w:rsidR="002B13EB" w:rsidRPr="00A233F3">
              <w:t>service provider</w:t>
            </w:r>
            <w:r w:rsidR="002B13EB">
              <w:t>s</w:t>
            </w:r>
            <w:r w:rsidR="002B13EB" w:rsidRPr="00A233F3">
              <w:t xml:space="preserve"> </w:t>
            </w:r>
            <w:r w:rsidR="002B13EB">
              <w:t xml:space="preserve">be required to </w:t>
            </w:r>
            <w:r w:rsidR="002B13EB" w:rsidRPr="00A233F3">
              <w:t xml:space="preserve">honour </w:t>
            </w:r>
            <w:r w:rsidR="002B13EB">
              <w:t>any</w:t>
            </w:r>
            <w:r w:rsidR="002B13EB" w:rsidRPr="00A233F3">
              <w:t xml:space="preserve"> </w:t>
            </w:r>
            <w:r w:rsidR="002B13EB">
              <w:t xml:space="preserve">trades entered into by a primary shipper </w:t>
            </w:r>
            <w:r w:rsidR="002B13EB" w:rsidRPr="00A233F3">
              <w:t xml:space="preserve">for </w:t>
            </w:r>
            <w:r w:rsidR="002B13EB" w:rsidRPr="00362A19">
              <w:t>up</w:t>
            </w:r>
            <w:r w:rsidR="002B13EB">
              <w:t xml:space="preserve"> to </w:t>
            </w:r>
            <w:r w:rsidR="002B13EB" w:rsidRPr="00A233F3">
              <w:t>two weeks</w:t>
            </w:r>
            <w:r w:rsidR="002B13EB">
              <w:t xml:space="preserve"> following notification of the termination of the primary facility agreement to AEMO; and </w:t>
            </w:r>
          </w:p>
          <w:p w14:paraId="4F818013" w14:textId="19EDE7D2" w:rsidR="002B13EB" w:rsidRDefault="00142468" w:rsidP="002B13EB">
            <w:pPr>
              <w:pStyle w:val="TableBullet1"/>
              <w:spacing w:before="40" w:after="40" w:line="252" w:lineRule="auto"/>
            </w:pPr>
            <w:r>
              <w:t xml:space="preserve">transportation </w:t>
            </w:r>
            <w:r w:rsidR="002B13EB">
              <w:t>service providers receive the amount the primary capacity holder would have received from the secondary shipper in return for doing so.</w:t>
            </w:r>
          </w:p>
          <w:p w14:paraId="361B4147" w14:textId="77777777" w:rsidR="002B13EB" w:rsidRDefault="002B13EB" w:rsidP="002B13EB">
            <w:pPr>
              <w:pStyle w:val="BodyText"/>
              <w:spacing w:before="40" w:after="40" w:line="252" w:lineRule="auto"/>
              <w:rPr>
                <w:rFonts w:cs="Arial"/>
              </w:rPr>
            </w:pPr>
            <w:r>
              <w:rPr>
                <w:rFonts w:cs="Arial"/>
              </w:rPr>
              <w:t>In the GMRG’s view, the price received from the secondary shipper is the appropriate price to use in this context because:</w:t>
            </w:r>
          </w:p>
          <w:p w14:paraId="4EA41B9B" w14:textId="61E463C0" w:rsidR="002B13EB" w:rsidRDefault="002B13EB" w:rsidP="002B13EB">
            <w:pPr>
              <w:pStyle w:val="TableBullet1"/>
              <w:spacing w:before="40" w:after="40" w:line="252" w:lineRule="auto"/>
            </w:pPr>
            <w:r>
              <w:t>if a primary facility agreement is terminated</w:t>
            </w:r>
            <w:r w:rsidR="00142468">
              <w:t>,</w:t>
            </w:r>
            <w:r>
              <w:t xml:space="preserve"> </w:t>
            </w:r>
            <w:r w:rsidR="00142468">
              <w:t xml:space="preserve">transportation </w:t>
            </w:r>
            <w:r>
              <w:t xml:space="preserve">service providers should still have a claim for payment from the primary shipper under the primary facility agreement; </w:t>
            </w:r>
          </w:p>
          <w:p w14:paraId="08C3E8D9" w14:textId="11D3B35D" w:rsidR="002B13EB" w:rsidRDefault="00142468" w:rsidP="002B13EB">
            <w:pPr>
              <w:pStyle w:val="TableBullet1"/>
              <w:spacing w:before="40" w:after="40" w:line="252" w:lineRule="auto"/>
            </w:pPr>
            <w:r>
              <w:t xml:space="preserve">transportation </w:t>
            </w:r>
            <w:r w:rsidR="002B13EB">
              <w:t>service providers are better placed to manage this risk of termination than secondary shippers. because the termination decision is within their control; and</w:t>
            </w:r>
          </w:p>
          <w:p w14:paraId="5EC870A5" w14:textId="77777777" w:rsidR="002B13EB" w:rsidRDefault="002B13EB" w:rsidP="002B13EB">
            <w:pPr>
              <w:pStyle w:val="TableBullet1"/>
              <w:spacing w:before="40" w:after="40" w:line="252" w:lineRule="auto"/>
            </w:pPr>
            <w:r>
              <w:t>if the price was based on the price payable under the primary facility agreement, secondary shippers would not know what their potential liability is before entering into the trade because the prices payable under primary facility agreements are not public.</w:t>
            </w:r>
          </w:p>
          <w:p w14:paraId="4A966366" w14:textId="77777777" w:rsidR="002B13EB" w:rsidRDefault="002B13EB" w:rsidP="002B13EB">
            <w:pPr>
              <w:pStyle w:val="BodyText"/>
              <w:spacing w:before="40" w:after="40" w:line="252" w:lineRule="auto"/>
              <w:rPr>
                <w:rFonts w:eastAsiaTheme="minorEastAsia"/>
              </w:rPr>
            </w:pPr>
            <w:r>
              <w:rPr>
                <w:rFonts w:eastAsiaTheme="minorEastAsia"/>
              </w:rPr>
              <w:t xml:space="preserve">The GMRG therefore disagrees with </w:t>
            </w:r>
            <w:r w:rsidR="00D950E2">
              <w:rPr>
                <w:rFonts w:eastAsiaTheme="minorEastAsia"/>
              </w:rPr>
              <w:t xml:space="preserve">Palisade’s </w:t>
            </w:r>
            <w:r>
              <w:rPr>
                <w:rFonts w:eastAsiaTheme="minorEastAsia"/>
              </w:rPr>
              <w:t>proposal to use the price payable under the primary facility agreement.</w:t>
            </w:r>
          </w:p>
          <w:p w14:paraId="06702AC2" w14:textId="7D989F0E" w:rsidR="002B13EB" w:rsidRPr="001D08C7" w:rsidRDefault="002B13EB" w:rsidP="002B13EB">
            <w:pPr>
              <w:pStyle w:val="BodyText"/>
              <w:spacing w:before="40" w:after="40" w:line="252" w:lineRule="auto"/>
              <w:rPr>
                <w:rFonts w:eastAsiaTheme="minorEastAsia"/>
              </w:rPr>
            </w:pPr>
            <w:r>
              <w:rPr>
                <w:rFonts w:eastAsiaTheme="minorEastAsia"/>
              </w:rPr>
              <w:t xml:space="preserve">As to APA’s concern regarding the potential for this rule to result in AEMO setting the price for primary capacity, </w:t>
            </w:r>
            <w:r w:rsidR="00142468">
              <w:rPr>
                <w:rFonts w:eastAsiaTheme="minorEastAsia"/>
              </w:rPr>
              <w:t xml:space="preserve">the GMRG notes that </w:t>
            </w:r>
            <w:r w:rsidR="00663CAA">
              <w:rPr>
                <w:rFonts w:eastAsiaTheme="minorEastAsia"/>
              </w:rPr>
              <w:t xml:space="preserve">Part 24 of the NGR </w:t>
            </w:r>
            <w:r>
              <w:rPr>
                <w:rFonts w:eastAsiaTheme="minorEastAsia"/>
              </w:rPr>
              <w:t>has been amended to limit the discretion AEMO has to determine this price. Under the amended rule</w:t>
            </w:r>
            <w:r w:rsidR="00663CAA">
              <w:rPr>
                <w:rFonts w:eastAsiaTheme="minorEastAsia"/>
              </w:rPr>
              <w:t>s</w:t>
            </w:r>
            <w:r>
              <w:rPr>
                <w:rFonts w:eastAsiaTheme="minorEastAsia"/>
              </w:rPr>
              <w:t>, the price must be determined by reference to the price (or prices) at which the seller sold the capacity through the exchange.</w:t>
            </w:r>
          </w:p>
        </w:tc>
      </w:tr>
      <w:tr w:rsidR="002B13EB" w:rsidRPr="00992062" w14:paraId="23EDA7FF" w14:textId="77777777" w:rsidTr="00982484">
        <w:trPr>
          <w:cnfStyle w:val="000000010000" w:firstRow="0" w:lastRow="0" w:firstColumn="0" w:lastColumn="0" w:oddVBand="0" w:evenVBand="0" w:oddHBand="0" w:evenHBand="1" w:firstRowFirstColumn="0" w:firstRowLastColumn="0" w:lastRowFirstColumn="0" w:lastRowLastColumn="0"/>
          <w:trHeight w:val="4559"/>
        </w:trPr>
        <w:tc>
          <w:tcPr>
            <w:tcW w:w="1985" w:type="dxa"/>
            <w:vAlign w:val="center"/>
          </w:tcPr>
          <w:p w14:paraId="5DB50413" w14:textId="77777777" w:rsidR="002B13EB" w:rsidRDefault="002B13EB" w:rsidP="002B13EB">
            <w:pPr>
              <w:pStyle w:val="BodyText"/>
              <w:spacing w:before="60" w:after="60" w:line="252" w:lineRule="auto"/>
              <w:rPr>
                <w:rFonts w:cs="Arial"/>
              </w:rPr>
            </w:pPr>
            <w:r>
              <w:rPr>
                <w:rFonts w:cs="Arial"/>
                <w:szCs w:val="20"/>
                <w:lang w:val="en-US" w:eastAsia="en-US"/>
              </w:rPr>
              <w:t>Secondary shippers’ liability and proposed participant compensation fund</w:t>
            </w:r>
          </w:p>
        </w:tc>
        <w:tc>
          <w:tcPr>
            <w:tcW w:w="7087" w:type="dxa"/>
            <w:vAlign w:val="center"/>
          </w:tcPr>
          <w:p w14:paraId="046A22B3" w14:textId="77777777" w:rsidR="002B13EB" w:rsidRDefault="00663CAA" w:rsidP="002B13EB">
            <w:pPr>
              <w:pStyle w:val="BodyText"/>
              <w:spacing w:before="60" w:after="60" w:line="252" w:lineRule="auto"/>
              <w:rPr>
                <w:rFonts w:cs="Arial"/>
              </w:rPr>
            </w:pPr>
            <w:r>
              <w:rPr>
                <w:rFonts w:cs="Arial"/>
              </w:rPr>
              <w:t xml:space="preserve">In relation to the concerns raised by APA about credit support, it is worth noting that the </w:t>
            </w:r>
            <w:r w:rsidR="00700609">
              <w:rPr>
                <w:rFonts w:cs="Arial"/>
              </w:rPr>
              <w:t xml:space="preserve">credit support arrangements underpinning the </w:t>
            </w:r>
            <w:r w:rsidR="002B13EB">
              <w:rPr>
                <w:rFonts w:cs="Arial"/>
              </w:rPr>
              <w:t xml:space="preserve">capacity trading platform provide for: </w:t>
            </w:r>
          </w:p>
          <w:p w14:paraId="76C1DFAD" w14:textId="77777777" w:rsidR="002B13EB" w:rsidRDefault="002B13EB" w:rsidP="002B13EB">
            <w:pPr>
              <w:pStyle w:val="TableBullet1"/>
              <w:spacing w:line="252" w:lineRule="auto"/>
            </w:pPr>
            <w:r>
              <w:t xml:space="preserve">secondary shippers to provide credit support to </w:t>
            </w:r>
            <w:r w:rsidR="00663CAA">
              <w:t xml:space="preserve">transportation </w:t>
            </w:r>
            <w:r>
              <w:t>service providers to cover their potential liabilities under their OTSA; and</w:t>
            </w:r>
          </w:p>
          <w:p w14:paraId="06AEE7F6" w14:textId="77777777" w:rsidR="002B13EB" w:rsidRDefault="002B13EB" w:rsidP="002B13EB">
            <w:pPr>
              <w:pStyle w:val="TableBullet1"/>
              <w:spacing w:line="252" w:lineRule="auto"/>
            </w:pPr>
            <w:r>
              <w:t xml:space="preserve">buyers and sellers of capacity to post collateral with AEMO if they sell capacity (with the collateral based on the face value of the trade), which could be drawn upon if the primary capacity holder defaults under its primary facility agreement and payments need to be made to the service provider. </w:t>
            </w:r>
          </w:p>
          <w:p w14:paraId="7F05826F" w14:textId="65F897C6" w:rsidR="002B13EB" w:rsidRDefault="002B13EB" w:rsidP="002B13EB">
            <w:pPr>
              <w:pStyle w:val="BodyText"/>
              <w:spacing w:before="60" w:after="60" w:line="252" w:lineRule="auto"/>
              <w:rPr>
                <w:rFonts w:cs="Arial"/>
              </w:rPr>
            </w:pPr>
            <w:r>
              <w:rPr>
                <w:rFonts w:cs="Arial"/>
              </w:rPr>
              <w:t xml:space="preserve">Together these prudential arrangements should provide </w:t>
            </w:r>
            <w:r w:rsidR="00D950E2">
              <w:rPr>
                <w:rFonts w:cs="Arial"/>
              </w:rPr>
              <w:t xml:space="preserve">transportation </w:t>
            </w:r>
            <w:r>
              <w:rPr>
                <w:rFonts w:cs="Arial"/>
              </w:rPr>
              <w:t xml:space="preserve">service providers sufficient protection against the risks </w:t>
            </w:r>
            <w:r w:rsidR="00142468">
              <w:rPr>
                <w:rFonts w:cs="Arial"/>
              </w:rPr>
              <w:t xml:space="preserve">they </w:t>
            </w:r>
            <w:r>
              <w:rPr>
                <w:rFonts w:cs="Arial"/>
              </w:rPr>
              <w:t>could be exposed to in the service continuity period. The GMRG has not therefore recommended any changes to credit support arrangements</w:t>
            </w:r>
            <w:r w:rsidR="00700609">
              <w:rPr>
                <w:rFonts w:cs="Arial"/>
              </w:rPr>
              <w:t>,</w:t>
            </w:r>
            <w:r>
              <w:rPr>
                <w:rFonts w:cs="Arial"/>
              </w:rPr>
              <w:t xml:space="preserve"> or the introduction of a participant compensation fund.</w:t>
            </w:r>
          </w:p>
          <w:p w14:paraId="1169D3C3" w14:textId="77777777" w:rsidR="002B13EB" w:rsidRDefault="002B13EB" w:rsidP="002B13EB">
            <w:pPr>
              <w:pStyle w:val="BodyText"/>
              <w:spacing w:before="60" w:after="60" w:line="252" w:lineRule="auto"/>
              <w:rPr>
                <w:rFonts w:cs="Arial"/>
              </w:rPr>
            </w:pPr>
            <w:r>
              <w:rPr>
                <w:rFonts w:cs="Arial"/>
              </w:rPr>
              <w:t xml:space="preserve">In relation to the compensation fund, it is worth noting that the Capacity Trading Platform project team gave some thought to establishing this type of fund, but concluded that the costs of doing so were likely to outweigh the benefits in a voluntary market where the probability of default is relatively low. The GMRG agrees with this conclusion and notes that the risk cited by APA in this context is one that </w:t>
            </w:r>
            <w:r w:rsidR="00D950E2">
              <w:rPr>
                <w:rFonts w:cs="Arial"/>
              </w:rPr>
              <w:t xml:space="preserve">transportation </w:t>
            </w:r>
            <w:r>
              <w:rPr>
                <w:rFonts w:cs="Arial"/>
              </w:rPr>
              <w:t xml:space="preserve">service providers are better placed to manage </w:t>
            </w:r>
            <w:r>
              <w:t xml:space="preserve">than secondary shippers (i.e. because the decision to terminate is within their control and they should be able to make a claim for payment under </w:t>
            </w:r>
            <w:r w:rsidR="00663CAA">
              <w:t xml:space="preserve">the </w:t>
            </w:r>
            <w:r>
              <w:t xml:space="preserve">primary facility agreement). </w:t>
            </w:r>
          </w:p>
        </w:tc>
      </w:tr>
    </w:tbl>
    <w:p w14:paraId="6F52B867" w14:textId="77777777" w:rsidR="002B13EB" w:rsidRPr="005F6769" w:rsidRDefault="002B13EB" w:rsidP="002B13EB">
      <w:pPr>
        <w:pStyle w:val="AppendixHeading2"/>
        <w:rPr>
          <w:color w:val="0099CC"/>
        </w:rPr>
      </w:pPr>
      <w:r w:rsidRPr="005F6769">
        <w:rPr>
          <w:color w:val="0099CC"/>
        </w:rPr>
        <w:lastRenderedPageBreak/>
        <w:t>Feedback on the day-ahead auction</w:t>
      </w:r>
      <w:bookmarkEnd w:id="194"/>
    </w:p>
    <w:p w14:paraId="53792E4B" w14:textId="77777777" w:rsidR="002B13EB" w:rsidRDefault="00D950E2" w:rsidP="002B13EB">
      <w:pPr>
        <w:pStyle w:val="BodyText"/>
      </w:pPr>
      <w:r>
        <w:t xml:space="preserve">The March 2018 </w:t>
      </w:r>
      <w:r w:rsidR="002B13EB">
        <w:t>consultation paper</w:t>
      </w:r>
      <w:r>
        <w:t xml:space="preserve"> asked </w:t>
      </w:r>
      <w:r w:rsidR="002B13EB">
        <w:t>stakeholders to provide their views on the proposed legal and regulatory framework for the day-ahead auction and the proposed refinements to the following aspects of the design of the auction:</w:t>
      </w:r>
    </w:p>
    <w:p w14:paraId="6AF1DC38" w14:textId="77777777" w:rsidR="002B13EB" w:rsidRPr="0038442D" w:rsidRDefault="002B13EB" w:rsidP="002B13EB">
      <w:pPr>
        <w:pStyle w:val="ListBullet"/>
      </w:pPr>
      <w:r w:rsidRPr="0038442D">
        <w:t xml:space="preserve">the rights that </w:t>
      </w:r>
      <w:r>
        <w:t xml:space="preserve">may </w:t>
      </w:r>
      <w:r w:rsidRPr="0038442D">
        <w:t xml:space="preserve">be </w:t>
      </w:r>
      <w:r>
        <w:t xml:space="preserve">treated as transitional firm </w:t>
      </w:r>
      <w:r w:rsidR="00663CAA">
        <w:t xml:space="preserve">services </w:t>
      </w:r>
      <w:r>
        <w:t xml:space="preserve">for the purposes of the auction </w:t>
      </w:r>
      <w:r w:rsidRPr="0038442D">
        <w:t xml:space="preserve">and the </w:t>
      </w:r>
      <w:r>
        <w:t>period over which the services should be grandfathered</w:t>
      </w:r>
      <w:r w:rsidRPr="0038442D">
        <w:t xml:space="preserve">; </w:t>
      </w:r>
    </w:p>
    <w:p w14:paraId="5B9A3C8A" w14:textId="77777777" w:rsidR="002B13EB" w:rsidRPr="0038442D" w:rsidRDefault="002B13EB" w:rsidP="002B13EB">
      <w:pPr>
        <w:pStyle w:val="ListBullet"/>
      </w:pPr>
      <w:r w:rsidRPr="0038442D">
        <w:t>the contract path model</w:t>
      </w:r>
      <w:r w:rsidR="009257EC">
        <w:t>s</w:t>
      </w:r>
      <w:r w:rsidRPr="0038442D">
        <w:t xml:space="preserve"> </w:t>
      </w:r>
      <w:r w:rsidR="009257EC">
        <w:t xml:space="preserve">to </w:t>
      </w:r>
      <w:r w:rsidRPr="0038442D">
        <w:t xml:space="preserve">be used in the </w:t>
      </w:r>
      <w:r w:rsidR="009257EC">
        <w:t xml:space="preserve">day-ahead </w:t>
      </w:r>
      <w:r w:rsidRPr="0038442D">
        <w:t>auction; and</w:t>
      </w:r>
    </w:p>
    <w:p w14:paraId="47115F10" w14:textId="77777777" w:rsidR="002B13EB" w:rsidRPr="0038442D" w:rsidRDefault="002B13EB" w:rsidP="002B13EB">
      <w:pPr>
        <w:pStyle w:val="ListBullet"/>
      </w:pPr>
      <w:r w:rsidRPr="0038442D">
        <w:t xml:space="preserve">the </w:t>
      </w:r>
      <w:r>
        <w:t xml:space="preserve">process for determining the </w:t>
      </w:r>
      <w:r w:rsidRPr="0038442D">
        <w:t xml:space="preserve">methodology </w:t>
      </w:r>
      <w:r w:rsidR="00663CAA">
        <w:t xml:space="preserve">to </w:t>
      </w:r>
      <w:r>
        <w:t xml:space="preserve">be </w:t>
      </w:r>
      <w:r w:rsidRPr="0038442D">
        <w:t xml:space="preserve">used </w:t>
      </w:r>
      <w:r w:rsidR="00663CAA">
        <w:t xml:space="preserve">in the </w:t>
      </w:r>
      <w:r w:rsidRPr="0038442D">
        <w:t>calculat</w:t>
      </w:r>
      <w:r w:rsidR="00663CAA">
        <w:t>ion of</w:t>
      </w:r>
      <w:r w:rsidRPr="0038442D">
        <w:t xml:space="preserve"> auction quantity limits</w:t>
      </w:r>
      <w:r>
        <w:t>.</w:t>
      </w:r>
    </w:p>
    <w:p w14:paraId="0078B5FE" w14:textId="77777777" w:rsidR="002B13EB" w:rsidRDefault="002B13EB" w:rsidP="002B13EB">
      <w:pPr>
        <w:pStyle w:val="BodyText"/>
      </w:pPr>
      <w:r>
        <w:t xml:space="preserve">Stakeholders were also asked to provide their views on whether additional transparency measures were required for the day-ahead auction. </w:t>
      </w:r>
    </w:p>
    <w:p w14:paraId="31EA8832" w14:textId="77777777" w:rsidR="002B13EB" w:rsidRDefault="002B13EB" w:rsidP="002B13EB">
      <w:pPr>
        <w:pStyle w:val="BodyText"/>
      </w:pPr>
      <w:r>
        <w:t>An overview of the feedback stakeholders provided on these issues and the GMRG’s responses to this feedback, is provided below.</w:t>
      </w:r>
    </w:p>
    <w:p w14:paraId="0D77C57A" w14:textId="77777777" w:rsidR="002B13EB" w:rsidRPr="00A63122" w:rsidRDefault="002B13EB" w:rsidP="002B13EB">
      <w:pPr>
        <w:pStyle w:val="AppendixHeading3"/>
      </w:pPr>
      <w:r>
        <w:t>Transitional firm</w:t>
      </w:r>
      <w:r w:rsidRPr="00A63122">
        <w:t xml:space="preserve"> </w:t>
      </w:r>
      <w:r w:rsidR="00663CAA">
        <w:t>services</w:t>
      </w:r>
      <w:r w:rsidRPr="00A63122">
        <w:t xml:space="preserve"> </w:t>
      </w:r>
    </w:p>
    <w:p w14:paraId="46DF9A19" w14:textId="77777777" w:rsidR="002B13EB" w:rsidRDefault="00FC7112" w:rsidP="002B13EB">
      <w:pPr>
        <w:pStyle w:val="BodyText"/>
      </w:pPr>
      <w:r>
        <w:t>In the March 2018 consultation paper, t</w:t>
      </w:r>
      <w:r w:rsidR="002B13EB">
        <w:t>he GMRG proposed limiting the scope of the transitional firm rights to:</w:t>
      </w:r>
    </w:p>
    <w:p w14:paraId="0B2778D4" w14:textId="77777777" w:rsidR="002B13EB" w:rsidRDefault="002B13EB" w:rsidP="00EA491F">
      <w:pPr>
        <w:pStyle w:val="ListNumber"/>
        <w:numPr>
          <w:ilvl w:val="0"/>
          <w:numId w:val="52"/>
        </w:numPr>
      </w:pPr>
      <w:r>
        <w:t xml:space="preserve">transportation </w:t>
      </w:r>
      <w:r w:rsidRPr="00EA6752">
        <w:t>rights</w:t>
      </w:r>
      <w:r>
        <w:t xml:space="preserve"> </w:t>
      </w:r>
      <w:r w:rsidRPr="00EA6752">
        <w:t xml:space="preserve">used for the transportation of gas </w:t>
      </w:r>
      <w:r>
        <w:t xml:space="preserve">by a gas-fired generator </w:t>
      </w:r>
      <w:r w:rsidRPr="00EA6752">
        <w:t xml:space="preserve">to </w:t>
      </w:r>
      <w:r>
        <w:t xml:space="preserve">its </w:t>
      </w:r>
      <w:r w:rsidRPr="00EA6752">
        <w:t>generation site</w:t>
      </w:r>
      <w:r>
        <w:t xml:space="preserve"> that in normal operating conditions would be treated as firm once scheduled</w:t>
      </w:r>
      <w:r w:rsidRPr="00EA6752">
        <w:t xml:space="preserve"> </w:t>
      </w:r>
      <w:r>
        <w:t>(e.g. as available and authorised overruns); and</w:t>
      </w:r>
    </w:p>
    <w:p w14:paraId="0453209B" w14:textId="77777777" w:rsidR="002B13EB" w:rsidRDefault="002B13EB" w:rsidP="00EA491F">
      <w:pPr>
        <w:pStyle w:val="ListNumber"/>
        <w:numPr>
          <w:ilvl w:val="0"/>
          <w:numId w:val="52"/>
        </w:numPr>
      </w:pPr>
      <w:r>
        <w:t>transportation rights of the nature described in (a) that were acquired under a primary facility agreement entered into on or before 3 January 2018 (or through an option to acquire the right in such an agreement).</w:t>
      </w:r>
      <w:r>
        <w:rPr>
          <w:rStyle w:val="FootnoteReference"/>
        </w:rPr>
        <w:footnoteReference w:id="417"/>
      </w:r>
    </w:p>
    <w:p w14:paraId="041687A5" w14:textId="77777777" w:rsidR="002B13EB" w:rsidRDefault="002B13EB" w:rsidP="002B13EB">
      <w:pPr>
        <w:pStyle w:val="BodyText"/>
      </w:pPr>
      <w:r>
        <w:t xml:space="preserve">The GRMG also proposed that the transitional arrangements applying to such rights only apply for a maximum of two years. </w:t>
      </w:r>
    </w:p>
    <w:p w14:paraId="6F5E744B" w14:textId="77777777" w:rsidR="002B13EB" w:rsidRDefault="002B13EB" w:rsidP="002B13EB">
      <w:pPr>
        <w:pStyle w:val="BodyText"/>
      </w:pPr>
      <w:r>
        <w:t xml:space="preserve">Mixed views were expressed by stakeholders about </w:t>
      </w:r>
      <w:r w:rsidR="00663CAA">
        <w:t>these proposals and, in particular</w:t>
      </w:r>
      <w:r>
        <w:t xml:space="preserve">: </w:t>
      </w:r>
    </w:p>
    <w:p w14:paraId="15A059A9" w14:textId="77777777" w:rsidR="002B13EB" w:rsidRDefault="00D950E2" w:rsidP="002B13EB">
      <w:pPr>
        <w:pStyle w:val="ListBullet"/>
      </w:pPr>
      <w:r>
        <w:rPr>
          <w:b/>
        </w:rPr>
        <w:t>T</w:t>
      </w:r>
      <w:r w:rsidR="002B13EB" w:rsidRPr="0086040D">
        <w:rPr>
          <w:b/>
        </w:rPr>
        <w:t xml:space="preserve">he availability of </w:t>
      </w:r>
      <w:r w:rsidR="002B13EB">
        <w:rPr>
          <w:b/>
        </w:rPr>
        <w:t>transitional firm</w:t>
      </w:r>
      <w:r w:rsidR="002B13EB" w:rsidRPr="0086040D">
        <w:rPr>
          <w:b/>
        </w:rPr>
        <w:t xml:space="preserve"> rights:</w:t>
      </w:r>
      <w:r w:rsidR="002B13EB">
        <w:rPr>
          <w:b/>
        </w:rPr>
        <w:t xml:space="preserve"> </w:t>
      </w:r>
      <w:r w:rsidR="002B13EB" w:rsidRPr="00D76EED">
        <w:t>AGL, EnergyAustralia, Snowy Hydro</w:t>
      </w:r>
      <w:r w:rsidR="002B13EB">
        <w:t>, APLNG</w:t>
      </w:r>
      <w:r w:rsidR="002B13EB" w:rsidRPr="00D76EED">
        <w:t xml:space="preserve"> and APGA, for example, supported the limitation of </w:t>
      </w:r>
      <w:r w:rsidR="002B13EB">
        <w:t xml:space="preserve">transitional firm </w:t>
      </w:r>
      <w:r w:rsidR="002B13EB" w:rsidRPr="00D76EED">
        <w:t xml:space="preserve">rights to </w:t>
      </w:r>
      <w:r w:rsidR="002B13EB">
        <w:t>gas-fired</w:t>
      </w:r>
      <w:r w:rsidR="002B13EB" w:rsidRPr="00D76EED">
        <w:t xml:space="preserve"> generators. Origin, on the other hand, noted that the limitation to </w:t>
      </w:r>
      <w:r w:rsidR="002B13EB">
        <w:t>gas-fired</w:t>
      </w:r>
      <w:r w:rsidR="002B13EB" w:rsidRPr="00D76EED">
        <w:t xml:space="preserve"> generators may be difficult to implement from an operational and compliance standpoint and suggested that all as available and authorised overrun rights be </w:t>
      </w:r>
      <w:r w:rsidR="002B13EB">
        <w:t>treated as transitional firm rights</w:t>
      </w:r>
      <w:r w:rsidR="002B13EB" w:rsidRPr="00D76EED">
        <w:t xml:space="preserve">. Jemena was also of the view that the availability of </w:t>
      </w:r>
      <w:r w:rsidR="002B13EB">
        <w:t xml:space="preserve">transitional firm </w:t>
      </w:r>
      <w:r w:rsidR="002B13EB" w:rsidRPr="00D76EED">
        <w:t xml:space="preserve">rights should extend to all shippers </w:t>
      </w:r>
      <w:r w:rsidR="00663CAA">
        <w:t xml:space="preserve">with </w:t>
      </w:r>
      <w:r w:rsidR="002B13EB" w:rsidRPr="00D76EED">
        <w:t>these rights.</w:t>
      </w:r>
      <w:r w:rsidR="002B13EB">
        <w:rPr>
          <w:b/>
        </w:rPr>
        <w:t xml:space="preserve"> </w:t>
      </w:r>
      <w:r w:rsidR="002B13EB">
        <w:t xml:space="preserve">In contrast to these stakeholders, ERM and Shell were opposed to the proposal to treat any rights as transitional firm rights and noted that doing so would reduce the quality of the auction product, erode confidence in the market and create an uneven playing field for generators. </w:t>
      </w:r>
    </w:p>
    <w:p w14:paraId="439C57F9" w14:textId="77777777" w:rsidR="002B13EB" w:rsidRDefault="00D950E2" w:rsidP="006B366E">
      <w:pPr>
        <w:pStyle w:val="ListBullet"/>
      </w:pPr>
      <w:r w:rsidRPr="00DA0876">
        <w:rPr>
          <w:b/>
        </w:rPr>
        <w:lastRenderedPageBreak/>
        <w:t>T</w:t>
      </w:r>
      <w:r w:rsidR="002B13EB" w:rsidRPr="00DA0876">
        <w:rPr>
          <w:b/>
        </w:rPr>
        <w:t xml:space="preserve">he term over which transitional firm rights should be </w:t>
      </w:r>
      <w:r w:rsidR="00663CAA">
        <w:rPr>
          <w:b/>
        </w:rPr>
        <w:t>grandfathered</w:t>
      </w:r>
      <w:r w:rsidR="002B13EB">
        <w:t xml:space="preserve">: </w:t>
      </w:r>
      <w:r w:rsidR="00DA0876">
        <w:t xml:space="preserve">Shell was of the view that if transitional firm </w:t>
      </w:r>
      <w:r w:rsidR="00663CAA">
        <w:t xml:space="preserve">services </w:t>
      </w:r>
      <w:r w:rsidR="00DA0876">
        <w:t xml:space="preserve">are to be allowed, then </w:t>
      </w:r>
      <w:r w:rsidR="00663CAA">
        <w:t xml:space="preserve">the grandfathering period </w:t>
      </w:r>
      <w:r w:rsidR="00DA0876">
        <w:t xml:space="preserve">should be </w:t>
      </w:r>
      <w:r w:rsidR="00663CAA">
        <w:t xml:space="preserve">limited to </w:t>
      </w:r>
      <w:r w:rsidR="00DA0876">
        <w:t>12 month</w:t>
      </w:r>
      <w:r w:rsidR="00663CAA">
        <w:t>s</w:t>
      </w:r>
      <w:r w:rsidR="00DA0876">
        <w:t xml:space="preserve">. </w:t>
      </w:r>
      <w:r w:rsidR="002B13EB">
        <w:t>AGL, Origin and APLNG</w:t>
      </w:r>
      <w:r w:rsidR="00DA0876">
        <w:t>, on the other hand,</w:t>
      </w:r>
      <w:r w:rsidR="002B13EB">
        <w:t xml:space="preserve"> agreed with the proposed two year </w:t>
      </w:r>
      <w:r w:rsidR="00663CAA">
        <w:t xml:space="preserve">grandfathering </w:t>
      </w:r>
      <w:r w:rsidR="002B13EB">
        <w:t>period</w:t>
      </w:r>
      <w:r w:rsidR="00DA0876">
        <w:t>.</w:t>
      </w:r>
      <w:r w:rsidR="002B13EB">
        <w:t xml:space="preserve"> PWC was of the view that there should be no time limit on the </w:t>
      </w:r>
      <w:r w:rsidR="00663CAA">
        <w:t>grandfathering period</w:t>
      </w:r>
      <w:r w:rsidR="00DA0876">
        <w:t xml:space="preserve">, while </w:t>
      </w:r>
      <w:r w:rsidR="002B13EB">
        <w:t>Alinta, EnergyAustralia and APGA</w:t>
      </w:r>
      <w:r w:rsidR="00DA0876">
        <w:t xml:space="preserve"> thought </w:t>
      </w:r>
      <w:r w:rsidR="002B13EB">
        <w:t>the grandfathering period should be reviewed post implementation and potentially extended.</w:t>
      </w:r>
    </w:p>
    <w:p w14:paraId="5FE7D268" w14:textId="77777777" w:rsidR="002B13EB" w:rsidRDefault="002B13EB" w:rsidP="002B13EB">
      <w:pPr>
        <w:pStyle w:val="BodyText"/>
      </w:pPr>
      <w:r>
        <w:t xml:space="preserve">In addition to this feedback, stakeholders made the following observations about the drafting of the transitional rules that give effect to the </w:t>
      </w:r>
      <w:r w:rsidR="00DA0876">
        <w:t>transitional firm</w:t>
      </w:r>
      <w:r>
        <w:t xml:space="preserve"> rights:</w:t>
      </w:r>
    </w:p>
    <w:p w14:paraId="5B7FCFA6" w14:textId="77777777" w:rsidR="002B13EB" w:rsidRPr="00472DAD" w:rsidRDefault="002B13EB" w:rsidP="002B13EB">
      <w:pPr>
        <w:pStyle w:val="ListBullet"/>
      </w:pPr>
      <w:r>
        <w:t>APA, Origin and AGL noted that it was unclear whether transitional firm rights would be available for use on all the transportation facilities generators use in the transportation of gas to their site, or just the facility connected to the generator.</w:t>
      </w:r>
    </w:p>
    <w:p w14:paraId="514DF469" w14:textId="77777777" w:rsidR="002B13EB" w:rsidRDefault="002B13EB" w:rsidP="002B13EB">
      <w:pPr>
        <w:pStyle w:val="ListBullet"/>
      </w:pPr>
      <w:r>
        <w:t>PWC noted the drafting currently only refers to market generating units that form part of the National Electricity Market (NEM) and so do not capture generators in the NT.</w:t>
      </w:r>
    </w:p>
    <w:p w14:paraId="36A64992" w14:textId="77777777" w:rsidR="002B13EB" w:rsidRDefault="002B13EB" w:rsidP="002B13EB">
      <w:pPr>
        <w:pStyle w:val="ListBullet"/>
      </w:pPr>
      <w:r>
        <w:t xml:space="preserve">A stakeholder that provided a confidential submission suggested that the date used for determining whether a generator had the relevant rights in place should be changed from 3 January 2018 to 19 March 2018, because this is when the limitation was first communicated to market participants. </w:t>
      </w:r>
    </w:p>
    <w:p w14:paraId="24612F52" w14:textId="77777777" w:rsidR="002B13EB" w:rsidRDefault="002B13EB" w:rsidP="002B13EB">
      <w:pPr>
        <w:pStyle w:val="BodyText"/>
      </w:pPr>
      <w:r>
        <w:t xml:space="preserve">Epic also suggested that rather than requiring </w:t>
      </w:r>
      <w:r w:rsidR="00663CAA">
        <w:t xml:space="preserve">transportation </w:t>
      </w:r>
      <w:r>
        <w:t xml:space="preserve">service providers to make a decision about whether or not a transportation right should be treated as a transitional firm right, there should be a preliminary process under which the AER makes a determination (at a service provider’s request) that a service meets the criteria. Elaborating on this further, Epic noted that </w:t>
      </w:r>
      <w:r w:rsidR="00663CAA">
        <w:t xml:space="preserve">if the decision was left to transportation </w:t>
      </w:r>
      <w:r>
        <w:t xml:space="preserve">service providers </w:t>
      </w:r>
      <w:r w:rsidR="00663CAA">
        <w:t xml:space="preserve">then they </w:t>
      </w:r>
      <w:r>
        <w:t>would be exposed to the risk of primary shippers and auction participants disputing the service provider’s determination. Epic added that if the AER did not make this determination, service providers should be provided time to rectify the situation prospectively prior to any penalties being imposed by the AER.</w:t>
      </w:r>
    </w:p>
    <w:p w14:paraId="3F6128FE" w14:textId="13C52DFE" w:rsidR="002B13EB" w:rsidRDefault="002B13EB" w:rsidP="002B13EB">
      <w:pPr>
        <w:pStyle w:val="BodyText"/>
      </w:pPr>
      <w:r>
        <w:t>The GMRG’s response to the feedback provided by stakeholders is summarised in the table below.</w:t>
      </w:r>
    </w:p>
    <w:p w14:paraId="0D6E67B3" w14:textId="457D5019" w:rsidR="002B13EB" w:rsidRDefault="002B13EB" w:rsidP="002B13EB">
      <w:pPr>
        <w:pStyle w:val="Caption"/>
        <w:spacing w:after="0"/>
      </w:pPr>
      <w:r>
        <w:t xml:space="preserve">Table </w:t>
      </w:r>
      <w:r>
        <w:rPr>
          <w:noProof/>
        </w:rPr>
        <w:t>A</w:t>
      </w:r>
      <w:r>
        <w:t>.</w:t>
      </w:r>
      <w:r w:rsidR="00EE244C">
        <w:rPr>
          <w:noProof/>
        </w:rPr>
        <w:t>7</w:t>
      </w:r>
      <w:r>
        <w:t xml:space="preserve">: </w:t>
      </w:r>
      <w:r w:rsidRPr="003B0AB6">
        <w:t xml:space="preserve">Response to issues raised about </w:t>
      </w:r>
      <w:r>
        <w:t>transitional firm</w:t>
      </w:r>
      <w:r w:rsidRPr="003B0AB6">
        <w:t xml:space="preserve"> rights</w:t>
      </w:r>
      <w:r>
        <w:t xml:space="preserve"> </w:t>
      </w:r>
    </w:p>
    <w:tbl>
      <w:tblPr>
        <w:tblStyle w:val="TableGrid"/>
        <w:tblW w:w="8931" w:type="dxa"/>
        <w:tblLook w:val="04A0" w:firstRow="1" w:lastRow="0" w:firstColumn="1" w:lastColumn="0" w:noHBand="0" w:noVBand="1"/>
        <w:tblCaption w:val="Response to issues raised about negotiations"/>
        <w:tblDescription w:val="Table of stakeholder concerns and GMRG response"/>
      </w:tblPr>
      <w:tblGrid>
        <w:gridCol w:w="1843"/>
        <w:gridCol w:w="7088"/>
      </w:tblGrid>
      <w:tr w:rsidR="002B13EB" w:rsidRPr="007540E6" w14:paraId="01F391FC" w14:textId="77777777" w:rsidTr="002B13EB">
        <w:trPr>
          <w:cnfStyle w:val="100000000000" w:firstRow="1" w:lastRow="0" w:firstColumn="0" w:lastColumn="0" w:oddVBand="0" w:evenVBand="0" w:oddHBand="0" w:evenHBand="0" w:firstRowFirstColumn="0" w:firstRowLastColumn="0" w:lastRowFirstColumn="0" w:lastRowLastColumn="0"/>
          <w:trHeight w:val="153"/>
          <w:tblHeader/>
        </w:trPr>
        <w:tc>
          <w:tcPr>
            <w:tcW w:w="1843" w:type="dxa"/>
            <w:shd w:val="clear" w:color="auto" w:fill="0099CC"/>
          </w:tcPr>
          <w:p w14:paraId="5F8D062F" w14:textId="77777777" w:rsidR="002B13EB" w:rsidRPr="00D2782A" w:rsidRDefault="002B13EB" w:rsidP="002B13EB">
            <w:pPr>
              <w:pStyle w:val="BodyText"/>
              <w:spacing w:before="60" w:after="60"/>
              <w:rPr>
                <w:szCs w:val="18"/>
              </w:rPr>
            </w:pPr>
            <w:r>
              <w:rPr>
                <w:szCs w:val="18"/>
              </w:rPr>
              <w:t>Issue</w:t>
            </w:r>
          </w:p>
        </w:tc>
        <w:tc>
          <w:tcPr>
            <w:tcW w:w="7088" w:type="dxa"/>
            <w:shd w:val="clear" w:color="auto" w:fill="0099CC"/>
          </w:tcPr>
          <w:p w14:paraId="40330FD7" w14:textId="77777777" w:rsidR="002B13EB" w:rsidRPr="00D2782A" w:rsidRDefault="002B13EB" w:rsidP="002B13EB">
            <w:pPr>
              <w:pStyle w:val="BodyText"/>
              <w:spacing w:before="60" w:after="60"/>
              <w:rPr>
                <w:szCs w:val="18"/>
              </w:rPr>
            </w:pPr>
            <w:r w:rsidRPr="00983B75">
              <w:rPr>
                <w:szCs w:val="18"/>
              </w:rPr>
              <w:t>GMRG response</w:t>
            </w:r>
          </w:p>
        </w:tc>
      </w:tr>
      <w:tr w:rsidR="002B13EB" w:rsidRPr="00A50EF7" w14:paraId="5B7D7207" w14:textId="77777777" w:rsidTr="002B13EB">
        <w:trPr>
          <w:trHeight w:val="565"/>
        </w:trPr>
        <w:tc>
          <w:tcPr>
            <w:tcW w:w="1843" w:type="dxa"/>
            <w:shd w:val="clear" w:color="auto" w:fill="E1E2E7"/>
          </w:tcPr>
          <w:p w14:paraId="78343315" w14:textId="77777777" w:rsidR="002B13EB" w:rsidRPr="00A50EF7" w:rsidRDefault="002B13EB" w:rsidP="002B13EB">
            <w:pPr>
              <w:pStyle w:val="BodyText"/>
              <w:spacing w:before="60" w:after="60"/>
              <w:rPr>
                <w:szCs w:val="18"/>
              </w:rPr>
            </w:pPr>
            <w:r w:rsidRPr="00A50EF7">
              <w:rPr>
                <w:szCs w:val="18"/>
              </w:rPr>
              <w:t xml:space="preserve">Limitation of </w:t>
            </w:r>
            <w:r>
              <w:rPr>
                <w:szCs w:val="18"/>
              </w:rPr>
              <w:t xml:space="preserve">transitional firm </w:t>
            </w:r>
            <w:r w:rsidRPr="00A50EF7">
              <w:rPr>
                <w:szCs w:val="18"/>
              </w:rPr>
              <w:t xml:space="preserve">rights to </w:t>
            </w:r>
            <w:r>
              <w:rPr>
                <w:szCs w:val="18"/>
              </w:rPr>
              <w:t>gas-fired</w:t>
            </w:r>
            <w:r w:rsidRPr="00A50EF7">
              <w:rPr>
                <w:szCs w:val="18"/>
              </w:rPr>
              <w:t xml:space="preserve"> generators</w:t>
            </w:r>
          </w:p>
        </w:tc>
        <w:tc>
          <w:tcPr>
            <w:tcW w:w="7088" w:type="dxa"/>
            <w:shd w:val="clear" w:color="auto" w:fill="E1E2E7"/>
          </w:tcPr>
          <w:p w14:paraId="776DFDE4" w14:textId="77777777" w:rsidR="00142468" w:rsidRDefault="002B13EB" w:rsidP="002B13EB">
            <w:pPr>
              <w:pStyle w:val="BodyText"/>
              <w:spacing w:before="60" w:after="60"/>
            </w:pPr>
            <w:r w:rsidRPr="00A50EF7">
              <w:rPr>
                <w:szCs w:val="18"/>
              </w:rPr>
              <w:t>The</w:t>
            </w:r>
            <w:r>
              <w:rPr>
                <w:szCs w:val="18"/>
              </w:rPr>
              <w:t xml:space="preserve"> GMRG has considered the feedback provided by stakeholders on the proposal to allow certain </w:t>
            </w:r>
            <w:r w:rsidRPr="00EA6752">
              <w:t>rights</w:t>
            </w:r>
            <w:r>
              <w:t xml:space="preserve"> </w:t>
            </w:r>
            <w:r w:rsidRPr="00EA6752">
              <w:t xml:space="preserve">used </w:t>
            </w:r>
            <w:r>
              <w:t xml:space="preserve">in </w:t>
            </w:r>
            <w:r w:rsidRPr="00EA6752">
              <w:t xml:space="preserve">the transportation of gas to </w:t>
            </w:r>
            <w:r>
              <w:t xml:space="preserve">a gas-fired </w:t>
            </w:r>
            <w:r w:rsidRPr="00EA6752">
              <w:t>generation site</w:t>
            </w:r>
            <w:r>
              <w:t xml:space="preserve"> to rank ahead of the auction</w:t>
            </w:r>
            <w:r w:rsidR="00142468">
              <w:t xml:space="preserve"> product</w:t>
            </w:r>
            <w:r>
              <w:t xml:space="preserve">. </w:t>
            </w:r>
          </w:p>
          <w:p w14:paraId="059891DD" w14:textId="41A87A70" w:rsidR="002B13EB" w:rsidRDefault="002B13EB" w:rsidP="002B13EB">
            <w:pPr>
              <w:pStyle w:val="BodyText"/>
              <w:spacing w:before="60" w:after="60"/>
            </w:pPr>
            <w:r>
              <w:t>While the GMRG understands the concerns that ERM and Shell have raised about the effect this proposal could have on the auction,</w:t>
            </w:r>
            <w:r>
              <w:rPr>
                <w:rStyle w:val="FootnoteReference"/>
              </w:rPr>
              <w:footnoteReference w:id="418"/>
            </w:r>
            <w:r>
              <w:t xml:space="preserve"> it does think some caution needs to be exercised given the conditions currently prevailing in the NEM. The GMRG is therefore of the view that transportation </w:t>
            </w:r>
            <w:r w:rsidRPr="00EA6752">
              <w:t>rights</w:t>
            </w:r>
            <w:r>
              <w:t xml:space="preserve"> held by gas-fired generators under primary facility agreements made on or before 19 March 2018, that are used to transport gas to the generator’s site and in normal operating conditions would be treated as firm once scheduled</w:t>
            </w:r>
            <w:r w:rsidRPr="00EA6752">
              <w:t xml:space="preserve"> </w:t>
            </w:r>
            <w:r>
              <w:t>(e.g. certain as available and authorised overrun services)</w:t>
            </w:r>
            <w:r w:rsidR="00663CAA">
              <w:t>,</w:t>
            </w:r>
            <w:r>
              <w:t xml:space="preserve"> should rank ahead of the auction product for a transitional period. </w:t>
            </w:r>
          </w:p>
          <w:p w14:paraId="49207E9C" w14:textId="77777777" w:rsidR="002B13EB" w:rsidRDefault="002B13EB" w:rsidP="002B13EB">
            <w:pPr>
              <w:pStyle w:val="BodyText"/>
              <w:spacing w:before="60" w:after="60"/>
              <w:rPr>
                <w:szCs w:val="18"/>
              </w:rPr>
            </w:pPr>
            <w:r>
              <w:rPr>
                <w:szCs w:val="18"/>
              </w:rPr>
              <w:t xml:space="preserve">In relation to the concerns that Origin raised about the operational and compliance difficulties that may be associated with limiting transitional firm rights to gas-fired generators, the GMRG is of the view that these concerns can be addressed by: </w:t>
            </w:r>
          </w:p>
          <w:p w14:paraId="7EA610C4" w14:textId="77777777" w:rsidR="002B13EB" w:rsidRDefault="002B13EB" w:rsidP="002B13EB">
            <w:pPr>
              <w:pStyle w:val="TableBullet1"/>
            </w:pPr>
            <w:r>
              <w:lastRenderedPageBreak/>
              <w:t>requiring the AER to oversee the classification of transitional firm services by service providers; and</w:t>
            </w:r>
          </w:p>
          <w:p w14:paraId="43DE3733" w14:textId="77777777" w:rsidR="002B13EB" w:rsidRDefault="002B13EB" w:rsidP="002B13EB">
            <w:pPr>
              <w:pStyle w:val="TableBullet1"/>
            </w:pPr>
            <w:r>
              <w:t>requiring service providers and transitional firm rights holders to keep records of the information the AER would require to monitor compliance with the requirement for the capacity to be used at a gas-fired generation site.</w:t>
            </w:r>
          </w:p>
          <w:p w14:paraId="3EF86D14" w14:textId="77777777" w:rsidR="002B13EB" w:rsidRPr="00A50EF7" w:rsidRDefault="002B13EB" w:rsidP="002B13EB">
            <w:pPr>
              <w:pStyle w:val="TableBullet1"/>
              <w:numPr>
                <w:ilvl w:val="0"/>
                <w:numId w:val="0"/>
              </w:numPr>
              <w:ind w:left="85"/>
            </w:pPr>
            <w:r>
              <w:t xml:space="preserve">The GMRG does not therefore think it is necessary to expand the scope of the transitional firm rights to all as available and authorised overrun rights holders. In this regard, it is worth noting that ranking all as available and authorised overrun rights ahead of the auction product as proposed by both Origin and Jemena would be contrary to the policy intent, which is for the auction service to rank as closely as possible behind firm services so that firm capacity holders have a strong incentive to release any spare capacity they may have prior to the auction. The GMRG remains therefore of the view that the scope of the transitional firm rights should be limited to the rights held by gas-fired generators. </w:t>
            </w:r>
          </w:p>
        </w:tc>
      </w:tr>
      <w:tr w:rsidR="002B13EB" w:rsidRPr="007540E6" w14:paraId="513E293E" w14:textId="77777777" w:rsidTr="002B13EB">
        <w:trPr>
          <w:cnfStyle w:val="000000010000" w:firstRow="0" w:lastRow="0" w:firstColumn="0" w:lastColumn="0" w:oddVBand="0" w:evenVBand="0" w:oddHBand="0" w:evenHBand="1" w:firstRowFirstColumn="0" w:firstRowLastColumn="0" w:lastRowFirstColumn="0" w:lastRowLastColumn="0"/>
          <w:trHeight w:val="545"/>
        </w:trPr>
        <w:tc>
          <w:tcPr>
            <w:tcW w:w="1843" w:type="dxa"/>
            <w:shd w:val="clear" w:color="auto" w:fill="FFFFFF" w:themeFill="background1"/>
          </w:tcPr>
          <w:p w14:paraId="768C679B" w14:textId="77777777" w:rsidR="002B13EB" w:rsidRPr="00983B75" w:rsidRDefault="002B13EB" w:rsidP="00982484">
            <w:pPr>
              <w:pStyle w:val="BodyText"/>
              <w:spacing w:before="60" w:after="60"/>
              <w:rPr>
                <w:szCs w:val="18"/>
              </w:rPr>
            </w:pPr>
            <w:r>
              <w:rPr>
                <w:szCs w:val="18"/>
              </w:rPr>
              <w:lastRenderedPageBreak/>
              <w:t>Transitional period</w:t>
            </w:r>
          </w:p>
        </w:tc>
        <w:tc>
          <w:tcPr>
            <w:tcW w:w="7088" w:type="dxa"/>
            <w:shd w:val="clear" w:color="auto" w:fill="FFFFFF" w:themeFill="background1"/>
          </w:tcPr>
          <w:p w14:paraId="036FA930" w14:textId="77777777" w:rsidR="002B13EB" w:rsidRDefault="002B13EB" w:rsidP="00982484">
            <w:pPr>
              <w:pStyle w:val="BodyText"/>
              <w:spacing w:before="60" w:after="60"/>
              <w:rPr>
                <w:szCs w:val="18"/>
              </w:rPr>
            </w:pPr>
            <w:r>
              <w:rPr>
                <w:szCs w:val="18"/>
              </w:rPr>
              <w:t>The GMRG has considered the issues raised by stakeholders about the length of the transitional period and while it understands the concerns that Alinta, EnergyAustralia, APGA and PWC have raised, it is of the view that a two year transitional period is sufficient, particularly given the adverse effect the continued recognition of these rights could have on the auction and secondary capacity trading, more generally.</w:t>
            </w:r>
          </w:p>
          <w:p w14:paraId="6DBA3DEC" w14:textId="77777777" w:rsidR="002B13EB" w:rsidRDefault="002B13EB" w:rsidP="00982484">
            <w:pPr>
              <w:pStyle w:val="BodyText"/>
              <w:spacing w:before="60" w:after="60"/>
              <w:rPr>
                <w:szCs w:val="18"/>
              </w:rPr>
            </w:pPr>
            <w:r>
              <w:rPr>
                <w:szCs w:val="18"/>
              </w:rPr>
              <w:t xml:space="preserve">As noted in the </w:t>
            </w:r>
            <w:r w:rsidR="00DA0876">
              <w:rPr>
                <w:szCs w:val="18"/>
              </w:rPr>
              <w:t xml:space="preserve">March 2018 </w:t>
            </w:r>
            <w:r>
              <w:rPr>
                <w:szCs w:val="18"/>
              </w:rPr>
              <w:t xml:space="preserve">consultation paper, the transition to the new arrangements will require some adjustments to be made to the way in which services are contracted. However, it is important to recognise that shippers will be able to achieve similar levels of flexibility to what they currently have to manage demand risks (e.g. by procuring hourly entitlements and/or imbalance entitlements from service providers or other shippers). It is just the manner in which this is done that will change. </w:t>
            </w:r>
          </w:p>
          <w:p w14:paraId="1CE67C60" w14:textId="77777777" w:rsidR="002B13EB" w:rsidRPr="00D2782A" w:rsidRDefault="002B13EB" w:rsidP="00982484">
            <w:pPr>
              <w:pStyle w:val="BodyText"/>
              <w:spacing w:before="60" w:after="60"/>
              <w:rPr>
                <w:szCs w:val="18"/>
              </w:rPr>
            </w:pPr>
            <w:r>
              <w:rPr>
                <w:szCs w:val="18"/>
              </w:rPr>
              <w:t>The GMRG has also considered Shell’s suggestion that the transitional period be limited to one year, however, given the matters that have been raised by Alinta and EnergyAustralia, the GMRG is of the view that a two year period is appropriate.</w:t>
            </w:r>
          </w:p>
        </w:tc>
      </w:tr>
      <w:tr w:rsidR="002B13EB" w:rsidRPr="007540E6" w14:paraId="6304913E" w14:textId="77777777" w:rsidTr="002B13EB">
        <w:trPr>
          <w:trHeight w:val="565"/>
        </w:trPr>
        <w:tc>
          <w:tcPr>
            <w:tcW w:w="1843" w:type="dxa"/>
            <w:shd w:val="clear" w:color="auto" w:fill="E1E2E7"/>
          </w:tcPr>
          <w:p w14:paraId="58C11C78" w14:textId="77777777" w:rsidR="002B13EB" w:rsidRPr="00E64B7B" w:rsidRDefault="002B13EB" w:rsidP="00982484">
            <w:pPr>
              <w:pStyle w:val="BodyText"/>
              <w:keepNext/>
              <w:spacing w:before="60" w:after="60"/>
              <w:rPr>
                <w:szCs w:val="18"/>
              </w:rPr>
            </w:pPr>
            <w:r w:rsidRPr="00E64B7B">
              <w:rPr>
                <w:szCs w:val="18"/>
              </w:rPr>
              <w:t xml:space="preserve">Process for </w:t>
            </w:r>
            <w:r>
              <w:rPr>
                <w:szCs w:val="18"/>
              </w:rPr>
              <w:t>classifying</w:t>
            </w:r>
            <w:r w:rsidRPr="00E64B7B">
              <w:rPr>
                <w:szCs w:val="18"/>
              </w:rPr>
              <w:t xml:space="preserve"> </w:t>
            </w:r>
            <w:r>
              <w:rPr>
                <w:szCs w:val="18"/>
              </w:rPr>
              <w:t xml:space="preserve">transitional firm </w:t>
            </w:r>
            <w:r w:rsidRPr="00E64B7B">
              <w:rPr>
                <w:szCs w:val="18"/>
              </w:rPr>
              <w:t>rights</w:t>
            </w:r>
          </w:p>
        </w:tc>
        <w:tc>
          <w:tcPr>
            <w:tcW w:w="7088" w:type="dxa"/>
            <w:shd w:val="clear" w:color="auto" w:fill="E1E2E7"/>
          </w:tcPr>
          <w:p w14:paraId="036E057C" w14:textId="77777777" w:rsidR="002B13EB" w:rsidRDefault="002B13EB" w:rsidP="00982484">
            <w:pPr>
              <w:pStyle w:val="BodyText"/>
              <w:keepNext/>
              <w:spacing w:before="60" w:after="60"/>
              <w:rPr>
                <w:szCs w:val="18"/>
              </w:rPr>
            </w:pPr>
            <w:r w:rsidRPr="00E64B7B">
              <w:rPr>
                <w:szCs w:val="18"/>
              </w:rPr>
              <w:t xml:space="preserve">The </w:t>
            </w:r>
            <w:r>
              <w:rPr>
                <w:szCs w:val="18"/>
              </w:rPr>
              <w:t xml:space="preserve">GMRG understands the concerns that Epic has raised about the process for classifying a service as a transitional firm service and agrees that it would be more appropriate for: </w:t>
            </w:r>
          </w:p>
          <w:p w14:paraId="2ED50A04" w14:textId="77777777" w:rsidR="002B13EB" w:rsidRDefault="00663CAA" w:rsidP="00982484">
            <w:pPr>
              <w:pStyle w:val="TableBullet1"/>
              <w:keepNext/>
            </w:pPr>
            <w:r>
              <w:t xml:space="preserve">a </w:t>
            </w:r>
            <w:r w:rsidR="00DA0876">
              <w:t xml:space="preserve">transportation </w:t>
            </w:r>
            <w:r w:rsidR="002B13EB">
              <w:t>service provider’s classification to be overseen by the AER and for the AER to have the power to reject or revoke a classification if it is not satisfied the criteria are met; and</w:t>
            </w:r>
          </w:p>
          <w:p w14:paraId="3DEDF61F" w14:textId="77777777" w:rsidR="002B13EB" w:rsidRDefault="00663CAA" w:rsidP="00982484">
            <w:pPr>
              <w:pStyle w:val="TableBullet1"/>
              <w:keepNext/>
            </w:pPr>
            <w:r>
              <w:t xml:space="preserve">a </w:t>
            </w:r>
            <w:r w:rsidR="00DA0876">
              <w:t xml:space="preserve">transportation </w:t>
            </w:r>
            <w:r w:rsidR="002B13EB">
              <w:t xml:space="preserve">service provider to determine on a daily basis whether nominations to use the transitional firm services can be treated as a transitional firm quantity in the auction based on the location to which the gas is being transported. </w:t>
            </w:r>
          </w:p>
          <w:p w14:paraId="6D07E5B7" w14:textId="77777777" w:rsidR="002B13EB" w:rsidRPr="00E64B7B" w:rsidRDefault="002B13EB" w:rsidP="00982484">
            <w:pPr>
              <w:pStyle w:val="BodyText"/>
              <w:keepNext/>
              <w:spacing w:before="60" w:after="60"/>
              <w:rPr>
                <w:szCs w:val="18"/>
              </w:rPr>
            </w:pPr>
            <w:r>
              <w:rPr>
                <w:szCs w:val="18"/>
              </w:rPr>
              <w:t xml:space="preserve">In the GMRG’s view, this approach will address the conflicts raised by Epic and will also provide market participants greater confidence in the arrangements and assist the AER when monitoring compliance with this part of the rules. </w:t>
            </w:r>
            <w:r w:rsidR="00663CAA">
              <w:rPr>
                <w:szCs w:val="18"/>
              </w:rPr>
              <w:t>The transitional rules in Schedule 5 have therefore been amended to reflect this process.</w:t>
            </w:r>
          </w:p>
        </w:tc>
      </w:tr>
      <w:tr w:rsidR="002B13EB" w:rsidRPr="007540E6" w14:paraId="13679C8E" w14:textId="77777777" w:rsidTr="002B13EB">
        <w:trPr>
          <w:cnfStyle w:val="000000010000" w:firstRow="0" w:lastRow="0" w:firstColumn="0" w:lastColumn="0" w:oddVBand="0" w:evenVBand="0" w:oddHBand="0" w:evenHBand="1" w:firstRowFirstColumn="0" w:firstRowLastColumn="0" w:lastRowFirstColumn="0" w:lastRowLastColumn="0"/>
          <w:trHeight w:val="545"/>
        </w:trPr>
        <w:tc>
          <w:tcPr>
            <w:tcW w:w="1843" w:type="dxa"/>
            <w:shd w:val="clear" w:color="auto" w:fill="FFFFFF" w:themeFill="background1"/>
          </w:tcPr>
          <w:p w14:paraId="4144E9CA" w14:textId="77777777" w:rsidR="002B13EB" w:rsidRPr="00983B75" w:rsidRDefault="002B13EB" w:rsidP="002B13EB">
            <w:pPr>
              <w:pStyle w:val="BodyText"/>
              <w:spacing w:before="60" w:after="60"/>
              <w:rPr>
                <w:szCs w:val="18"/>
              </w:rPr>
            </w:pPr>
            <w:r>
              <w:rPr>
                <w:szCs w:val="18"/>
              </w:rPr>
              <w:t>Other matters</w:t>
            </w:r>
          </w:p>
        </w:tc>
        <w:tc>
          <w:tcPr>
            <w:tcW w:w="7088" w:type="dxa"/>
            <w:shd w:val="clear" w:color="auto" w:fill="FFFFFF" w:themeFill="background1"/>
          </w:tcPr>
          <w:p w14:paraId="0BC9C44D" w14:textId="77777777" w:rsidR="002B13EB" w:rsidRDefault="002B13EB" w:rsidP="002B13EB">
            <w:pPr>
              <w:pStyle w:val="BodyText"/>
              <w:spacing w:before="60" w:after="60"/>
              <w:rPr>
                <w:szCs w:val="18"/>
              </w:rPr>
            </w:pPr>
            <w:r>
              <w:rPr>
                <w:szCs w:val="18"/>
              </w:rPr>
              <w:t>The GMRG has considered the other matters raised in the Origin, APA, AGL, PWC and confidential submissions and agrees that:</w:t>
            </w:r>
          </w:p>
          <w:p w14:paraId="567C7040" w14:textId="77777777" w:rsidR="002B13EB" w:rsidRDefault="002B13EB" w:rsidP="002B13EB">
            <w:pPr>
              <w:pStyle w:val="TableBullet1"/>
            </w:pPr>
            <w:r>
              <w:t>Transitional firm services should be available on transportation facilities that are used in the transportation of gas to the generation site and not limited to the pipeline that is directly connected to the generation site.</w:t>
            </w:r>
          </w:p>
          <w:p w14:paraId="7EEB1C84" w14:textId="77777777" w:rsidR="002B13EB" w:rsidRDefault="002B13EB" w:rsidP="002B13EB">
            <w:pPr>
              <w:pStyle w:val="TableBullet1"/>
            </w:pPr>
            <w:r>
              <w:t>The reference to market generating units that form part of the NEM in the transitional rules should be amended to capture generators in the NT.</w:t>
            </w:r>
          </w:p>
          <w:p w14:paraId="1CB1E8EB" w14:textId="77777777" w:rsidR="002B13EB" w:rsidRDefault="002B13EB" w:rsidP="002B13EB">
            <w:pPr>
              <w:pStyle w:val="TableBullet1"/>
            </w:pPr>
            <w:r>
              <w:t xml:space="preserve">The date used to assess whether a transportation right can be considered a </w:t>
            </w:r>
            <w:r w:rsidR="00DA0876">
              <w:t>transitional firm</w:t>
            </w:r>
            <w:r>
              <w:t xml:space="preserve"> right should be changed in the transitional rules from 3 January 2018 to 19 March 2018. </w:t>
            </w:r>
          </w:p>
          <w:p w14:paraId="704147AD" w14:textId="77777777" w:rsidR="002B13EB" w:rsidRPr="00D2782A" w:rsidRDefault="002B13EB" w:rsidP="002B13EB">
            <w:pPr>
              <w:pStyle w:val="TableBullet1"/>
              <w:numPr>
                <w:ilvl w:val="0"/>
                <w:numId w:val="0"/>
              </w:numPr>
              <w:ind w:left="85"/>
            </w:pPr>
            <w:r>
              <w:t xml:space="preserve">These changes are reflected in </w:t>
            </w:r>
            <w:r w:rsidR="00663CAA">
              <w:t xml:space="preserve">the transitional rules in </w:t>
            </w:r>
            <w:r>
              <w:t>Schedule 5 of the NGR.</w:t>
            </w:r>
          </w:p>
        </w:tc>
      </w:tr>
    </w:tbl>
    <w:p w14:paraId="08EDABDC" w14:textId="77777777" w:rsidR="002B13EB" w:rsidRDefault="002B13EB" w:rsidP="002B13EB">
      <w:pPr>
        <w:pStyle w:val="AppendixHeading3"/>
      </w:pPr>
      <w:r>
        <w:lastRenderedPageBreak/>
        <w:t>Contract path model</w:t>
      </w:r>
      <w:r w:rsidR="009257EC">
        <w:t>s</w:t>
      </w:r>
    </w:p>
    <w:p w14:paraId="20E6DA36" w14:textId="77777777" w:rsidR="00FC7112" w:rsidRDefault="00FC7112" w:rsidP="00FC7112">
      <w:pPr>
        <w:pStyle w:val="BodyText"/>
      </w:pPr>
      <w:r>
        <w:t>The March 2018 consultation paper proposed the adoption of the following contract path model</w:t>
      </w:r>
      <w:r w:rsidR="009257EC">
        <w:t>s</w:t>
      </w:r>
      <w:r>
        <w:t xml:space="preserve"> for the day-ahead auction:</w:t>
      </w:r>
    </w:p>
    <w:p w14:paraId="534E0170" w14:textId="77777777" w:rsidR="002B13EB" w:rsidRPr="00621084" w:rsidRDefault="00FC7112" w:rsidP="002B13EB">
      <w:pPr>
        <w:pStyle w:val="ListBullet"/>
      </w:pPr>
      <w:r>
        <w:rPr>
          <w:lang w:val="en-US"/>
        </w:rPr>
        <w:t xml:space="preserve">A </w:t>
      </w:r>
      <w:r w:rsidR="002B13EB">
        <w:rPr>
          <w:lang w:val="en-US"/>
        </w:rPr>
        <w:t>hybrid point-to-point zonal model for forward haul and compression services</w:t>
      </w:r>
      <w:r>
        <w:rPr>
          <w:lang w:val="en-US"/>
        </w:rPr>
        <w:t xml:space="preserve"> that enable</w:t>
      </w:r>
      <w:r w:rsidR="00663CAA">
        <w:rPr>
          <w:lang w:val="en-US"/>
        </w:rPr>
        <w:t>s</w:t>
      </w:r>
      <w:r>
        <w:rPr>
          <w:lang w:val="en-US"/>
        </w:rPr>
        <w:t xml:space="preserve"> </w:t>
      </w:r>
      <w:r w:rsidR="002B13EB" w:rsidRPr="00621084">
        <w:rPr>
          <w:lang w:val="en-US"/>
        </w:rPr>
        <w:t xml:space="preserve">auction participants </w:t>
      </w:r>
      <w:r>
        <w:rPr>
          <w:lang w:val="en-US"/>
        </w:rPr>
        <w:t xml:space="preserve">to </w:t>
      </w:r>
      <w:r w:rsidR="002B13EB" w:rsidRPr="00621084">
        <w:rPr>
          <w:lang w:val="en-US"/>
        </w:rPr>
        <w:t xml:space="preserve">bid on a point-to-point basis for any unused capacity at individual receipt or delivery points, </w:t>
      </w:r>
      <w:r>
        <w:rPr>
          <w:lang w:val="en-US"/>
        </w:rPr>
        <w:t>with</w:t>
      </w:r>
      <w:r w:rsidR="002B13EB" w:rsidRPr="00621084">
        <w:rPr>
          <w:lang w:val="en-US"/>
        </w:rPr>
        <w:t xml:space="preserve"> their ability to secure capacity at those points </w:t>
      </w:r>
      <w:r>
        <w:rPr>
          <w:lang w:val="en-US"/>
        </w:rPr>
        <w:t xml:space="preserve">on pipelines </w:t>
      </w:r>
      <w:r w:rsidR="002B13EB" w:rsidRPr="00621084">
        <w:rPr>
          <w:lang w:val="en-US"/>
        </w:rPr>
        <w:t>depend</w:t>
      </w:r>
      <w:r>
        <w:rPr>
          <w:lang w:val="en-US"/>
        </w:rPr>
        <w:t>ent</w:t>
      </w:r>
      <w:r w:rsidR="002B13EB" w:rsidRPr="00621084">
        <w:rPr>
          <w:lang w:val="en-US"/>
        </w:rPr>
        <w:t xml:space="preserve"> on whether there is sufficient: </w:t>
      </w:r>
    </w:p>
    <w:p w14:paraId="729A0BE3" w14:textId="77777777" w:rsidR="002B13EB" w:rsidRPr="00621084" w:rsidRDefault="002B13EB" w:rsidP="002B13EB">
      <w:pPr>
        <w:pStyle w:val="ListBullet2"/>
      </w:pPr>
      <w:r w:rsidRPr="00621084">
        <w:t>C</w:t>
      </w:r>
      <w:r w:rsidRPr="00621084">
        <w:rPr>
          <w:lang w:val="en-US"/>
        </w:rPr>
        <w:t>BU capacity available in the receipt point zone and delivery point zone they wish to use; and</w:t>
      </w:r>
    </w:p>
    <w:p w14:paraId="1AC6FA61" w14:textId="77777777" w:rsidR="002B13EB" w:rsidRPr="00621084" w:rsidRDefault="002B13EB" w:rsidP="002B13EB">
      <w:pPr>
        <w:pStyle w:val="ListBullet2"/>
      </w:pPr>
      <w:r w:rsidRPr="00621084">
        <w:rPr>
          <w:lang w:val="en-US"/>
        </w:rPr>
        <w:t>CBU capacity along the segments of the pipeline they need to use.</w:t>
      </w:r>
    </w:p>
    <w:p w14:paraId="5E8018E7" w14:textId="77777777" w:rsidR="002B13EB" w:rsidRPr="00621084" w:rsidRDefault="002B13EB" w:rsidP="002B13EB">
      <w:pPr>
        <w:pStyle w:val="ListBullet"/>
      </w:pPr>
      <w:r>
        <w:t xml:space="preserve">A point-to-point model for backhaul services, </w:t>
      </w:r>
      <w:r w:rsidR="00FC7112">
        <w:t xml:space="preserve">that </w:t>
      </w:r>
      <w:r w:rsidR="009257EC">
        <w:t>enable</w:t>
      </w:r>
      <w:r w:rsidR="00663CAA">
        <w:t>s</w:t>
      </w:r>
      <w:r w:rsidR="009257EC">
        <w:t xml:space="preserve"> </w:t>
      </w:r>
      <w:r w:rsidRPr="00621084">
        <w:t xml:space="preserve">backhaul services </w:t>
      </w:r>
      <w:r w:rsidR="009257EC">
        <w:t xml:space="preserve">to </w:t>
      </w:r>
      <w:r w:rsidRPr="00621084">
        <w:t xml:space="preserve">be: </w:t>
      </w:r>
    </w:p>
    <w:p w14:paraId="73484290" w14:textId="77777777" w:rsidR="002B13EB" w:rsidRPr="00621084" w:rsidRDefault="002B13EB" w:rsidP="002B13EB">
      <w:pPr>
        <w:pStyle w:val="ListBullet2"/>
      </w:pPr>
      <w:r w:rsidRPr="00621084">
        <w:t>sold on a point-to-point basis between points that AEMO determines should be included in the auction from time to time; and</w:t>
      </w:r>
    </w:p>
    <w:p w14:paraId="362E76B0" w14:textId="77777777" w:rsidR="002B13EB" w:rsidRPr="00621084" w:rsidRDefault="002B13EB" w:rsidP="002B13EB">
      <w:pPr>
        <w:pStyle w:val="ListBullet2"/>
      </w:pPr>
      <w:r w:rsidRPr="00621084">
        <w:t>allocated in a static</w:t>
      </w:r>
      <w:r>
        <w:rPr>
          <w:rStyle w:val="FootnoteReference"/>
          <w:iCs/>
        </w:rPr>
        <w:footnoteReference w:id="419"/>
      </w:r>
      <w:r w:rsidRPr="00621084">
        <w:t xml:space="preserve"> manner against firm net forward haul flows.</w:t>
      </w:r>
      <w:r w:rsidRPr="002074FF">
        <w:rPr>
          <w:rStyle w:val="FootnoteReference"/>
        </w:rPr>
        <w:t xml:space="preserve"> </w:t>
      </w:r>
    </w:p>
    <w:p w14:paraId="2F8C18D4" w14:textId="77777777" w:rsidR="002B13EB" w:rsidRPr="00E36E52" w:rsidRDefault="009257EC" w:rsidP="002B13EB">
      <w:pPr>
        <w:pStyle w:val="BodyText"/>
        <w:rPr>
          <w:rFonts w:asciiTheme="majorHAnsi" w:hAnsiTheme="majorHAnsi" w:cstheme="majorHAnsi"/>
          <w:szCs w:val="18"/>
        </w:rPr>
      </w:pPr>
      <w:r>
        <w:rPr>
          <w:rFonts w:asciiTheme="majorHAnsi" w:hAnsiTheme="majorHAnsi" w:cstheme="majorHAnsi"/>
          <w:szCs w:val="18"/>
        </w:rPr>
        <w:t>S</w:t>
      </w:r>
      <w:r w:rsidR="002B13EB" w:rsidRPr="00E36E52">
        <w:rPr>
          <w:rFonts w:asciiTheme="majorHAnsi" w:hAnsiTheme="majorHAnsi" w:cstheme="majorHAnsi"/>
          <w:szCs w:val="18"/>
        </w:rPr>
        <w:t xml:space="preserve">takeholders </w:t>
      </w:r>
      <w:r>
        <w:rPr>
          <w:rFonts w:asciiTheme="majorHAnsi" w:hAnsiTheme="majorHAnsi" w:cstheme="majorHAnsi"/>
          <w:szCs w:val="18"/>
        </w:rPr>
        <w:t>provided the following feedback on these contract path models</w:t>
      </w:r>
      <w:r w:rsidR="002B13EB" w:rsidRPr="00E36E52">
        <w:rPr>
          <w:rFonts w:asciiTheme="majorHAnsi" w:hAnsiTheme="majorHAnsi" w:cstheme="majorHAnsi"/>
          <w:szCs w:val="18"/>
        </w:rPr>
        <w:t>:</w:t>
      </w:r>
    </w:p>
    <w:p w14:paraId="2CA13D28" w14:textId="77777777" w:rsidR="002B13EB" w:rsidRPr="00933BE7" w:rsidRDefault="002B13EB" w:rsidP="002B13EB">
      <w:pPr>
        <w:pStyle w:val="ListBullet"/>
      </w:pPr>
      <w:r>
        <w:rPr>
          <w:b/>
        </w:rPr>
        <w:t>Contract path m</w:t>
      </w:r>
      <w:r w:rsidRPr="00E36E52">
        <w:rPr>
          <w:b/>
        </w:rPr>
        <w:t>odel for forward haul and compression services</w:t>
      </w:r>
      <w:r w:rsidRPr="00E36E52">
        <w:t xml:space="preserve">: </w:t>
      </w:r>
      <w:r>
        <w:t xml:space="preserve">The proposal to </w:t>
      </w:r>
      <w:r w:rsidR="009257EC">
        <w:t>adopt</w:t>
      </w:r>
      <w:r>
        <w:t xml:space="preserve"> a hybrid point-to-point zonal model was supported by </w:t>
      </w:r>
      <w:r w:rsidRPr="00E36E52">
        <w:t xml:space="preserve">APA, AGL, </w:t>
      </w:r>
      <w:r>
        <w:t xml:space="preserve">APLNG, </w:t>
      </w:r>
      <w:r w:rsidRPr="00E36E52">
        <w:t>Origin</w:t>
      </w:r>
      <w:r>
        <w:t xml:space="preserve"> and </w:t>
      </w:r>
      <w:r w:rsidRPr="00E36E52">
        <w:t>Snowy Hydro</w:t>
      </w:r>
      <w:r>
        <w:t xml:space="preserve">. The benefits of the hybrid model that were cited by these stakeholders were that it </w:t>
      </w:r>
      <w:r w:rsidRPr="00E36E52">
        <w:t>would provide for the most efficient allocation of capacity</w:t>
      </w:r>
      <w:r>
        <w:t xml:space="preserve"> (Snowy Hydro) and would result in a consistent model being employed on the capacity trading platform and auction (AGL). In contrast to these stakeholders, </w:t>
      </w:r>
      <w:r w:rsidRPr="00E36E52">
        <w:t>Jemena</w:t>
      </w:r>
      <w:r>
        <w:t xml:space="preserve"> </w:t>
      </w:r>
      <w:r w:rsidRPr="00E36E52">
        <w:t xml:space="preserve">thought the hybrid model was “overly complex”, while PWC </w:t>
      </w:r>
      <w:r>
        <w:t>noted that under this model uncontracted capacity</w:t>
      </w:r>
      <w:r w:rsidRPr="00933BE7">
        <w:t xml:space="preserve"> at individual receipt and delivery points</w:t>
      </w:r>
      <w:r>
        <w:t xml:space="preserve"> would be released</w:t>
      </w:r>
      <w:r w:rsidRPr="00933BE7">
        <w:t>.</w:t>
      </w:r>
      <w:r>
        <w:rPr>
          <w:rStyle w:val="FootnoteReference"/>
        </w:rPr>
        <w:footnoteReference w:id="420"/>
      </w:r>
    </w:p>
    <w:p w14:paraId="40B3ED97" w14:textId="77777777" w:rsidR="002B13EB" w:rsidRDefault="002B13EB" w:rsidP="002B13EB">
      <w:pPr>
        <w:pStyle w:val="ListBullet"/>
      </w:pPr>
      <w:r>
        <w:rPr>
          <w:b/>
        </w:rPr>
        <w:t>Contract path m</w:t>
      </w:r>
      <w:r w:rsidRPr="00933BE7">
        <w:rPr>
          <w:b/>
        </w:rPr>
        <w:t>odel for backhaul services:</w:t>
      </w:r>
      <w:r w:rsidRPr="00933BE7">
        <w:t xml:space="preserve"> </w:t>
      </w:r>
      <w:r>
        <w:t>The feedback that stakeholders provided on backhaul services centred on whether:</w:t>
      </w:r>
    </w:p>
    <w:p w14:paraId="51AE8D53" w14:textId="77777777" w:rsidR="002B13EB" w:rsidRDefault="002B13EB" w:rsidP="002B13EB">
      <w:pPr>
        <w:pStyle w:val="ListBullet2"/>
      </w:pPr>
      <w:r w:rsidRPr="005B5EE3">
        <w:t>Backhaul services should be included in the auction, with</w:t>
      </w:r>
      <w:r>
        <w:rPr>
          <w:b/>
        </w:rPr>
        <w:t xml:space="preserve"> </w:t>
      </w:r>
      <w:r w:rsidRPr="00933BE7">
        <w:t>AGL, APGA, Palisade and Jemena reitera</w:t>
      </w:r>
      <w:r>
        <w:t>ting</w:t>
      </w:r>
      <w:r w:rsidRPr="00933BE7">
        <w:t xml:space="preserve"> the concerns they have raised in prior consultation processes about the proposal to include backhaul services in the auction</w:t>
      </w:r>
      <w:r>
        <w:t>.</w:t>
      </w:r>
    </w:p>
    <w:p w14:paraId="30709054" w14:textId="77777777" w:rsidR="002B13EB" w:rsidRPr="00933BE7" w:rsidRDefault="002B13EB" w:rsidP="002B13EB">
      <w:pPr>
        <w:pStyle w:val="ListBullet2"/>
      </w:pPr>
      <w:r>
        <w:t xml:space="preserve">AEMO should be responsible for determining the backhaul services included in the auction, with </w:t>
      </w:r>
      <w:r w:rsidRPr="00933BE7">
        <w:t>AGL</w:t>
      </w:r>
      <w:r>
        <w:t xml:space="preserve"> noting that if backhaul is to be included in the auction then AEMO should determine the backhaul services and </w:t>
      </w:r>
      <w:r w:rsidRPr="00933BE7">
        <w:t xml:space="preserve">APLNG and PWC </w:t>
      </w:r>
      <w:r>
        <w:t xml:space="preserve">also supporting this proposal. </w:t>
      </w:r>
      <w:r w:rsidRPr="00933BE7">
        <w:t xml:space="preserve">APLNG </w:t>
      </w:r>
      <w:r>
        <w:t xml:space="preserve">did, however, </w:t>
      </w:r>
      <w:r w:rsidRPr="00933BE7">
        <w:t>note that determination</w:t>
      </w:r>
      <w:r>
        <w:t>s</w:t>
      </w:r>
      <w:r w:rsidRPr="00933BE7">
        <w:t xml:space="preserve"> </w:t>
      </w:r>
      <w:r>
        <w:t xml:space="preserve">by AEMO </w:t>
      </w:r>
      <w:r w:rsidRPr="00933BE7">
        <w:t xml:space="preserve">should be informed by consultation with shippers, while PWC noted that </w:t>
      </w:r>
      <w:r>
        <w:t xml:space="preserve">such </w:t>
      </w:r>
      <w:r w:rsidRPr="00933BE7">
        <w:t>determination</w:t>
      </w:r>
      <w:r>
        <w:t>s</w:t>
      </w:r>
      <w:r w:rsidRPr="00933BE7">
        <w:t xml:space="preserve"> </w:t>
      </w:r>
      <w:r>
        <w:t xml:space="preserve">should reflect </w:t>
      </w:r>
      <w:r w:rsidRPr="00933BE7">
        <w:t xml:space="preserve">commercial </w:t>
      </w:r>
      <w:r>
        <w:t xml:space="preserve">and regulatory </w:t>
      </w:r>
      <w:r w:rsidRPr="00933BE7">
        <w:t xml:space="preserve">arrangements. </w:t>
      </w:r>
    </w:p>
    <w:p w14:paraId="695DC4EC" w14:textId="77777777" w:rsidR="002B13EB" w:rsidRDefault="002B13EB" w:rsidP="002B13EB">
      <w:pPr>
        <w:pStyle w:val="ListBullet"/>
        <w:numPr>
          <w:ilvl w:val="0"/>
          <w:numId w:val="0"/>
        </w:numPr>
      </w:pPr>
      <w:r w:rsidRPr="00933BE7">
        <w:t xml:space="preserve">The GMRG’s responses to </w:t>
      </w:r>
      <w:r>
        <w:t xml:space="preserve">this feedback </w:t>
      </w:r>
      <w:r w:rsidRPr="00933BE7">
        <w:t>are summarised in the table below.</w:t>
      </w:r>
    </w:p>
    <w:p w14:paraId="4D588CD7" w14:textId="29861F8E" w:rsidR="002B13EB" w:rsidRDefault="002B13EB" w:rsidP="002B13EB">
      <w:pPr>
        <w:pStyle w:val="Caption"/>
        <w:spacing w:after="0"/>
      </w:pPr>
      <w:r>
        <w:lastRenderedPageBreak/>
        <w:t xml:space="preserve">Table </w:t>
      </w:r>
      <w:r>
        <w:rPr>
          <w:noProof/>
        </w:rPr>
        <w:t>A</w:t>
      </w:r>
      <w:r>
        <w:t>.</w:t>
      </w:r>
      <w:r w:rsidR="00EE244C">
        <w:rPr>
          <w:noProof/>
        </w:rPr>
        <w:t>8</w:t>
      </w:r>
      <w:r>
        <w:t xml:space="preserve">: </w:t>
      </w:r>
      <w:r w:rsidRPr="00DD15BE">
        <w:t>Response to issues raised about the contract path models</w:t>
      </w:r>
    </w:p>
    <w:tbl>
      <w:tblPr>
        <w:tblStyle w:val="TableGrid"/>
        <w:tblW w:w="8931" w:type="dxa"/>
        <w:tblLook w:val="04A0" w:firstRow="1" w:lastRow="0" w:firstColumn="1" w:lastColumn="0" w:noHBand="0" w:noVBand="1"/>
        <w:tblCaption w:val="Response to issues raised about arbitration"/>
        <w:tblDescription w:val="Table of stakeholder concerns and GMRG response"/>
      </w:tblPr>
      <w:tblGrid>
        <w:gridCol w:w="1418"/>
        <w:gridCol w:w="7513"/>
      </w:tblGrid>
      <w:tr w:rsidR="002B13EB" w:rsidRPr="00992062" w14:paraId="33764780" w14:textId="77777777" w:rsidTr="002B13EB">
        <w:trPr>
          <w:cnfStyle w:val="100000000000" w:firstRow="1" w:lastRow="0" w:firstColumn="0" w:lastColumn="0" w:oddVBand="0" w:evenVBand="0" w:oddHBand="0" w:evenHBand="0" w:firstRowFirstColumn="0" w:firstRowLastColumn="0" w:lastRowFirstColumn="0" w:lastRowLastColumn="0"/>
          <w:trHeight w:val="153"/>
          <w:tblHeader/>
        </w:trPr>
        <w:tc>
          <w:tcPr>
            <w:tcW w:w="1418" w:type="dxa"/>
            <w:shd w:val="clear" w:color="auto" w:fill="0099CC"/>
          </w:tcPr>
          <w:p w14:paraId="591FFEA7" w14:textId="77777777" w:rsidR="002B13EB" w:rsidRPr="00DD15BE" w:rsidRDefault="002B13EB" w:rsidP="002B13EB">
            <w:pPr>
              <w:pStyle w:val="BodyText"/>
              <w:keepNext/>
              <w:spacing w:before="60" w:after="60"/>
              <w:rPr>
                <w:rFonts w:cs="Arial"/>
                <w:szCs w:val="18"/>
              </w:rPr>
            </w:pPr>
            <w:r>
              <w:rPr>
                <w:rFonts w:cs="Arial"/>
                <w:szCs w:val="18"/>
              </w:rPr>
              <w:t>Issue</w:t>
            </w:r>
          </w:p>
        </w:tc>
        <w:tc>
          <w:tcPr>
            <w:tcW w:w="7513" w:type="dxa"/>
            <w:shd w:val="clear" w:color="auto" w:fill="0099CC"/>
          </w:tcPr>
          <w:p w14:paraId="3B7931BF" w14:textId="77777777" w:rsidR="002B13EB" w:rsidRPr="00992062" w:rsidRDefault="002B13EB" w:rsidP="002B13EB">
            <w:pPr>
              <w:pStyle w:val="BodyText"/>
              <w:keepNext/>
              <w:spacing w:before="60" w:after="60"/>
              <w:rPr>
                <w:rFonts w:cs="Arial"/>
                <w:szCs w:val="18"/>
              </w:rPr>
            </w:pPr>
            <w:r w:rsidRPr="00DD15BE">
              <w:rPr>
                <w:rFonts w:cs="Arial"/>
                <w:szCs w:val="18"/>
              </w:rPr>
              <w:t>GMRG response</w:t>
            </w:r>
          </w:p>
        </w:tc>
      </w:tr>
      <w:tr w:rsidR="002B13EB" w:rsidRPr="00992062" w14:paraId="2BF1C69D" w14:textId="77777777" w:rsidTr="002B13EB">
        <w:trPr>
          <w:trHeight w:val="1230"/>
        </w:trPr>
        <w:tc>
          <w:tcPr>
            <w:tcW w:w="1418" w:type="dxa"/>
            <w:vAlign w:val="center"/>
          </w:tcPr>
          <w:p w14:paraId="5BA1CE8B" w14:textId="77777777" w:rsidR="002B13EB" w:rsidRPr="00992062" w:rsidRDefault="002B13EB" w:rsidP="002B13EB">
            <w:pPr>
              <w:pStyle w:val="BodyText"/>
              <w:spacing w:before="40" w:after="40"/>
              <w:rPr>
                <w:rFonts w:cs="Arial"/>
              </w:rPr>
            </w:pPr>
            <w:r>
              <w:rPr>
                <w:rFonts w:cs="Arial"/>
              </w:rPr>
              <w:t>Contract path model for forward haul and compression services</w:t>
            </w:r>
          </w:p>
        </w:tc>
        <w:tc>
          <w:tcPr>
            <w:tcW w:w="7513" w:type="dxa"/>
            <w:vAlign w:val="center"/>
          </w:tcPr>
          <w:p w14:paraId="697D8A8D" w14:textId="77777777" w:rsidR="002B13EB" w:rsidRDefault="002B13EB" w:rsidP="002B13EB">
            <w:pPr>
              <w:pStyle w:val="BodyText"/>
              <w:spacing w:before="40" w:after="40"/>
              <w:rPr>
                <w:lang w:val="en-US"/>
              </w:rPr>
            </w:pPr>
            <w:r>
              <w:t>The GMRG has considered the feedback provided by stakeholders on the proposed use of the hybrid model for forward haul and compression services and agrees with APA, AGL, APLNG, Origin and Snowy Hydro that this is the most appropriate model to use in this context. As a number of stakeholders pointed out, the main benefits of the hybrid model are that:</w:t>
            </w:r>
          </w:p>
          <w:p w14:paraId="10393E2F" w14:textId="77777777" w:rsidR="002B13EB" w:rsidRDefault="002B13EB" w:rsidP="002B13EB">
            <w:pPr>
              <w:pStyle w:val="TableBullet1"/>
              <w:rPr>
                <w:lang w:val="en-US"/>
              </w:rPr>
            </w:pPr>
            <w:r>
              <w:rPr>
                <w:lang w:val="en-US"/>
              </w:rPr>
              <w:t xml:space="preserve">it </w:t>
            </w:r>
            <w:r w:rsidRPr="00633B02">
              <w:rPr>
                <w:lang w:val="en-US"/>
              </w:rPr>
              <w:t>yields a more efficient allocation of capacity</w:t>
            </w:r>
            <w:r>
              <w:rPr>
                <w:lang w:val="en-US"/>
              </w:rPr>
              <w:t xml:space="preserve"> than the pure point-to-point model, </w:t>
            </w:r>
            <w:r w:rsidRPr="00633B02">
              <w:rPr>
                <w:lang w:val="en-US"/>
              </w:rPr>
              <w:t>because</w:t>
            </w:r>
            <w:r>
              <w:rPr>
                <w:lang w:val="en-US"/>
              </w:rPr>
              <w:t xml:space="preserve"> in a similar manner to the capacity trading platform model, </w:t>
            </w:r>
            <w:r w:rsidRPr="00633B02">
              <w:rPr>
                <w:lang w:val="en-US"/>
              </w:rPr>
              <w:t xml:space="preserve">it allows </w:t>
            </w:r>
            <w:r>
              <w:rPr>
                <w:lang w:val="en-US"/>
              </w:rPr>
              <w:t>CBU capacity from individual points to be moved to other points within the zone if there is unused capacity at those points and sufficient pipeline segment CBU capacity; and</w:t>
            </w:r>
          </w:p>
          <w:p w14:paraId="7F134752" w14:textId="77777777" w:rsidR="002B13EB" w:rsidRPr="00452EC0" w:rsidRDefault="002B13EB" w:rsidP="002B13EB">
            <w:pPr>
              <w:pStyle w:val="TableBullet1"/>
            </w:pPr>
            <w:r>
              <w:rPr>
                <w:lang w:val="en-US"/>
              </w:rPr>
              <w:t xml:space="preserve">it overcomes the delivery </w:t>
            </w:r>
            <w:r w:rsidRPr="00633B02">
              <w:rPr>
                <w:lang w:val="en-US"/>
              </w:rPr>
              <w:t xml:space="preserve">risk </w:t>
            </w:r>
            <w:r>
              <w:rPr>
                <w:lang w:val="en-US"/>
              </w:rPr>
              <w:t xml:space="preserve">associated with the pure zonal model, </w:t>
            </w:r>
            <w:r w:rsidRPr="00633B02">
              <w:rPr>
                <w:lang w:val="en-US"/>
              </w:rPr>
              <w:t xml:space="preserve">because when </w:t>
            </w:r>
            <w:r>
              <w:rPr>
                <w:lang w:val="en-US"/>
              </w:rPr>
              <w:t xml:space="preserve">a shipper wins </w:t>
            </w:r>
            <w:r w:rsidRPr="00633B02">
              <w:rPr>
                <w:lang w:val="en-US"/>
              </w:rPr>
              <w:t xml:space="preserve">capacity </w:t>
            </w:r>
            <w:r>
              <w:rPr>
                <w:lang w:val="en-US"/>
              </w:rPr>
              <w:t xml:space="preserve">it </w:t>
            </w:r>
            <w:r w:rsidRPr="00633B02">
              <w:rPr>
                <w:lang w:val="en-US"/>
              </w:rPr>
              <w:t>know</w:t>
            </w:r>
            <w:r>
              <w:rPr>
                <w:lang w:val="en-US"/>
              </w:rPr>
              <w:t>s</w:t>
            </w:r>
            <w:r w:rsidRPr="00633B02">
              <w:rPr>
                <w:lang w:val="en-US"/>
              </w:rPr>
              <w:t xml:space="preserve"> </w:t>
            </w:r>
            <w:r>
              <w:rPr>
                <w:lang w:val="en-US"/>
              </w:rPr>
              <w:t xml:space="preserve">it has </w:t>
            </w:r>
            <w:r w:rsidRPr="00633B02">
              <w:rPr>
                <w:lang w:val="en-US"/>
              </w:rPr>
              <w:t xml:space="preserve">secured capacity at the points </w:t>
            </w:r>
            <w:r>
              <w:rPr>
                <w:lang w:val="en-US"/>
              </w:rPr>
              <w:t xml:space="preserve">it </w:t>
            </w:r>
            <w:r w:rsidRPr="00633B02">
              <w:rPr>
                <w:lang w:val="en-US"/>
              </w:rPr>
              <w:t>require</w:t>
            </w:r>
            <w:r>
              <w:rPr>
                <w:lang w:val="en-US"/>
              </w:rPr>
              <w:t>s</w:t>
            </w:r>
            <w:r w:rsidRPr="00633B02">
              <w:rPr>
                <w:lang w:val="en-US"/>
              </w:rPr>
              <w:t>.</w:t>
            </w:r>
          </w:p>
          <w:p w14:paraId="21A4021D" w14:textId="77777777" w:rsidR="002B13EB" w:rsidRPr="0036014B" w:rsidRDefault="002B13EB" w:rsidP="002B13EB">
            <w:pPr>
              <w:pStyle w:val="TableBullet1"/>
              <w:numPr>
                <w:ilvl w:val="0"/>
                <w:numId w:val="0"/>
              </w:numPr>
              <w:ind w:left="85"/>
              <w:rPr>
                <w:bCs/>
              </w:rPr>
            </w:pPr>
            <w:r>
              <w:t xml:space="preserve">The hybrid model is therefore more consistent with the </w:t>
            </w:r>
            <w:r w:rsidRPr="00C274B9">
              <w:t>objective of the capacity trading reforms</w:t>
            </w:r>
            <w:r>
              <w:t xml:space="preserve">, the NGO and the </w:t>
            </w:r>
            <w:r w:rsidRPr="00C274B9">
              <w:t>Energy Council’s Vision</w:t>
            </w:r>
            <w:r>
              <w:t xml:space="preserve"> of the direction that gas market development should take to meet the NGO than the pure point-to-point and pure zonal models. This contract path model is reflected in Part 25 of the NGR.</w:t>
            </w:r>
          </w:p>
        </w:tc>
      </w:tr>
      <w:tr w:rsidR="002B13EB" w:rsidRPr="00992062" w14:paraId="0E1DEB46" w14:textId="77777777" w:rsidTr="009257EC">
        <w:trPr>
          <w:cnfStyle w:val="000000010000" w:firstRow="0" w:lastRow="0" w:firstColumn="0" w:lastColumn="0" w:oddVBand="0" w:evenVBand="0" w:oddHBand="0" w:evenHBand="1" w:firstRowFirstColumn="0" w:firstRowLastColumn="0" w:lastRowFirstColumn="0" w:lastRowLastColumn="0"/>
          <w:trHeight w:val="1929"/>
        </w:trPr>
        <w:tc>
          <w:tcPr>
            <w:tcW w:w="1418" w:type="dxa"/>
            <w:vAlign w:val="center"/>
          </w:tcPr>
          <w:p w14:paraId="755D31B9" w14:textId="77777777" w:rsidR="002B13EB" w:rsidRDefault="002B13EB" w:rsidP="002B13EB">
            <w:pPr>
              <w:pStyle w:val="BodyText"/>
              <w:spacing w:before="40" w:after="40"/>
              <w:rPr>
                <w:rFonts w:cs="Arial"/>
              </w:rPr>
            </w:pPr>
            <w:r>
              <w:rPr>
                <w:rFonts w:cs="Arial"/>
              </w:rPr>
              <w:t>Contract path model for backhaul services</w:t>
            </w:r>
          </w:p>
        </w:tc>
        <w:tc>
          <w:tcPr>
            <w:tcW w:w="7513" w:type="dxa"/>
            <w:vAlign w:val="center"/>
          </w:tcPr>
          <w:p w14:paraId="13498B5C" w14:textId="77777777" w:rsidR="002B13EB" w:rsidRDefault="002B13EB" w:rsidP="002B13EB">
            <w:pPr>
              <w:pStyle w:val="TableBodyText"/>
            </w:pPr>
            <w:r>
              <w:t>The issue of whether backhaul services should be included in the auction was subject to extensive consultation in 2017, which culminated in the GMRG recommending that backhaul services should be in the auction. In doing so, the GMRG noted that the inclusion of these services in the auction was consistent with the objective of the capacity trading reforms, the NGO and the Energy Council’s Vision and would:</w:t>
            </w:r>
          </w:p>
          <w:p w14:paraId="0773F35C" w14:textId="77777777" w:rsidR="002B13EB" w:rsidRDefault="002B13EB" w:rsidP="002B13EB">
            <w:pPr>
              <w:pStyle w:val="TableBullet1"/>
            </w:pPr>
            <w:r>
              <w:t>result in a range of efficiency gains across the gas supply chain, because it will improve the efficiency with which capacity on single directional pipelines is allocated and used; and</w:t>
            </w:r>
          </w:p>
          <w:p w14:paraId="064BC6F9" w14:textId="77777777" w:rsidR="002B13EB" w:rsidRDefault="002B13EB" w:rsidP="002B13EB">
            <w:pPr>
              <w:pStyle w:val="TableBullet1"/>
            </w:pPr>
            <w:r>
              <w:rPr>
                <w:rFonts w:eastAsiaTheme="minorEastAsia"/>
              </w:rPr>
              <w:t>provide shippers with more flexibility to procure and deliver gas.</w:t>
            </w:r>
          </w:p>
          <w:p w14:paraId="241CFAED" w14:textId="77777777" w:rsidR="002B13EB" w:rsidRDefault="002B13EB" w:rsidP="002B13EB">
            <w:pPr>
              <w:pStyle w:val="TableBodyText"/>
            </w:pPr>
            <w:r>
              <w:t xml:space="preserve">The concerns that APGA, </w:t>
            </w:r>
            <w:r w:rsidR="00660816">
              <w:t>Palisade</w:t>
            </w:r>
            <w:r>
              <w:t>, Jemena and AGL have raised about the inclusion of backhaul services in the auction are not new and while the GMRG has considered them closely, it remains of the view that backhaul services should be included in the auction on single direction pipelines (or parts of b</w:t>
            </w:r>
            <w:r w:rsidR="00DA0876">
              <w:t>i</w:t>
            </w:r>
            <w:r>
              <w:t xml:space="preserve">directional pipelines that are single direction). The GMRG </w:t>
            </w:r>
            <w:r w:rsidR="00DA0876">
              <w:t xml:space="preserve">has </w:t>
            </w:r>
            <w:r>
              <w:t xml:space="preserve">not therefore </w:t>
            </w:r>
            <w:r w:rsidR="00DA0876">
              <w:t xml:space="preserve">recommended </w:t>
            </w:r>
            <w:r>
              <w:t>any changes to this element of the auction design.</w:t>
            </w:r>
          </w:p>
          <w:p w14:paraId="06D31FFB" w14:textId="77777777" w:rsidR="002B13EB" w:rsidRPr="00621084" w:rsidRDefault="002B13EB" w:rsidP="002B13EB">
            <w:pPr>
              <w:pStyle w:val="TableBodyText"/>
            </w:pPr>
            <w:r>
              <w:t xml:space="preserve">In relation to the contract path model, the GMRG is of the view that a point-to-point model should be used for </w:t>
            </w:r>
            <w:r w:rsidRPr="00621084">
              <w:t>backhaul services</w:t>
            </w:r>
            <w:r>
              <w:t>, which will provide for backhaul capacity to be</w:t>
            </w:r>
            <w:r w:rsidRPr="00621084">
              <w:t xml:space="preserve">: </w:t>
            </w:r>
          </w:p>
          <w:p w14:paraId="6C7E9767" w14:textId="77777777" w:rsidR="002B13EB" w:rsidRPr="00621084" w:rsidRDefault="002B13EB" w:rsidP="002B13EB">
            <w:pPr>
              <w:pStyle w:val="TableBullet1"/>
            </w:pPr>
            <w:r w:rsidRPr="00621084">
              <w:t xml:space="preserve">sold on a point-to-point basis between </w:t>
            </w:r>
            <w:r>
              <w:t xml:space="preserve">backhaul </w:t>
            </w:r>
            <w:r w:rsidRPr="00621084">
              <w:t>points that AEMO determines should be included in the auction from time to time; and</w:t>
            </w:r>
          </w:p>
          <w:p w14:paraId="4F834599" w14:textId="77777777" w:rsidR="002B13EB" w:rsidRPr="00621084" w:rsidRDefault="002B13EB" w:rsidP="002B13EB">
            <w:pPr>
              <w:pStyle w:val="TableBullet1"/>
            </w:pPr>
            <w:r w:rsidRPr="00621084">
              <w:t>allocated in a static manner against firm net forward haul flows.</w:t>
            </w:r>
            <w:r w:rsidRPr="002074FF">
              <w:rPr>
                <w:rStyle w:val="FootnoteReference"/>
              </w:rPr>
              <w:t xml:space="preserve"> </w:t>
            </w:r>
          </w:p>
          <w:p w14:paraId="7A11F018" w14:textId="77777777" w:rsidR="002B13EB" w:rsidRDefault="002B13EB" w:rsidP="002B13EB">
            <w:pPr>
              <w:pStyle w:val="TableBodyText"/>
            </w:pPr>
            <w:r>
              <w:t>This contract path model is reflected in Part 25 of the NGR.</w:t>
            </w:r>
          </w:p>
          <w:p w14:paraId="1D34D00B" w14:textId="77777777" w:rsidR="002B13EB" w:rsidRDefault="002B13EB" w:rsidP="00700609">
            <w:pPr>
              <w:pStyle w:val="TableBodyText"/>
            </w:pPr>
            <w:r>
              <w:t xml:space="preserve">When determining which backhaul points should be included in the auction, the GMRG remains of the view that AEMO should be responsible for determining these points, but agrees with APLNG that AEMO should consult with interested parties when identifying these points. Provision has been made </w:t>
            </w:r>
            <w:r w:rsidR="00700609">
              <w:t xml:space="preserve">in Part 24 of the NGR </w:t>
            </w:r>
            <w:r>
              <w:t xml:space="preserve">for this to occur. </w:t>
            </w:r>
          </w:p>
        </w:tc>
      </w:tr>
    </w:tbl>
    <w:p w14:paraId="2CD79587" w14:textId="77777777" w:rsidR="002B13EB" w:rsidRDefault="002B13EB" w:rsidP="002B13EB">
      <w:pPr>
        <w:pStyle w:val="AppendixHeading3"/>
      </w:pPr>
      <w:r>
        <w:t xml:space="preserve">Process for determining the auction quantity limits methodology </w:t>
      </w:r>
    </w:p>
    <w:p w14:paraId="65901F40" w14:textId="77777777" w:rsidR="002B13EB" w:rsidRDefault="009257EC" w:rsidP="002B13EB">
      <w:pPr>
        <w:pStyle w:val="BodyText"/>
      </w:pPr>
      <w:r>
        <w:t xml:space="preserve">The March 2018 consultation paper sought stakeholder feedback on the proposal for the </w:t>
      </w:r>
      <w:r w:rsidR="002B13EB">
        <w:t>CT&amp;A Procedures</w:t>
      </w:r>
      <w:r>
        <w:t xml:space="preserve"> </w:t>
      </w:r>
      <w:r w:rsidR="002B13EB">
        <w:t xml:space="preserve">to set out: </w:t>
      </w:r>
    </w:p>
    <w:p w14:paraId="650BD7D4" w14:textId="77777777" w:rsidR="002B13EB" w:rsidRDefault="002B13EB" w:rsidP="002B13EB">
      <w:pPr>
        <w:pStyle w:val="ListBullet"/>
      </w:pPr>
      <w:r>
        <w:t xml:space="preserve">the methodology to be used to calculate the auction quantity limits, which will be required to give effect to the auction quantity limit principles specified in the NGR; and </w:t>
      </w:r>
    </w:p>
    <w:p w14:paraId="1263CA58" w14:textId="77777777" w:rsidR="002B13EB" w:rsidRDefault="002B13EB" w:rsidP="002B13EB">
      <w:pPr>
        <w:pStyle w:val="ListBullet"/>
      </w:pPr>
      <w:r>
        <w:t xml:space="preserve">the information that auction facility operators will be required to provide to AEMO each day to enable the auction quantity limits to be calculated each day. </w:t>
      </w:r>
    </w:p>
    <w:p w14:paraId="19563BC8" w14:textId="77777777" w:rsidR="002B13EB" w:rsidRDefault="002B13EB" w:rsidP="002B13EB">
      <w:pPr>
        <w:pStyle w:val="BodyText"/>
        <w:rPr>
          <w:rFonts w:cs="Arial"/>
          <w:szCs w:val="18"/>
        </w:rPr>
      </w:pPr>
      <w:r>
        <w:rPr>
          <w:rFonts w:cs="Arial"/>
          <w:szCs w:val="18"/>
        </w:rPr>
        <w:t>The responses received from stakeholders can be summarised as follows:</w:t>
      </w:r>
    </w:p>
    <w:p w14:paraId="1C4028C5" w14:textId="77777777" w:rsidR="002B13EB" w:rsidRDefault="002B13EB" w:rsidP="002B13EB">
      <w:pPr>
        <w:pStyle w:val="ListBullet"/>
      </w:pPr>
      <w:r>
        <w:rPr>
          <w:b/>
        </w:rPr>
        <w:lastRenderedPageBreak/>
        <w:t>I</w:t>
      </w:r>
      <w:r w:rsidRPr="00A82449">
        <w:rPr>
          <w:b/>
        </w:rPr>
        <w:t xml:space="preserve">nclusion of the methodology in the </w:t>
      </w:r>
      <w:r w:rsidR="00663CAA">
        <w:rPr>
          <w:b/>
        </w:rPr>
        <w:t>CT&amp;A P</w:t>
      </w:r>
      <w:r w:rsidRPr="00A82449">
        <w:rPr>
          <w:b/>
        </w:rPr>
        <w:t>rocedures:</w:t>
      </w:r>
      <w:r>
        <w:t xml:space="preserve"> The proposal to include the auction quantity limits methodology in the CT&amp;A Procedures was supported by the six stakeholders that responded to this question (AGL, Origin, PWC, Shell, APLNG and Jemena). Jemena did, however, note that its endorsement of this approach was conditional upon service providers (as opposed to AEMO) being responsible for the calculation of the auction quantity limits, which it noted was not reflected in the current drafting of the rules. </w:t>
      </w:r>
    </w:p>
    <w:p w14:paraId="6468E17C" w14:textId="77777777" w:rsidR="002B13EB" w:rsidRDefault="002B13EB" w:rsidP="002B13EB">
      <w:pPr>
        <w:pStyle w:val="ListBullet"/>
      </w:pPr>
      <w:r w:rsidRPr="00A82449">
        <w:rPr>
          <w:b/>
        </w:rPr>
        <w:t xml:space="preserve">Principles to guide the development of the methodology: </w:t>
      </w:r>
      <w:r w:rsidRPr="00CE2712">
        <w:t>In</w:t>
      </w:r>
      <w:r>
        <w:rPr>
          <w:b/>
        </w:rPr>
        <w:t xml:space="preserve"> </w:t>
      </w:r>
      <w:r w:rsidRPr="00A85C71">
        <w:t>addition</w:t>
      </w:r>
      <w:r>
        <w:t xml:space="preserve"> to the principles already specified in the draft rules: </w:t>
      </w:r>
    </w:p>
    <w:p w14:paraId="269F3CAC" w14:textId="77777777" w:rsidR="002B13EB" w:rsidRDefault="002B13EB" w:rsidP="002B13EB">
      <w:pPr>
        <w:pStyle w:val="ListBullet2"/>
      </w:pPr>
      <w:r>
        <w:t>Shell thought the principles should require the maximum level of capacity to be made available in the auction</w:t>
      </w:r>
      <w:r w:rsidR="00DA0876">
        <w:t>.</w:t>
      </w:r>
    </w:p>
    <w:p w14:paraId="45E7582B" w14:textId="77777777" w:rsidR="002B13EB" w:rsidRPr="00D53544" w:rsidRDefault="002B13EB" w:rsidP="002B13EB">
      <w:pPr>
        <w:pStyle w:val="ListBullet2"/>
      </w:pPr>
      <w:r>
        <w:t>Origin thought the principles should provide for shippers to retain access to capacity allocated to their market operator service (MOS) bids</w:t>
      </w:r>
      <w:r w:rsidR="00DA0876">
        <w:t>.</w:t>
      </w:r>
    </w:p>
    <w:p w14:paraId="572E409D" w14:textId="77777777" w:rsidR="002B13EB" w:rsidRDefault="002B13EB" w:rsidP="002B13EB">
      <w:pPr>
        <w:pStyle w:val="ListBullet2"/>
      </w:pPr>
      <w:r>
        <w:t>PWC thought the principles should require the calculation of auction quantity limits in accordance with “established commercial and regulatory arrangements”</w:t>
      </w:r>
      <w:r w:rsidR="00DA0876">
        <w:t>.</w:t>
      </w:r>
    </w:p>
    <w:p w14:paraId="24719C75" w14:textId="77777777" w:rsidR="002B13EB" w:rsidRDefault="002B13EB" w:rsidP="002B13EB">
      <w:pPr>
        <w:pStyle w:val="ListBullet2"/>
      </w:pPr>
      <w:r>
        <w:t xml:space="preserve">Epic thought the principles should recognise the need for </w:t>
      </w:r>
      <w:r w:rsidR="00DA0876">
        <w:t xml:space="preserve">transportation </w:t>
      </w:r>
      <w:r>
        <w:t>service providers to be able to safely and reliably operate the pipeline and noted the current definition of operational capacity may not achieve this</w:t>
      </w:r>
      <w:r w:rsidR="00DA0876">
        <w:t>.</w:t>
      </w:r>
    </w:p>
    <w:p w14:paraId="358BEAAE" w14:textId="77777777" w:rsidR="002B13EB" w:rsidRDefault="002B13EB" w:rsidP="002B13EB">
      <w:pPr>
        <w:pStyle w:val="ListBullet2"/>
      </w:pPr>
      <w:r>
        <w:t xml:space="preserve">Jemena thought the principles should require consideration to be given to: the impact of the zones on the total available capacity for auction; shippers’ rights and service providers’ obligations under existing GTAs; the likely impact on the service provider’s legitimate business interests and the interests all persons who have rights to use the pipeline; and the operational and technical requirements necessary for the safe and reliable operation of the pipeline. </w:t>
      </w:r>
    </w:p>
    <w:p w14:paraId="53B6D533" w14:textId="77777777" w:rsidR="002B13EB" w:rsidRPr="005E75A1" w:rsidRDefault="002B13EB" w:rsidP="002B13EB">
      <w:pPr>
        <w:pStyle w:val="BodyText"/>
        <w:rPr>
          <w:rFonts w:ascii="ArialMT" w:hAnsi="ArialMT" w:cs="Arial"/>
          <w:szCs w:val="20"/>
          <w:lang w:val="en-US" w:eastAsia="en-US"/>
        </w:rPr>
      </w:pPr>
      <w:r>
        <w:t>The GMRG’s response to each of these issues is summarised in the table below.</w:t>
      </w:r>
    </w:p>
    <w:p w14:paraId="281DE404" w14:textId="46360B4E" w:rsidR="002B13EB" w:rsidRDefault="002B13EB" w:rsidP="002B13EB">
      <w:pPr>
        <w:pStyle w:val="Caption"/>
        <w:spacing w:after="0"/>
      </w:pPr>
      <w:r>
        <w:lastRenderedPageBreak/>
        <w:t xml:space="preserve">Table </w:t>
      </w:r>
      <w:r>
        <w:rPr>
          <w:noProof/>
        </w:rPr>
        <w:t>A</w:t>
      </w:r>
      <w:r>
        <w:t>.</w:t>
      </w:r>
      <w:r w:rsidR="00EE244C">
        <w:rPr>
          <w:noProof/>
        </w:rPr>
        <w:t>9</w:t>
      </w:r>
      <w:r>
        <w:t xml:space="preserve">: </w:t>
      </w:r>
      <w:r w:rsidRPr="00C32111">
        <w:t xml:space="preserve">Response to issues raised about the </w:t>
      </w:r>
      <w:r>
        <w:t>auction quantity methodology</w:t>
      </w:r>
    </w:p>
    <w:tbl>
      <w:tblPr>
        <w:tblStyle w:val="TableGrid"/>
        <w:tblW w:w="8931" w:type="dxa"/>
        <w:tblLook w:val="04A0" w:firstRow="1" w:lastRow="0" w:firstColumn="1" w:lastColumn="0" w:noHBand="0" w:noVBand="1"/>
        <w:tblCaption w:val="Response to issues raised about arbitration"/>
        <w:tblDescription w:val="Table of stakeholder concerns and GMRG response"/>
      </w:tblPr>
      <w:tblGrid>
        <w:gridCol w:w="1276"/>
        <w:gridCol w:w="7655"/>
      </w:tblGrid>
      <w:tr w:rsidR="002B13EB" w:rsidRPr="00992062" w14:paraId="44397502" w14:textId="77777777" w:rsidTr="002B13EB">
        <w:trPr>
          <w:cnfStyle w:val="100000000000" w:firstRow="1" w:lastRow="0" w:firstColumn="0" w:lastColumn="0" w:oddVBand="0" w:evenVBand="0" w:oddHBand="0" w:evenHBand="0" w:firstRowFirstColumn="0" w:firstRowLastColumn="0" w:lastRowFirstColumn="0" w:lastRowLastColumn="0"/>
          <w:trHeight w:val="153"/>
          <w:tblHeader/>
        </w:trPr>
        <w:tc>
          <w:tcPr>
            <w:tcW w:w="1276" w:type="dxa"/>
            <w:shd w:val="clear" w:color="auto" w:fill="0099CC"/>
          </w:tcPr>
          <w:p w14:paraId="1DC122CE" w14:textId="77777777" w:rsidR="002B13EB" w:rsidRPr="00992062" w:rsidRDefault="002B13EB" w:rsidP="002B13EB">
            <w:pPr>
              <w:pStyle w:val="BodyText"/>
              <w:keepNext/>
              <w:spacing w:before="60" w:after="60"/>
              <w:rPr>
                <w:rFonts w:cs="Arial"/>
                <w:szCs w:val="18"/>
              </w:rPr>
            </w:pPr>
            <w:r>
              <w:rPr>
                <w:rFonts w:cs="Arial"/>
                <w:szCs w:val="18"/>
              </w:rPr>
              <w:t>Issues</w:t>
            </w:r>
            <w:r w:rsidRPr="00992062">
              <w:rPr>
                <w:rFonts w:cs="Arial"/>
                <w:szCs w:val="18"/>
              </w:rPr>
              <w:t xml:space="preserve"> </w:t>
            </w:r>
          </w:p>
        </w:tc>
        <w:tc>
          <w:tcPr>
            <w:tcW w:w="7655" w:type="dxa"/>
            <w:shd w:val="clear" w:color="auto" w:fill="0099CC"/>
          </w:tcPr>
          <w:p w14:paraId="1560F8E7" w14:textId="77777777" w:rsidR="002B13EB" w:rsidRPr="00992062" w:rsidRDefault="002B13EB" w:rsidP="002B13EB">
            <w:pPr>
              <w:pStyle w:val="BodyText"/>
              <w:keepNext/>
              <w:spacing w:before="60" w:after="60"/>
              <w:rPr>
                <w:rFonts w:cs="Arial"/>
                <w:szCs w:val="18"/>
              </w:rPr>
            </w:pPr>
            <w:r w:rsidRPr="00992062">
              <w:rPr>
                <w:rFonts w:cs="Arial"/>
                <w:szCs w:val="18"/>
              </w:rPr>
              <w:t>GMRG response</w:t>
            </w:r>
          </w:p>
        </w:tc>
      </w:tr>
      <w:tr w:rsidR="002B13EB" w:rsidRPr="00992062" w14:paraId="1F16C201" w14:textId="77777777" w:rsidTr="002B13EB">
        <w:trPr>
          <w:trHeight w:val="1230"/>
        </w:trPr>
        <w:tc>
          <w:tcPr>
            <w:tcW w:w="1276" w:type="dxa"/>
            <w:vAlign w:val="center"/>
          </w:tcPr>
          <w:p w14:paraId="6B4AA551" w14:textId="77777777" w:rsidR="002B13EB" w:rsidRPr="00992062" w:rsidRDefault="002B13EB" w:rsidP="002B13EB">
            <w:pPr>
              <w:pStyle w:val="BodyText"/>
              <w:keepNext/>
              <w:spacing w:before="40" w:after="40"/>
              <w:rPr>
                <w:rFonts w:cs="Arial"/>
              </w:rPr>
            </w:pPr>
            <w:r>
              <w:rPr>
                <w:rFonts w:cs="Arial"/>
              </w:rPr>
              <w:t>Inclusion of methodology in procedures</w:t>
            </w:r>
          </w:p>
        </w:tc>
        <w:tc>
          <w:tcPr>
            <w:tcW w:w="7655" w:type="dxa"/>
            <w:vAlign w:val="center"/>
          </w:tcPr>
          <w:p w14:paraId="29B4FB3B" w14:textId="77777777" w:rsidR="002B13EB" w:rsidRPr="000A4A7B" w:rsidRDefault="002B13EB" w:rsidP="002B13EB">
            <w:pPr>
              <w:pStyle w:val="BodyText"/>
              <w:spacing w:before="40" w:after="40"/>
            </w:pPr>
            <w:r>
              <w:rPr>
                <w:rFonts w:eastAsiaTheme="minorEastAsia"/>
              </w:rPr>
              <w:t xml:space="preserve">The GMRG agrees with stakeholders that the methodology used to calculate auction quantity limits should be specified in the CT&amp;A Procedures. </w:t>
            </w:r>
            <w:r>
              <w:t>The GMRG has also considered the concerns raised by Jemena about who is responsible for calculating the auction quantity limits and has amended the draf</w:t>
            </w:r>
            <w:r w:rsidRPr="00BC31F4">
              <w:t xml:space="preserve">ting of </w:t>
            </w:r>
            <w:r w:rsidR="00DA0876">
              <w:t xml:space="preserve">the NGR </w:t>
            </w:r>
            <w:r w:rsidRPr="00BC31F4">
              <w:t xml:space="preserve">to make it clearer that </w:t>
            </w:r>
            <w:r w:rsidR="00DA0876">
              <w:t xml:space="preserve">transportation </w:t>
            </w:r>
            <w:r w:rsidRPr="00BC31F4">
              <w:t>service providers will be responsible for calculating these limits and the fa</w:t>
            </w:r>
            <w:r>
              <w:t xml:space="preserve">cility’s operational capacity. This change should also address the concerns that Epic raised about the need for </w:t>
            </w:r>
            <w:r w:rsidR="00DA0876">
              <w:t xml:space="preserve">transportation </w:t>
            </w:r>
            <w:r>
              <w:t xml:space="preserve">service providers to be able to safely and reliably operate the pipeline. </w:t>
            </w:r>
          </w:p>
        </w:tc>
      </w:tr>
      <w:tr w:rsidR="002B13EB" w:rsidRPr="00992062" w14:paraId="21837769" w14:textId="77777777" w:rsidTr="002B13EB">
        <w:trPr>
          <w:cnfStyle w:val="000000010000" w:firstRow="0" w:lastRow="0" w:firstColumn="0" w:lastColumn="0" w:oddVBand="0" w:evenVBand="0" w:oddHBand="0" w:evenHBand="1" w:firstRowFirstColumn="0" w:firstRowLastColumn="0" w:lastRowFirstColumn="0" w:lastRowLastColumn="0"/>
          <w:trHeight w:val="3284"/>
        </w:trPr>
        <w:tc>
          <w:tcPr>
            <w:tcW w:w="1276" w:type="dxa"/>
            <w:vAlign w:val="center"/>
          </w:tcPr>
          <w:p w14:paraId="471D6359" w14:textId="77777777" w:rsidR="002B13EB" w:rsidRPr="00F55CB6" w:rsidRDefault="002B13EB" w:rsidP="002B13EB">
            <w:pPr>
              <w:pStyle w:val="BodyText"/>
              <w:keepNext/>
              <w:spacing w:before="40" w:after="40"/>
              <w:rPr>
                <w:rFonts w:cs="Arial"/>
              </w:rPr>
            </w:pPr>
            <w:r w:rsidRPr="00F55CB6">
              <w:rPr>
                <w:rFonts w:cs="Arial"/>
              </w:rPr>
              <w:t>Principles to guide the development of the auction quantity limits</w:t>
            </w:r>
          </w:p>
        </w:tc>
        <w:tc>
          <w:tcPr>
            <w:tcW w:w="7655" w:type="dxa"/>
            <w:vAlign w:val="center"/>
          </w:tcPr>
          <w:p w14:paraId="4D793602" w14:textId="77777777" w:rsidR="002B13EB" w:rsidRPr="00F55CB6" w:rsidRDefault="002B13EB" w:rsidP="002B13EB">
            <w:pPr>
              <w:pStyle w:val="BodyText"/>
              <w:spacing w:before="40" w:after="40"/>
              <w:rPr>
                <w:rFonts w:cs="Arial"/>
              </w:rPr>
            </w:pPr>
            <w:r w:rsidRPr="00F55CB6">
              <w:rPr>
                <w:rFonts w:cs="Arial"/>
              </w:rPr>
              <w:t xml:space="preserve">The GMRG has considered the additional principles proposed by stakeholders, but is of the view that the proposed principles are either: </w:t>
            </w:r>
          </w:p>
          <w:p w14:paraId="3E19BB0D" w14:textId="793DC9BC" w:rsidR="002B13EB" w:rsidRPr="00F55CB6" w:rsidRDefault="002B13EB" w:rsidP="002B13EB">
            <w:pPr>
              <w:pStyle w:val="TableBullet1"/>
              <w:spacing w:before="40" w:after="40"/>
            </w:pPr>
            <w:r w:rsidRPr="00F55CB6">
              <w:t xml:space="preserve">already reflected in the current principles (or elsewhere in the </w:t>
            </w:r>
            <w:r w:rsidR="00142468">
              <w:t>NGR</w:t>
            </w:r>
            <w:r w:rsidRPr="00F55CB6">
              <w:t xml:space="preserve">), for example: </w:t>
            </w:r>
          </w:p>
          <w:p w14:paraId="7C29B0C5" w14:textId="77777777" w:rsidR="002B13EB" w:rsidRPr="00F55CB6" w:rsidRDefault="002B13EB" w:rsidP="002B13EB">
            <w:pPr>
              <w:pStyle w:val="TableBullet2"/>
              <w:spacing w:before="40" w:after="40"/>
            </w:pPr>
            <w:r w:rsidRPr="00F55CB6">
              <w:t xml:space="preserve">the requirement for all </w:t>
            </w:r>
            <w:r>
              <w:t xml:space="preserve">CBU </w:t>
            </w:r>
            <w:r w:rsidRPr="00F55CB6">
              <w:t>capacity to be released in the auction, subject to operational constraints, will maximise the level of capacity available in the auction;</w:t>
            </w:r>
          </w:p>
          <w:p w14:paraId="666F679B" w14:textId="77777777" w:rsidR="002B13EB" w:rsidRPr="00F55CB6" w:rsidRDefault="002B13EB" w:rsidP="002B13EB">
            <w:pPr>
              <w:pStyle w:val="TableBullet2"/>
              <w:spacing w:before="40" w:after="40"/>
            </w:pPr>
            <w:r w:rsidRPr="00F55CB6">
              <w:t xml:space="preserve">the recognition that auction quantity limits will be capped by the operational capacity, which </w:t>
            </w:r>
            <w:r w:rsidR="00DA0876">
              <w:t xml:space="preserve">transportation </w:t>
            </w:r>
            <w:r w:rsidRPr="00F55CB6">
              <w:t>service providers will be responsible for determining, will provide for the safe and reliable operation of the pipeline; and</w:t>
            </w:r>
          </w:p>
          <w:p w14:paraId="5AE690D4" w14:textId="77777777" w:rsidR="002B13EB" w:rsidRPr="00F55CB6" w:rsidRDefault="002B13EB" w:rsidP="002B13EB">
            <w:pPr>
              <w:pStyle w:val="TableBullet2"/>
              <w:spacing w:before="40" w:after="40"/>
            </w:pPr>
            <w:r w:rsidRPr="00F55CB6">
              <w:t>shippers’ rights and service provider obligations under existing GTAs are already dealt with through the auction priority principles and immunity provisions; or</w:t>
            </w:r>
          </w:p>
          <w:p w14:paraId="5A4F07F4" w14:textId="77777777" w:rsidR="002B13EB" w:rsidRPr="00F55CB6" w:rsidRDefault="002B13EB" w:rsidP="002B13EB">
            <w:pPr>
              <w:pStyle w:val="TableBullet1"/>
              <w:spacing w:before="40" w:after="40"/>
            </w:pPr>
            <w:r w:rsidRPr="00F55CB6">
              <w:t>not required because they are not relevant to the calculation of auction quantity limits, for example:</w:t>
            </w:r>
          </w:p>
          <w:p w14:paraId="24F10DE9" w14:textId="77777777" w:rsidR="002B13EB" w:rsidRPr="00F55CB6" w:rsidRDefault="002B13EB" w:rsidP="002B13EB">
            <w:pPr>
              <w:pStyle w:val="TableBullet2"/>
              <w:spacing w:before="40" w:after="40"/>
            </w:pPr>
            <w:r w:rsidRPr="00F55CB6">
              <w:t xml:space="preserve">the specification of zones </w:t>
            </w:r>
            <w:r w:rsidR="00DA0876">
              <w:t xml:space="preserve">will </w:t>
            </w:r>
            <w:r w:rsidRPr="00F55CB6">
              <w:t xml:space="preserve">not alter the </w:t>
            </w:r>
            <w:r>
              <w:t xml:space="preserve">CBU </w:t>
            </w:r>
            <w:r w:rsidRPr="00F55CB6">
              <w:t>capacity that can be released in the auction; and</w:t>
            </w:r>
          </w:p>
          <w:p w14:paraId="4EAF5732" w14:textId="0114D8D7" w:rsidR="002B13EB" w:rsidRPr="00F55CB6" w:rsidRDefault="002B13EB" w:rsidP="002B13EB">
            <w:pPr>
              <w:pStyle w:val="TableBullet2"/>
              <w:spacing w:before="40" w:after="40"/>
            </w:pPr>
            <w:r w:rsidRPr="00F55CB6">
              <w:t xml:space="preserve">the legitimate interests of </w:t>
            </w:r>
            <w:r w:rsidR="00142468">
              <w:t xml:space="preserve">transportation </w:t>
            </w:r>
            <w:r w:rsidRPr="00F55CB6">
              <w:t>service providers and the interests of all persons that have rights to use the pipeline have already been taken into account in the design of the day-ahead auction and are not directly related to the calculation of auction quantity limits.</w:t>
            </w:r>
          </w:p>
          <w:p w14:paraId="37B0F1CE" w14:textId="77777777" w:rsidR="002B13EB" w:rsidRPr="00F55CB6" w:rsidRDefault="002B13EB" w:rsidP="002B13EB">
            <w:pPr>
              <w:pStyle w:val="TableBodyText"/>
            </w:pPr>
            <w:r w:rsidRPr="00F55CB6">
              <w:t xml:space="preserve">In relation to the concerns Origin has raised about MOS, it is worth noting that MOS is allocated by service providers to MOS providers after the gas day in accordance with the relevant MOS bid stack. A participant </w:t>
            </w:r>
            <w:r w:rsidR="00DA0876">
              <w:t xml:space="preserve">that </w:t>
            </w:r>
            <w:r w:rsidRPr="00F55CB6">
              <w:t xml:space="preserve">submits a MOS bid must have the ability to supply or absorb an imbalance at the STTM hub in accordance with that bid. The NGR do not prescribe the type of service that is required to provide MOS bids to the STTM. Service providers and STTM shippers are therefore free to negotiate which services are used to provide MOS and we understand that a variety of services are used to provide MOS to STTM hubs, including imbalance accounts and park and loan services. </w:t>
            </w:r>
          </w:p>
          <w:p w14:paraId="1A39411B" w14:textId="77777777" w:rsidR="002B13EB" w:rsidRPr="00F55CB6" w:rsidRDefault="002B13EB" w:rsidP="002B13EB">
            <w:pPr>
              <w:pStyle w:val="TableBodyText"/>
            </w:pPr>
            <w:r w:rsidRPr="00F55CB6">
              <w:t xml:space="preserve">As outlined in the final recommendations on the design of the day-ahead auction, the capacity released through the day-ahead auction does not </w:t>
            </w:r>
            <w:r w:rsidR="00DA0876">
              <w:t xml:space="preserve">affect </w:t>
            </w:r>
            <w:r w:rsidRPr="00F55CB6">
              <w:t xml:space="preserve">the capacity associated with imbalance allowances or park and loan services. So if a firm shipper nominates after the gas day to manage an allocation of MOS (for example, to replenish their imbalance or park and loan account used to provide balancing) that capacity would not be released into the auction for that gas day. </w:t>
            </w:r>
            <w:r>
              <w:t xml:space="preserve">No amendments to the auction quantity limits in the NGR are therefore required </w:t>
            </w:r>
            <w:r w:rsidRPr="00F55CB6">
              <w:t xml:space="preserve">to </w:t>
            </w:r>
            <w:r>
              <w:t xml:space="preserve">deal with </w:t>
            </w:r>
            <w:r w:rsidRPr="00F55CB6">
              <w:t xml:space="preserve">MOS. </w:t>
            </w:r>
          </w:p>
        </w:tc>
      </w:tr>
    </w:tbl>
    <w:p w14:paraId="4B88BF60" w14:textId="77777777" w:rsidR="002B13EB" w:rsidRPr="001E4CA7" w:rsidRDefault="002B13EB" w:rsidP="000C5945">
      <w:pPr>
        <w:pStyle w:val="AppendixHeading3"/>
        <w:spacing w:before="120" w:after="120"/>
      </w:pPr>
      <w:r w:rsidRPr="001E4CA7">
        <w:t xml:space="preserve">Additional transparency measures </w:t>
      </w:r>
    </w:p>
    <w:p w14:paraId="5822A39C" w14:textId="77777777" w:rsidR="002B13EB" w:rsidRDefault="009257EC" w:rsidP="002B13EB">
      <w:pPr>
        <w:pStyle w:val="BodyText"/>
      </w:pPr>
      <w:r>
        <w:t xml:space="preserve">The March 2018 </w:t>
      </w:r>
      <w:r w:rsidR="002B13EB">
        <w:t>consultation paper</w:t>
      </w:r>
      <w:r>
        <w:t xml:space="preserve"> asked </w:t>
      </w:r>
      <w:r w:rsidR="002B13EB">
        <w:t>stakeholder</w:t>
      </w:r>
      <w:r>
        <w:t xml:space="preserve">s for their views on whether the </w:t>
      </w:r>
      <w:r w:rsidR="002B13EB">
        <w:t>following additional transparency measures were required:</w:t>
      </w:r>
    </w:p>
    <w:p w14:paraId="43EB7A6D" w14:textId="77777777" w:rsidR="002B13EB" w:rsidRDefault="002B13EB" w:rsidP="000C5945">
      <w:pPr>
        <w:pStyle w:val="ListBullet"/>
        <w:spacing w:before="60" w:after="60"/>
        <w:ind w:left="357" w:hanging="357"/>
      </w:pPr>
      <w:r>
        <w:rPr>
          <w:b/>
        </w:rPr>
        <w:t>Reporting of i</w:t>
      </w:r>
      <w:r w:rsidRPr="00A81035">
        <w:rPr>
          <w:b/>
        </w:rPr>
        <w:t>ntra-day curtailments</w:t>
      </w:r>
      <w:r>
        <w:rPr>
          <w:b/>
        </w:rPr>
        <w:t xml:space="preserve"> of auctioned services by auction facility operators</w:t>
      </w:r>
      <w:r w:rsidRPr="00A81035">
        <w:rPr>
          <w:b/>
        </w:rPr>
        <w:t>:</w:t>
      </w:r>
      <w:r>
        <w:t xml:space="preserve"> Mixed views were expressed on the value of reporting intra-day curtailments of auction services, with APA, Jemena and Palisade raising concerns about the costs associated with this reporting obligation.</w:t>
      </w:r>
      <w:r w:rsidRPr="003A596D">
        <w:t xml:space="preserve"> </w:t>
      </w:r>
      <w:r>
        <w:t xml:space="preserve">AGL, Alinta, ERM and APLNG, on the other hand, supported the publication of this information on the </w:t>
      </w:r>
      <w:r w:rsidR="00DA0876">
        <w:t xml:space="preserve">Bulletin Board </w:t>
      </w:r>
      <w:r>
        <w:t xml:space="preserve">as soon as reasonably practicable after the curtailment occurs.  Elaborating further on the rationale for publishing this information on the </w:t>
      </w:r>
      <w:r w:rsidR="00DA0876">
        <w:t>Bulletin Board</w:t>
      </w:r>
      <w:r>
        <w:t xml:space="preserve">, a number of shippers noted that the curtailment of auctioned capacity could affect prices, </w:t>
      </w:r>
      <w:r>
        <w:lastRenderedPageBreak/>
        <w:t xml:space="preserve">commercial and operational decisions across multiple markets and should therefore be made public. A number of shippers also noted that greater transparency in this area would provide participants greater confidence in the auction market. </w:t>
      </w:r>
    </w:p>
    <w:p w14:paraId="3BC490DF" w14:textId="77777777" w:rsidR="002B13EB" w:rsidRPr="00052382" w:rsidRDefault="002B13EB" w:rsidP="000C5945">
      <w:pPr>
        <w:pStyle w:val="ListBullet"/>
        <w:spacing w:before="60" w:after="60"/>
        <w:ind w:left="357" w:hanging="357"/>
        <w:rPr>
          <w:b/>
        </w:rPr>
      </w:pPr>
      <w:r>
        <w:rPr>
          <w:b/>
        </w:rPr>
        <w:t xml:space="preserve">Reporting of transitional firm </w:t>
      </w:r>
      <w:r w:rsidRPr="007B2095">
        <w:rPr>
          <w:b/>
        </w:rPr>
        <w:t>rights</w:t>
      </w:r>
      <w:r>
        <w:rPr>
          <w:b/>
        </w:rPr>
        <w:t xml:space="preserve">: </w:t>
      </w:r>
      <w:r>
        <w:t xml:space="preserve">Mixed views were also expressed about reporting the amount of transitional firm rights scheduled ahead of the </w:t>
      </w:r>
      <w:r w:rsidR="00146CA5">
        <w:t xml:space="preserve">day-ahead </w:t>
      </w:r>
      <w:r>
        <w:t xml:space="preserve">auction, with AGL, ERM, APLNG and Shell noting that the information should be reported on the </w:t>
      </w:r>
      <w:r w:rsidR="00DA0876">
        <w:t>Bulletin Board</w:t>
      </w:r>
      <w:r>
        <w:t xml:space="preserve">. PWC and APA, on the other hand, did not think this was necessary, while Epic and Jemena thought this could be commercially sensitive information. AGL suggested that the commercial sensitivity of this information could be addressed by requiring the information to be aggregated and de-identified. AGL also noted that the information should be published ahead of the auction, rather than after the auction, which ERM agreed with. ERM also suggested that information on the quantum and duration of </w:t>
      </w:r>
      <w:r w:rsidR="00DA0876">
        <w:t xml:space="preserve">transitional firm </w:t>
      </w:r>
      <w:r>
        <w:t xml:space="preserve">rights should be published so that market participants can understand and assess the risks on each facility. </w:t>
      </w:r>
    </w:p>
    <w:p w14:paraId="7EF69CB7" w14:textId="77777777" w:rsidR="002B13EB" w:rsidRPr="005E75A1" w:rsidRDefault="002B13EB" w:rsidP="002B13EB">
      <w:pPr>
        <w:pStyle w:val="BodyText"/>
        <w:rPr>
          <w:rFonts w:ascii="ArialMT" w:hAnsi="ArialMT" w:cs="Arial"/>
          <w:szCs w:val="20"/>
          <w:lang w:val="en-US" w:eastAsia="en-US"/>
        </w:rPr>
      </w:pPr>
      <w:r>
        <w:t>The GMRG’s response</w:t>
      </w:r>
      <w:r w:rsidR="00146CA5">
        <w:t>s</w:t>
      </w:r>
      <w:r>
        <w:t xml:space="preserve"> to each of these issues </w:t>
      </w:r>
      <w:r w:rsidR="00146CA5">
        <w:t xml:space="preserve">are </w:t>
      </w:r>
      <w:r>
        <w:t>summarised in the table below.</w:t>
      </w:r>
    </w:p>
    <w:p w14:paraId="55E71349" w14:textId="54CD8096" w:rsidR="002B13EB" w:rsidRDefault="002B13EB" w:rsidP="002B13EB">
      <w:pPr>
        <w:pStyle w:val="Caption"/>
        <w:spacing w:after="0"/>
      </w:pPr>
      <w:r>
        <w:t xml:space="preserve">Table </w:t>
      </w:r>
      <w:r>
        <w:rPr>
          <w:noProof/>
        </w:rPr>
        <w:t>A</w:t>
      </w:r>
      <w:r>
        <w:t>.</w:t>
      </w:r>
      <w:r>
        <w:rPr>
          <w:noProof/>
        </w:rPr>
        <w:t>1</w:t>
      </w:r>
      <w:r w:rsidR="00EE244C">
        <w:rPr>
          <w:noProof/>
        </w:rPr>
        <w:t>0</w:t>
      </w:r>
      <w:r>
        <w:t xml:space="preserve">: </w:t>
      </w:r>
      <w:r w:rsidRPr="00ED4BB6">
        <w:t xml:space="preserve">Response to issues raised about </w:t>
      </w:r>
      <w:r>
        <w:t xml:space="preserve">auction </w:t>
      </w:r>
      <w:r w:rsidRPr="00ED4BB6">
        <w:t>transparency</w:t>
      </w:r>
      <w:r>
        <w:t xml:space="preserve"> measures</w:t>
      </w:r>
    </w:p>
    <w:tbl>
      <w:tblPr>
        <w:tblStyle w:val="TableGrid"/>
        <w:tblW w:w="9072" w:type="dxa"/>
        <w:tblLook w:val="04A0" w:firstRow="1" w:lastRow="0" w:firstColumn="1" w:lastColumn="0" w:noHBand="0" w:noVBand="1"/>
        <w:tblCaption w:val="Response to issues raised about arbitration"/>
        <w:tblDescription w:val="Table of stakeholder concerns and GMRG response"/>
      </w:tblPr>
      <w:tblGrid>
        <w:gridCol w:w="1418"/>
        <w:gridCol w:w="7654"/>
      </w:tblGrid>
      <w:tr w:rsidR="002B13EB" w:rsidRPr="00992062" w14:paraId="1C064A50" w14:textId="77777777" w:rsidTr="000C5945">
        <w:trPr>
          <w:cnfStyle w:val="100000000000" w:firstRow="1" w:lastRow="0" w:firstColumn="0" w:lastColumn="0" w:oddVBand="0" w:evenVBand="0" w:oddHBand="0" w:evenHBand="0" w:firstRowFirstColumn="0" w:firstRowLastColumn="0" w:lastRowFirstColumn="0" w:lastRowLastColumn="0"/>
          <w:trHeight w:val="153"/>
          <w:tblHeader/>
        </w:trPr>
        <w:tc>
          <w:tcPr>
            <w:tcW w:w="1418" w:type="dxa"/>
            <w:shd w:val="clear" w:color="auto" w:fill="0099CC"/>
          </w:tcPr>
          <w:p w14:paraId="1CDBCCA3" w14:textId="77777777" w:rsidR="002B13EB" w:rsidRPr="00992062" w:rsidRDefault="002B13EB" w:rsidP="002B13EB">
            <w:pPr>
              <w:pStyle w:val="BodyText"/>
              <w:keepNext/>
              <w:spacing w:before="60" w:after="60"/>
              <w:rPr>
                <w:rFonts w:cs="Arial"/>
                <w:szCs w:val="18"/>
              </w:rPr>
            </w:pPr>
            <w:r>
              <w:rPr>
                <w:rFonts w:cs="Arial"/>
                <w:szCs w:val="18"/>
              </w:rPr>
              <w:t>Issue</w:t>
            </w:r>
          </w:p>
        </w:tc>
        <w:tc>
          <w:tcPr>
            <w:tcW w:w="7654" w:type="dxa"/>
            <w:shd w:val="clear" w:color="auto" w:fill="0099CC"/>
          </w:tcPr>
          <w:p w14:paraId="37463905" w14:textId="77777777" w:rsidR="002B13EB" w:rsidRPr="00992062" w:rsidRDefault="002B13EB" w:rsidP="002B13EB">
            <w:pPr>
              <w:pStyle w:val="BodyText"/>
              <w:keepNext/>
              <w:spacing w:before="60" w:after="60"/>
              <w:rPr>
                <w:rFonts w:cs="Arial"/>
                <w:szCs w:val="18"/>
              </w:rPr>
            </w:pPr>
            <w:r w:rsidRPr="00992062">
              <w:rPr>
                <w:rFonts w:cs="Arial"/>
                <w:szCs w:val="18"/>
              </w:rPr>
              <w:t>GMRG response</w:t>
            </w:r>
          </w:p>
        </w:tc>
      </w:tr>
      <w:tr w:rsidR="002B13EB" w:rsidRPr="00992062" w14:paraId="758A6E53" w14:textId="77777777" w:rsidTr="000C5945">
        <w:trPr>
          <w:trHeight w:val="1230"/>
        </w:trPr>
        <w:tc>
          <w:tcPr>
            <w:tcW w:w="1418" w:type="dxa"/>
            <w:vAlign w:val="center"/>
          </w:tcPr>
          <w:p w14:paraId="385D9C34" w14:textId="77777777" w:rsidR="002B13EB" w:rsidRPr="00992062" w:rsidRDefault="002B13EB" w:rsidP="002B13EB">
            <w:pPr>
              <w:pStyle w:val="BodyText"/>
              <w:keepNext/>
              <w:spacing w:before="40" w:after="40"/>
              <w:rPr>
                <w:rFonts w:cs="Arial"/>
              </w:rPr>
            </w:pPr>
            <w:r>
              <w:rPr>
                <w:rFonts w:cs="Arial"/>
              </w:rPr>
              <w:t>Intra-day curtailments of auctioned capacity</w:t>
            </w:r>
          </w:p>
        </w:tc>
        <w:tc>
          <w:tcPr>
            <w:tcW w:w="7654" w:type="dxa"/>
            <w:vAlign w:val="center"/>
          </w:tcPr>
          <w:p w14:paraId="7A3E591E" w14:textId="77777777" w:rsidR="002B13EB" w:rsidRDefault="002B13EB" w:rsidP="002B13EB">
            <w:pPr>
              <w:pStyle w:val="BodyText"/>
              <w:spacing w:before="40" w:after="40"/>
            </w:pPr>
            <w:r>
              <w:t xml:space="preserve">The GMRG agrees with AGL, Alinta, ERM and APLNG that information on intra-day curtailments of auctioned capacity should be reported on the </w:t>
            </w:r>
            <w:r w:rsidR="00DA0876">
              <w:t>Bulletin Board</w:t>
            </w:r>
            <w:r>
              <w:t xml:space="preserve"> given the effect it could have on the gas and electricity markets. To minimise the costs associated with this additional reporting obligation, </w:t>
            </w:r>
            <w:r w:rsidR="00146CA5">
              <w:t xml:space="preserve">transportation </w:t>
            </w:r>
            <w:r>
              <w:t xml:space="preserve">service providers will be required to provide the following information to AEMO for publication on the </w:t>
            </w:r>
            <w:r w:rsidR="00DA0876">
              <w:t>Bulletin Board</w:t>
            </w:r>
            <w:r>
              <w:t>:</w:t>
            </w:r>
          </w:p>
          <w:p w14:paraId="44EDD91F" w14:textId="77777777" w:rsidR="002B13EB" w:rsidRDefault="002B13EB" w:rsidP="002B13EB">
            <w:pPr>
              <w:pStyle w:val="TableListNumber2"/>
              <w:ind w:left="369" w:hanging="284"/>
            </w:pPr>
            <w:r>
              <w:t>a notice of the curtailment and the auction service affected;</w:t>
            </w:r>
          </w:p>
          <w:p w14:paraId="73AF5299" w14:textId="4CA61307" w:rsidR="002B13EB" w:rsidRDefault="002B13EB" w:rsidP="002B13EB">
            <w:pPr>
              <w:pStyle w:val="TableListNumber2"/>
              <w:ind w:left="369" w:hanging="284"/>
            </w:pPr>
            <w:r>
              <w:t xml:space="preserve">a brief description of the cause of the curtailment; and </w:t>
            </w:r>
          </w:p>
          <w:p w14:paraId="2800BDB5" w14:textId="55B645F1" w:rsidR="002B13EB" w:rsidRPr="00B56D38" w:rsidRDefault="002B13EB" w:rsidP="002B13EB">
            <w:pPr>
              <w:pStyle w:val="TableListNumber2"/>
              <w:ind w:left="369" w:hanging="284"/>
            </w:pPr>
            <w:r>
              <w:t xml:space="preserve">whether the curtailed quantity is material or not (material is defined in this context as more than 10% of the transportation capacity sold in the auction). </w:t>
            </w:r>
          </w:p>
          <w:p w14:paraId="3F7A81A0" w14:textId="77777777" w:rsidR="002B13EB" w:rsidRDefault="00146CA5" w:rsidP="002B13EB">
            <w:pPr>
              <w:pStyle w:val="TableBullet2"/>
              <w:keepNext/>
              <w:numPr>
                <w:ilvl w:val="0"/>
                <w:numId w:val="0"/>
              </w:numPr>
              <w:ind w:left="85"/>
              <w:rPr>
                <w:rFonts w:asciiTheme="majorHAnsi" w:hAnsiTheme="majorHAnsi" w:cstheme="majorHAnsi"/>
                <w:szCs w:val="18"/>
              </w:rPr>
            </w:pPr>
            <w:r>
              <w:rPr>
                <w:rFonts w:asciiTheme="majorHAnsi" w:hAnsiTheme="majorHAnsi" w:cstheme="majorHAnsi"/>
                <w:szCs w:val="18"/>
              </w:rPr>
              <w:t>Transportation s</w:t>
            </w:r>
            <w:r w:rsidR="002B13EB">
              <w:rPr>
                <w:rFonts w:asciiTheme="majorHAnsi" w:hAnsiTheme="majorHAnsi" w:cstheme="majorHAnsi"/>
                <w:szCs w:val="18"/>
              </w:rPr>
              <w:t xml:space="preserve">ervice providers will also be required update the information in (b) or (c) if additional curtailment occurs after the initial notice is provided. On the following gas day, service providers will be required to report </w:t>
            </w:r>
            <w:r w:rsidR="00700609">
              <w:rPr>
                <w:rFonts w:asciiTheme="majorHAnsi" w:hAnsiTheme="majorHAnsi" w:cstheme="majorHAnsi"/>
                <w:szCs w:val="18"/>
              </w:rPr>
              <w:t xml:space="preserve">to AEMO for publication on the Bulletin Board </w:t>
            </w:r>
            <w:r w:rsidR="002B13EB">
              <w:rPr>
                <w:rFonts w:asciiTheme="majorHAnsi" w:hAnsiTheme="majorHAnsi" w:cstheme="majorHAnsi"/>
                <w:szCs w:val="18"/>
              </w:rPr>
              <w:t>the total amount of auctioned capacity that was curtailed on the gas day.</w:t>
            </w:r>
          </w:p>
          <w:p w14:paraId="59CBABCB" w14:textId="77777777" w:rsidR="002B13EB" w:rsidRPr="00DB564C" w:rsidRDefault="002B13EB" w:rsidP="002B13EB">
            <w:pPr>
              <w:pStyle w:val="TableBullet2"/>
              <w:keepNext/>
              <w:numPr>
                <w:ilvl w:val="0"/>
                <w:numId w:val="0"/>
              </w:numPr>
              <w:ind w:left="85"/>
              <w:rPr>
                <w:rFonts w:asciiTheme="majorHAnsi" w:hAnsiTheme="majorHAnsi" w:cstheme="majorHAnsi"/>
                <w:szCs w:val="18"/>
              </w:rPr>
            </w:pPr>
            <w:r>
              <w:rPr>
                <w:rFonts w:asciiTheme="majorHAnsi" w:hAnsiTheme="majorHAnsi" w:cstheme="majorHAnsi"/>
                <w:szCs w:val="18"/>
              </w:rPr>
              <w:t>These requirements are reflected in the amendments to Part 18 of the NGR.</w:t>
            </w:r>
          </w:p>
        </w:tc>
      </w:tr>
      <w:tr w:rsidR="002B13EB" w:rsidRPr="00992062" w14:paraId="224A87B7" w14:textId="77777777" w:rsidTr="000C5945">
        <w:trPr>
          <w:cnfStyle w:val="000000010000" w:firstRow="0" w:lastRow="0" w:firstColumn="0" w:lastColumn="0" w:oddVBand="0" w:evenVBand="0" w:oddHBand="0" w:evenHBand="1" w:firstRowFirstColumn="0" w:firstRowLastColumn="0" w:lastRowFirstColumn="0" w:lastRowLastColumn="0"/>
          <w:trHeight w:val="384"/>
        </w:trPr>
        <w:tc>
          <w:tcPr>
            <w:tcW w:w="1418" w:type="dxa"/>
            <w:vAlign w:val="center"/>
          </w:tcPr>
          <w:p w14:paraId="5AB74F5A" w14:textId="77777777" w:rsidR="002B13EB" w:rsidRDefault="002B13EB" w:rsidP="00146CA5">
            <w:pPr>
              <w:pStyle w:val="BodyText"/>
              <w:spacing w:before="40" w:after="40"/>
              <w:rPr>
                <w:rFonts w:cs="Arial"/>
              </w:rPr>
            </w:pPr>
            <w:r>
              <w:rPr>
                <w:rFonts w:cs="Arial"/>
              </w:rPr>
              <w:t>Reporting of transitional firm rights</w:t>
            </w:r>
          </w:p>
        </w:tc>
        <w:tc>
          <w:tcPr>
            <w:tcW w:w="7654" w:type="dxa"/>
            <w:vAlign w:val="center"/>
          </w:tcPr>
          <w:p w14:paraId="456C0A6F" w14:textId="77777777" w:rsidR="002B13EB" w:rsidRDefault="002B13EB" w:rsidP="00146CA5">
            <w:pPr>
              <w:pStyle w:val="TableBodyText"/>
            </w:pPr>
            <w:r>
              <w:t xml:space="preserve">The GMRG has considered the issues raised by shippers about the need for additional information to be reported on the use of transitional firm services and the concerns that some service providers and shippers have raised about the confidentiality of this information. While the GMRG agrees that information on the use of these services should be published, it is concerned that the publication of this information ahead of the gas day could provide an indication of a gas-fired generators intended use on the next gas day, particularly if there are less than two generators connected to the </w:t>
            </w:r>
            <w:r w:rsidR="00DA0876">
              <w:t>transportation facility</w:t>
            </w:r>
            <w:r>
              <w:t xml:space="preserve">. The rules </w:t>
            </w:r>
            <w:r w:rsidR="00146CA5">
              <w:t xml:space="preserve">in Part 25 of the NGR </w:t>
            </w:r>
            <w:r>
              <w:t xml:space="preserve">have therefore been amended to require: </w:t>
            </w:r>
          </w:p>
          <w:p w14:paraId="5CD91CE3" w14:textId="650A59BD" w:rsidR="002B13EB" w:rsidRPr="00B56D38" w:rsidRDefault="00142468" w:rsidP="00146CA5">
            <w:pPr>
              <w:pStyle w:val="TableBullet1"/>
            </w:pPr>
            <w:r>
              <w:t xml:space="preserve">transportation </w:t>
            </w:r>
            <w:r w:rsidR="002B13EB">
              <w:t xml:space="preserve">service providers to </w:t>
            </w:r>
            <w:r w:rsidR="002B13EB" w:rsidRPr="00B56D38">
              <w:t xml:space="preserve">report the amount of aggregated </w:t>
            </w:r>
            <w:r w:rsidR="002B13EB">
              <w:t>transitional firm</w:t>
            </w:r>
            <w:r w:rsidR="002B13EB" w:rsidRPr="00B56D38">
              <w:t xml:space="preserve"> </w:t>
            </w:r>
            <w:r w:rsidR="002B13EB">
              <w:t xml:space="preserve">services </w:t>
            </w:r>
            <w:r w:rsidR="002B13EB" w:rsidRPr="00B56D38">
              <w:t>that have been taken into account in the calculation of the auction quantity limits for forward haul and backhaul to AEMO when submitting the</w:t>
            </w:r>
            <w:r w:rsidR="002B13EB">
              <w:t>ir</w:t>
            </w:r>
            <w:r w:rsidR="002B13EB" w:rsidRPr="00B56D38">
              <w:t xml:space="preserve"> auction quantity limits;</w:t>
            </w:r>
            <w:r w:rsidR="002B13EB">
              <w:t xml:space="preserve"> and</w:t>
            </w:r>
          </w:p>
          <w:p w14:paraId="10362522" w14:textId="77777777" w:rsidR="002B13EB" w:rsidRDefault="002B13EB" w:rsidP="00146CA5">
            <w:pPr>
              <w:pStyle w:val="TableBullet1"/>
            </w:pPr>
            <w:r w:rsidRPr="00B56D38">
              <w:t xml:space="preserve">AEMO </w:t>
            </w:r>
            <w:r>
              <w:t xml:space="preserve">to </w:t>
            </w:r>
            <w:r w:rsidRPr="00B56D38">
              <w:t xml:space="preserve">publish </w:t>
            </w:r>
            <w:r>
              <w:t xml:space="preserve">the </w:t>
            </w:r>
            <w:r w:rsidRPr="00B56D38">
              <w:t xml:space="preserve">information on the aggregated volume of </w:t>
            </w:r>
            <w:r>
              <w:t>transitional firm services</w:t>
            </w:r>
            <w:r w:rsidRPr="00B56D38">
              <w:t xml:space="preserve"> that were taken into account in the calculation of the auction quantity limits on the </w:t>
            </w:r>
            <w:r w:rsidR="00660816">
              <w:t>Bulletin Board</w:t>
            </w:r>
            <w:r>
              <w:t xml:space="preserve"> </w:t>
            </w:r>
            <w:r w:rsidRPr="00B56D38">
              <w:t>on the day after the gas day (D+1)</w:t>
            </w:r>
            <w:r>
              <w:t>.</w:t>
            </w:r>
          </w:p>
          <w:p w14:paraId="083B35B6" w14:textId="77777777" w:rsidR="002B13EB" w:rsidRDefault="002B13EB" w:rsidP="00146CA5">
            <w:pPr>
              <w:pStyle w:val="TableBodyText"/>
            </w:pPr>
            <w:r>
              <w:t>These requirements are reflected in the transitional rules in Schedule 5 of the NGR.</w:t>
            </w:r>
          </w:p>
          <w:p w14:paraId="62884EF9" w14:textId="77777777" w:rsidR="002B13EB" w:rsidRDefault="002B13EB" w:rsidP="00146CA5">
            <w:pPr>
              <w:pStyle w:val="TableBodyText"/>
            </w:pPr>
            <w:r>
              <w:t>While information on the use of transitional firm services will not be known prior to the auction, auction participants will be able to have recourse to historic information on the use of these services when deciding whether or not to participate in the auction and when assessing the risks potentially posed by transitional firm services.</w:t>
            </w:r>
          </w:p>
        </w:tc>
      </w:tr>
    </w:tbl>
    <w:p w14:paraId="5D595213" w14:textId="77777777" w:rsidR="002B13EB" w:rsidRPr="005F6769" w:rsidRDefault="002B13EB" w:rsidP="002B13EB">
      <w:pPr>
        <w:pStyle w:val="AppendixHeading2"/>
        <w:rPr>
          <w:color w:val="0099CC"/>
        </w:rPr>
      </w:pPr>
      <w:bookmarkStart w:id="195" w:name="_Toc518473987"/>
      <w:r w:rsidRPr="005F6769">
        <w:rPr>
          <w:color w:val="0099CC"/>
        </w:rPr>
        <w:lastRenderedPageBreak/>
        <w:t>Feedback on the secondary capacity reporting framework and other transparency measures</w:t>
      </w:r>
      <w:bookmarkEnd w:id="195"/>
    </w:p>
    <w:p w14:paraId="46AE7DA4" w14:textId="77777777" w:rsidR="002B13EB" w:rsidRDefault="00672358" w:rsidP="00ED37AA">
      <w:pPr>
        <w:pStyle w:val="BodyText"/>
      </w:pPr>
      <w:r>
        <w:t xml:space="preserve">The March 2018 </w:t>
      </w:r>
      <w:r w:rsidR="002B13EB">
        <w:t>consultation paper</w:t>
      </w:r>
      <w:r>
        <w:t xml:space="preserve"> sought </w:t>
      </w:r>
      <w:r w:rsidR="002B13EB">
        <w:t>stakeholder</w:t>
      </w:r>
      <w:r>
        <w:t xml:space="preserve"> feedback on</w:t>
      </w:r>
      <w:r w:rsidR="00ED37AA">
        <w:t xml:space="preserve"> </w:t>
      </w:r>
      <w:r w:rsidR="002B13EB">
        <w:t xml:space="preserve">the proposal to expand the scope of the reporting obligations for allocation agents to include a description of the allocation methodology used at the allocation point and a description of the process </w:t>
      </w:r>
      <w:r w:rsidR="00ED37AA">
        <w:t xml:space="preserve">and charges </w:t>
      </w:r>
      <w:r w:rsidR="002B13EB">
        <w:t xml:space="preserve">for joining and leaving the </w:t>
      </w:r>
      <w:r w:rsidR="00ED37AA">
        <w:t xml:space="preserve">allocation </w:t>
      </w:r>
      <w:r w:rsidR="002B13EB">
        <w:t>arrangement</w:t>
      </w:r>
      <w:r w:rsidR="00ED37AA">
        <w:t>.</w:t>
      </w:r>
    </w:p>
    <w:p w14:paraId="2F16D525" w14:textId="77777777" w:rsidR="002B13EB" w:rsidRDefault="00672358" w:rsidP="00A35D89">
      <w:pPr>
        <w:pStyle w:val="BodyText"/>
      </w:pPr>
      <w:r>
        <w:t xml:space="preserve">Stakeholders were generally supportive </w:t>
      </w:r>
      <w:r w:rsidR="00A35D89">
        <w:t xml:space="preserve">of </w:t>
      </w:r>
      <w:r w:rsidR="00ED37AA">
        <w:t xml:space="preserve">this </w:t>
      </w:r>
      <w:r w:rsidR="00A35D89">
        <w:t xml:space="preserve">proposal. ERM, for example, noted that </w:t>
      </w:r>
      <w:r w:rsidR="002B13EB">
        <w:t>it “supports the proposal to require information about allocation arrangements to be published so as to provide more transparency and reduce barriers to entry”.</w:t>
      </w:r>
      <w:r w:rsidR="00A35D89">
        <w:t xml:space="preserve"> ERM went on to add that this obligation should also apply to injection and withdrawal points in the DTS. A number of service providers noted that while they were </w:t>
      </w:r>
      <w:r w:rsidR="002B13EB">
        <w:t xml:space="preserve">comfortable with the </w:t>
      </w:r>
      <w:r w:rsidR="00A35D89">
        <w:t xml:space="preserve">proposed </w:t>
      </w:r>
      <w:r w:rsidR="002B13EB">
        <w:t>information being reported</w:t>
      </w:r>
      <w:r w:rsidR="00A35D89">
        <w:t xml:space="preserve">, there were some </w:t>
      </w:r>
      <w:r w:rsidR="002B13EB">
        <w:t xml:space="preserve">locations </w:t>
      </w:r>
      <w:r w:rsidR="00A35D89">
        <w:t xml:space="preserve">where there was no </w:t>
      </w:r>
      <w:r w:rsidR="002B13EB">
        <w:t>written agreement in place</w:t>
      </w:r>
      <w:r w:rsidR="00A35D89">
        <w:t>, so consideration would need to be given to how to accommodate these situations.</w:t>
      </w:r>
      <w:r w:rsidR="00D90F6B">
        <w:rPr>
          <w:rStyle w:val="FootnoteReference"/>
        </w:rPr>
        <w:footnoteReference w:id="421"/>
      </w:r>
      <w:r w:rsidR="00A35D89">
        <w:t xml:space="preserve"> </w:t>
      </w:r>
    </w:p>
    <w:p w14:paraId="19FBBABE" w14:textId="77777777" w:rsidR="002B13EB" w:rsidRDefault="002B13EB" w:rsidP="002B13EB">
      <w:pPr>
        <w:pStyle w:val="ListBullet"/>
        <w:numPr>
          <w:ilvl w:val="0"/>
          <w:numId w:val="0"/>
        </w:numPr>
        <w:rPr>
          <w:rFonts w:ascii="ArialMT" w:hAnsi="ArialMT" w:cs="Arial"/>
          <w:szCs w:val="20"/>
          <w:lang w:val="en-US" w:eastAsia="en-US"/>
        </w:rPr>
      </w:pPr>
      <w:r>
        <w:t xml:space="preserve">The GMRG’s response to </w:t>
      </w:r>
      <w:r w:rsidR="004B4094">
        <w:t xml:space="preserve">these two </w:t>
      </w:r>
      <w:r>
        <w:t>issues is summarised in the table below.</w:t>
      </w:r>
    </w:p>
    <w:p w14:paraId="6937DDBE" w14:textId="02579185" w:rsidR="002B13EB" w:rsidRDefault="002B13EB" w:rsidP="002B13EB">
      <w:pPr>
        <w:pStyle w:val="Caption"/>
        <w:spacing w:after="0"/>
      </w:pPr>
      <w:r>
        <w:t xml:space="preserve">Table </w:t>
      </w:r>
      <w:r>
        <w:rPr>
          <w:noProof/>
        </w:rPr>
        <w:t>A</w:t>
      </w:r>
      <w:r>
        <w:t>.</w:t>
      </w:r>
      <w:r>
        <w:rPr>
          <w:noProof/>
        </w:rPr>
        <w:t>1</w:t>
      </w:r>
      <w:r w:rsidR="00EE244C">
        <w:rPr>
          <w:noProof/>
        </w:rPr>
        <w:t>1</w:t>
      </w:r>
      <w:r>
        <w:t>: Response to issues raised about the secondary capacity reporting framework and other transparency measures</w:t>
      </w:r>
    </w:p>
    <w:tbl>
      <w:tblPr>
        <w:tblStyle w:val="TableGrid"/>
        <w:tblW w:w="0" w:type="auto"/>
        <w:tblLook w:val="04A0" w:firstRow="1" w:lastRow="0" w:firstColumn="1" w:lastColumn="0" w:noHBand="0" w:noVBand="1"/>
        <w:tblCaption w:val="Response to issues raised about exemptions"/>
        <w:tblDescription w:val="Table of stakeholder concerns and GMRG response"/>
      </w:tblPr>
      <w:tblGrid>
        <w:gridCol w:w="1701"/>
        <w:gridCol w:w="7087"/>
      </w:tblGrid>
      <w:tr w:rsidR="002B13EB" w14:paraId="53E698A7" w14:textId="77777777" w:rsidTr="00A50F23">
        <w:trPr>
          <w:cnfStyle w:val="100000000000" w:firstRow="1" w:lastRow="0" w:firstColumn="0" w:lastColumn="0" w:oddVBand="0" w:evenVBand="0" w:oddHBand="0" w:evenHBand="0" w:firstRowFirstColumn="0" w:firstRowLastColumn="0" w:lastRowFirstColumn="0" w:lastRowLastColumn="0"/>
          <w:trHeight w:val="153"/>
          <w:tblHeader/>
        </w:trPr>
        <w:tc>
          <w:tcPr>
            <w:tcW w:w="1701" w:type="dxa"/>
            <w:tcBorders>
              <w:top w:val="single" w:sz="4" w:space="0" w:color="auto"/>
              <w:left w:val="nil"/>
              <w:bottom w:val="single" w:sz="4" w:space="0" w:color="auto"/>
              <w:right w:val="single" w:sz="4" w:space="0" w:color="auto"/>
            </w:tcBorders>
            <w:shd w:val="clear" w:color="auto" w:fill="0099CC"/>
            <w:hideMark/>
          </w:tcPr>
          <w:p w14:paraId="1F42B03F" w14:textId="77777777" w:rsidR="002B13EB" w:rsidRDefault="002B13EB" w:rsidP="002B13EB">
            <w:pPr>
              <w:pStyle w:val="BodyText"/>
              <w:keepNext/>
              <w:spacing w:before="60" w:after="60"/>
              <w:rPr>
                <w:szCs w:val="18"/>
              </w:rPr>
            </w:pPr>
            <w:r>
              <w:rPr>
                <w:szCs w:val="18"/>
              </w:rPr>
              <w:t>Stakeholder concern</w:t>
            </w:r>
          </w:p>
        </w:tc>
        <w:tc>
          <w:tcPr>
            <w:tcW w:w="7087" w:type="dxa"/>
            <w:tcBorders>
              <w:top w:val="single" w:sz="4" w:space="0" w:color="auto"/>
              <w:left w:val="single" w:sz="4" w:space="0" w:color="auto"/>
              <w:bottom w:val="single" w:sz="4" w:space="0" w:color="auto"/>
              <w:right w:val="nil"/>
            </w:tcBorders>
            <w:shd w:val="clear" w:color="auto" w:fill="0099CC"/>
            <w:hideMark/>
          </w:tcPr>
          <w:p w14:paraId="5C701BC7" w14:textId="77777777" w:rsidR="002B13EB" w:rsidRDefault="002B13EB" w:rsidP="002B13EB">
            <w:pPr>
              <w:pStyle w:val="BodyText"/>
              <w:keepNext/>
              <w:spacing w:before="60" w:after="60"/>
              <w:rPr>
                <w:szCs w:val="18"/>
              </w:rPr>
            </w:pPr>
            <w:r>
              <w:rPr>
                <w:szCs w:val="18"/>
              </w:rPr>
              <w:t>GMRG response</w:t>
            </w:r>
          </w:p>
        </w:tc>
      </w:tr>
      <w:tr w:rsidR="00D90F6B" w14:paraId="3259A328" w14:textId="77777777" w:rsidTr="00A50F23">
        <w:tc>
          <w:tcPr>
            <w:tcW w:w="1701" w:type="dxa"/>
            <w:tcBorders>
              <w:top w:val="single" w:sz="4" w:space="0" w:color="auto"/>
              <w:left w:val="nil"/>
              <w:bottom w:val="single" w:sz="4" w:space="0" w:color="auto"/>
              <w:right w:val="single" w:sz="4" w:space="0" w:color="auto"/>
            </w:tcBorders>
            <w:hideMark/>
          </w:tcPr>
          <w:p w14:paraId="507B2611" w14:textId="77777777" w:rsidR="00D90F6B" w:rsidRPr="00D90F6B" w:rsidRDefault="00D90F6B" w:rsidP="006B366E">
            <w:pPr>
              <w:pStyle w:val="BodyText"/>
              <w:spacing w:before="60" w:after="60"/>
            </w:pPr>
            <w:r w:rsidRPr="00D90F6B">
              <w:t>Inclusion of the allocation arrangements for the Victorian DTS</w:t>
            </w:r>
          </w:p>
        </w:tc>
        <w:tc>
          <w:tcPr>
            <w:tcW w:w="7087" w:type="dxa"/>
            <w:tcBorders>
              <w:top w:val="single" w:sz="4" w:space="0" w:color="auto"/>
              <w:left w:val="single" w:sz="4" w:space="0" w:color="auto"/>
              <w:bottom w:val="single" w:sz="4" w:space="0" w:color="auto"/>
              <w:right w:val="nil"/>
            </w:tcBorders>
          </w:tcPr>
          <w:p w14:paraId="1F704D7E" w14:textId="77777777" w:rsidR="00D90F6B" w:rsidRPr="00D90F6B" w:rsidRDefault="00D90F6B" w:rsidP="00D90F6B">
            <w:pPr>
              <w:pStyle w:val="TableBodyText"/>
            </w:pPr>
            <w:r w:rsidRPr="00D90F6B">
              <w:t>The GMRG agrees with ERM that the requirement to report on allocation arrangements should extend to system injection and system withdrawal points in the DTS (excluding points at which the allocations are determined under Retail Market Procedures). In a similar manner to the allocation arrangements on contract carriage pipelines, the allocation arrangements at these points may act as a barrier to capacity trad</w:t>
            </w:r>
            <w:r w:rsidR="00ED37AA">
              <w:t>ing</w:t>
            </w:r>
            <w:r w:rsidRPr="00D90F6B">
              <w:t xml:space="preserve"> (particularly at points of interconnection with contract carriage pipelines). The relevant provisions in the NGR have been amended accordingly. </w:t>
            </w:r>
          </w:p>
        </w:tc>
      </w:tr>
      <w:tr w:rsidR="002B13EB" w14:paraId="1FFA6B6D" w14:textId="77777777" w:rsidTr="00A50F23">
        <w:trPr>
          <w:cnfStyle w:val="000000010000" w:firstRow="0" w:lastRow="0" w:firstColumn="0" w:lastColumn="0" w:oddVBand="0" w:evenVBand="0" w:oddHBand="0" w:evenHBand="1" w:firstRowFirstColumn="0" w:firstRowLastColumn="0" w:lastRowFirstColumn="0" w:lastRowLastColumn="0"/>
        </w:trPr>
        <w:tc>
          <w:tcPr>
            <w:tcW w:w="1701" w:type="dxa"/>
            <w:tcBorders>
              <w:top w:val="single" w:sz="4" w:space="0" w:color="auto"/>
              <w:left w:val="nil"/>
              <w:bottom w:val="single" w:sz="4" w:space="0" w:color="auto"/>
              <w:right w:val="single" w:sz="4" w:space="0" w:color="auto"/>
            </w:tcBorders>
            <w:hideMark/>
          </w:tcPr>
          <w:p w14:paraId="33D4FAD7" w14:textId="77777777" w:rsidR="002B13EB" w:rsidRDefault="002B13EB" w:rsidP="00A50F23">
            <w:pPr>
              <w:pStyle w:val="BodyText"/>
              <w:spacing w:before="60"/>
            </w:pPr>
            <w:r>
              <w:t xml:space="preserve">Information to be reported in the absence of a written allocation agreement </w:t>
            </w:r>
          </w:p>
        </w:tc>
        <w:tc>
          <w:tcPr>
            <w:tcW w:w="7087" w:type="dxa"/>
            <w:tcBorders>
              <w:top w:val="single" w:sz="4" w:space="0" w:color="auto"/>
              <w:left w:val="single" w:sz="4" w:space="0" w:color="auto"/>
              <w:bottom w:val="single" w:sz="4" w:space="0" w:color="auto"/>
              <w:right w:val="nil"/>
            </w:tcBorders>
            <w:hideMark/>
          </w:tcPr>
          <w:p w14:paraId="0CA7E49F" w14:textId="77777777" w:rsidR="002B13EB" w:rsidRDefault="00080D30" w:rsidP="00A50F23">
            <w:pPr>
              <w:pStyle w:val="BodyText"/>
              <w:keepNext/>
              <w:spacing w:before="60"/>
              <w:rPr>
                <w:rFonts w:eastAsiaTheme="minorEastAsia"/>
              </w:rPr>
            </w:pPr>
            <w:r>
              <w:rPr>
                <w:rFonts w:eastAsiaTheme="minorEastAsia"/>
              </w:rPr>
              <w:t xml:space="preserve">In </w:t>
            </w:r>
            <w:r w:rsidR="00D90F6B">
              <w:rPr>
                <w:rFonts w:eastAsiaTheme="minorEastAsia"/>
              </w:rPr>
              <w:t xml:space="preserve">the </w:t>
            </w:r>
            <w:r w:rsidR="002B13EB">
              <w:rPr>
                <w:rFonts w:eastAsiaTheme="minorEastAsia"/>
              </w:rPr>
              <w:t>GMRG</w:t>
            </w:r>
            <w:r w:rsidR="00D90F6B">
              <w:rPr>
                <w:rFonts w:eastAsiaTheme="minorEastAsia"/>
              </w:rPr>
              <w:t>’s</w:t>
            </w:r>
            <w:r w:rsidR="002B13EB">
              <w:rPr>
                <w:rFonts w:eastAsiaTheme="minorEastAsia"/>
              </w:rPr>
              <w:t xml:space="preserve"> view the same information </w:t>
            </w:r>
            <w:r w:rsidR="00D90F6B">
              <w:rPr>
                <w:rFonts w:eastAsiaTheme="minorEastAsia"/>
              </w:rPr>
              <w:t xml:space="preserve">about allocation arrangements </w:t>
            </w:r>
            <w:r w:rsidR="002B13EB">
              <w:rPr>
                <w:rFonts w:eastAsiaTheme="minorEastAsia"/>
              </w:rPr>
              <w:t xml:space="preserve">should be reported on the Bulletin Board </w:t>
            </w:r>
            <w:r w:rsidR="00D90F6B">
              <w:rPr>
                <w:rFonts w:eastAsiaTheme="minorEastAsia"/>
              </w:rPr>
              <w:t xml:space="preserve">irrespective </w:t>
            </w:r>
            <w:r w:rsidR="002B13EB">
              <w:rPr>
                <w:rFonts w:eastAsiaTheme="minorEastAsia"/>
              </w:rPr>
              <w:t xml:space="preserve">of whether </w:t>
            </w:r>
            <w:r w:rsidR="00D90F6B">
              <w:rPr>
                <w:rFonts w:eastAsiaTheme="minorEastAsia"/>
              </w:rPr>
              <w:t xml:space="preserve">they are set out in a </w:t>
            </w:r>
            <w:r w:rsidR="002B13EB">
              <w:rPr>
                <w:rFonts w:eastAsiaTheme="minorEastAsia"/>
              </w:rPr>
              <w:t>formalised written agreement</w:t>
            </w:r>
            <w:r w:rsidR="00D90F6B">
              <w:rPr>
                <w:rFonts w:eastAsiaTheme="minorEastAsia"/>
              </w:rPr>
              <w:t xml:space="preserve"> or not. T</w:t>
            </w:r>
            <w:r w:rsidR="002B13EB">
              <w:rPr>
                <w:rFonts w:eastAsiaTheme="minorEastAsia"/>
              </w:rPr>
              <w:t xml:space="preserve">o not do so would pose a potential barrier to accessing points where an informal approach is in place. </w:t>
            </w:r>
            <w:r w:rsidR="00D90F6B">
              <w:rPr>
                <w:rFonts w:eastAsiaTheme="minorEastAsia"/>
              </w:rPr>
              <w:t xml:space="preserve">The drafting of these provisions in the NGR have therefore </w:t>
            </w:r>
            <w:r w:rsidR="002B13EB">
              <w:rPr>
                <w:rFonts w:eastAsiaTheme="minorEastAsia"/>
              </w:rPr>
              <w:t xml:space="preserve">been amended to clarify that the same information </w:t>
            </w:r>
            <w:r w:rsidR="00D90F6B">
              <w:rPr>
                <w:rFonts w:eastAsiaTheme="minorEastAsia"/>
              </w:rPr>
              <w:t xml:space="preserve">is </w:t>
            </w:r>
            <w:r w:rsidR="002B13EB">
              <w:rPr>
                <w:rFonts w:eastAsiaTheme="minorEastAsia"/>
              </w:rPr>
              <w:t xml:space="preserve">to be reported </w:t>
            </w:r>
            <w:r w:rsidR="00D90F6B">
              <w:rPr>
                <w:rFonts w:eastAsiaTheme="minorEastAsia"/>
              </w:rPr>
              <w:t>for both types of arrangements</w:t>
            </w:r>
            <w:r w:rsidR="002B13EB">
              <w:rPr>
                <w:rFonts w:eastAsiaTheme="minorEastAsia"/>
              </w:rPr>
              <w:t>.</w:t>
            </w:r>
          </w:p>
        </w:tc>
      </w:tr>
    </w:tbl>
    <w:p w14:paraId="352A128B" w14:textId="77777777" w:rsidR="002B13EB" w:rsidRPr="005F6769" w:rsidRDefault="002B13EB" w:rsidP="002B13EB">
      <w:pPr>
        <w:pStyle w:val="AppendixHeading2"/>
        <w:rPr>
          <w:color w:val="0099CC"/>
        </w:rPr>
      </w:pPr>
      <w:bookmarkStart w:id="196" w:name="_Toc518473988"/>
      <w:r w:rsidRPr="005F6769">
        <w:rPr>
          <w:color w:val="0099CC"/>
        </w:rPr>
        <w:t xml:space="preserve">Feedback on the </w:t>
      </w:r>
      <w:r w:rsidR="004D76B1">
        <w:rPr>
          <w:color w:val="0099CC"/>
        </w:rPr>
        <w:t xml:space="preserve">standard market timetable </w:t>
      </w:r>
      <w:bookmarkEnd w:id="196"/>
    </w:p>
    <w:p w14:paraId="2A16309F" w14:textId="77777777" w:rsidR="002B13EB" w:rsidRDefault="002F2DCA" w:rsidP="006B366E">
      <w:pPr>
        <w:pStyle w:val="BodyText"/>
      </w:pPr>
      <w:r>
        <w:t>T</w:t>
      </w:r>
      <w:r w:rsidR="002B13EB">
        <w:t xml:space="preserve">he </w:t>
      </w:r>
      <w:r>
        <w:t xml:space="preserve">March 2018 </w:t>
      </w:r>
      <w:r w:rsidR="002B13EB">
        <w:t>consultation paper</w:t>
      </w:r>
      <w:r>
        <w:t xml:space="preserve"> asked </w:t>
      </w:r>
      <w:r w:rsidR="002B13EB">
        <w:t xml:space="preserve">stakeholders </w:t>
      </w:r>
      <w:r>
        <w:t xml:space="preserve">to </w:t>
      </w:r>
      <w:r w:rsidR="002B13EB">
        <w:t xml:space="preserve">provide </w:t>
      </w:r>
      <w:r w:rsidR="006B366E">
        <w:t xml:space="preserve">feedback </w:t>
      </w:r>
      <w:r w:rsidR="002B13EB">
        <w:t>on</w:t>
      </w:r>
      <w:r w:rsidR="004D76B1">
        <w:t xml:space="preserve"> the</w:t>
      </w:r>
      <w:r w:rsidR="006B366E">
        <w:t xml:space="preserve"> </w:t>
      </w:r>
      <w:r w:rsidR="002B13EB">
        <w:t>transitional arrangements</w:t>
      </w:r>
      <w:r w:rsidR="004D76B1">
        <w:t xml:space="preserve"> for the implementation of the standard market timetable</w:t>
      </w:r>
      <w:r w:rsidR="006B366E">
        <w:t>. The feedback stakeholders provided can be summarised as follows:</w:t>
      </w:r>
    </w:p>
    <w:p w14:paraId="3053FA3C" w14:textId="77777777" w:rsidR="002B13EB" w:rsidRDefault="006B366E" w:rsidP="002B13EB">
      <w:pPr>
        <w:pStyle w:val="ListBullet"/>
      </w:pPr>
      <w:r w:rsidRPr="006B366E">
        <w:rPr>
          <w:b/>
        </w:rPr>
        <w:t>Trigger of change in law provisions</w:t>
      </w:r>
      <w:r>
        <w:rPr>
          <w:b/>
        </w:rPr>
        <w:t xml:space="preserve"> in contracts</w:t>
      </w:r>
      <w:r w:rsidRPr="006B366E">
        <w:rPr>
          <w:b/>
        </w:rPr>
        <w:t>:</w:t>
      </w:r>
      <w:r>
        <w:t xml:space="preserve"> </w:t>
      </w:r>
      <w:r w:rsidR="002B13EB">
        <w:t xml:space="preserve">APA and Jemena </w:t>
      </w:r>
      <w:r>
        <w:t xml:space="preserve">were concerned </w:t>
      </w:r>
      <w:r w:rsidR="002B13EB">
        <w:t xml:space="preserve">that the proposed amendments to the NGL and NGR </w:t>
      </w:r>
      <w:r w:rsidR="00B945B8">
        <w:t>would</w:t>
      </w:r>
      <w:r w:rsidR="002B13EB">
        <w:t xml:space="preserve"> not </w:t>
      </w:r>
      <w:r w:rsidR="00B945B8">
        <w:t xml:space="preserve">be sufficient </w:t>
      </w:r>
      <w:r w:rsidR="002B13EB">
        <w:t xml:space="preserve">to </w:t>
      </w:r>
      <w:r w:rsidR="00B945B8">
        <w:t xml:space="preserve">trigger the change in law provisions in facility agreements and enable the </w:t>
      </w:r>
      <w:r>
        <w:t xml:space="preserve">standard market timetable </w:t>
      </w:r>
      <w:r w:rsidR="00B945B8">
        <w:t xml:space="preserve">to be </w:t>
      </w:r>
      <w:r w:rsidR="00D06EB5">
        <w:t xml:space="preserve">readily </w:t>
      </w:r>
      <w:r w:rsidR="00B945B8">
        <w:t xml:space="preserve">implemented. Elaborating on this further, APA </w:t>
      </w:r>
      <w:r w:rsidR="00B945B8">
        <w:lastRenderedPageBreak/>
        <w:t xml:space="preserve">and Jemena </w:t>
      </w:r>
      <w:r w:rsidR="002B13EB">
        <w:t xml:space="preserve">noted that </w:t>
      </w:r>
      <w:r w:rsidR="00D06EB5">
        <w:t xml:space="preserve">their </w:t>
      </w:r>
      <w:r w:rsidR="002B13EB">
        <w:t>existing change in law provisions do not enable changes to terms and conditions to be automatically made</w:t>
      </w:r>
      <w:r w:rsidR="00D06EB5">
        <w:t>. Rather</w:t>
      </w:r>
      <w:r w:rsidR="002B13EB">
        <w:t xml:space="preserve">, </w:t>
      </w:r>
      <w:r w:rsidR="00D06EB5">
        <w:t xml:space="preserve">their </w:t>
      </w:r>
      <w:r w:rsidR="002B13EB">
        <w:t xml:space="preserve">change in law provisions trigger the need to negotiate amendments to each contract. </w:t>
      </w:r>
    </w:p>
    <w:p w14:paraId="20B3ABA9" w14:textId="77777777" w:rsidR="002B13EB" w:rsidRDefault="00B945B8" w:rsidP="002B13EB">
      <w:pPr>
        <w:pStyle w:val="ListBullet"/>
      </w:pPr>
      <w:r w:rsidRPr="00B945B8">
        <w:rPr>
          <w:b/>
        </w:rPr>
        <w:t>Flow on to downstream contracts:</w:t>
      </w:r>
      <w:r>
        <w:t xml:space="preserve"> </w:t>
      </w:r>
      <w:r w:rsidR="002B13EB">
        <w:t xml:space="preserve">PWC </w:t>
      </w:r>
      <w:r>
        <w:t xml:space="preserve">expressed some </w:t>
      </w:r>
      <w:r w:rsidR="002B13EB">
        <w:t>concern</w:t>
      </w:r>
      <w:r>
        <w:t>s</w:t>
      </w:r>
      <w:r w:rsidR="002B13EB">
        <w:t xml:space="preserve"> about </w:t>
      </w:r>
      <w:r w:rsidR="00D06EB5">
        <w:t xml:space="preserve">a retailer’s </w:t>
      </w:r>
      <w:r w:rsidR="002B13EB">
        <w:t xml:space="preserve">ability to amend downstream contracts to require changes to </w:t>
      </w:r>
      <w:r w:rsidR="00D06EB5">
        <w:t xml:space="preserve">the </w:t>
      </w:r>
      <w:r w:rsidR="002B13EB">
        <w:t xml:space="preserve">gas day </w:t>
      </w:r>
      <w:r w:rsidR="00D06EB5">
        <w:t xml:space="preserve">start time </w:t>
      </w:r>
      <w:r w:rsidR="002B13EB">
        <w:t xml:space="preserve">and nomination cut-off time. </w:t>
      </w:r>
    </w:p>
    <w:p w14:paraId="27CD4066" w14:textId="4F1D84CE" w:rsidR="002B13EB" w:rsidRDefault="00B945B8" w:rsidP="002B13EB">
      <w:pPr>
        <w:pStyle w:val="ListBullet"/>
      </w:pPr>
      <w:r>
        <w:rPr>
          <w:b/>
        </w:rPr>
        <w:t xml:space="preserve">Coordination and management of </w:t>
      </w:r>
      <w:r w:rsidRPr="00B945B8">
        <w:rPr>
          <w:b/>
        </w:rPr>
        <w:t>the transition:</w:t>
      </w:r>
      <w:r>
        <w:t xml:space="preserve"> </w:t>
      </w:r>
      <w:r w:rsidR="002B13EB">
        <w:t xml:space="preserve">Jemena suggested that AEMO play a greater role in coordinating and managing the transition </w:t>
      </w:r>
      <w:r w:rsidR="00D06EB5">
        <w:t>to the standard market tim</w:t>
      </w:r>
      <w:r w:rsidR="00D06EB5" w:rsidRPr="001C59A2">
        <w:t xml:space="preserve">etable </w:t>
      </w:r>
      <w:r w:rsidRPr="001C59A2">
        <w:t xml:space="preserve">and that it be required to </w:t>
      </w:r>
      <w:r w:rsidR="002B13EB" w:rsidRPr="001C59A2">
        <w:t>consult with the market to develop an industry agreed project plan and timetable by 1 April 2019.</w:t>
      </w:r>
    </w:p>
    <w:p w14:paraId="082C3FE8" w14:textId="77777777" w:rsidR="002B13EB" w:rsidRDefault="002B13EB" w:rsidP="002B13EB">
      <w:pPr>
        <w:pStyle w:val="BodyText"/>
      </w:pPr>
      <w:r>
        <w:t>The GMRG’s response to each of these issues is summarised in the table below.</w:t>
      </w:r>
    </w:p>
    <w:p w14:paraId="249C5943" w14:textId="7A7D0A9F" w:rsidR="002B13EB" w:rsidRDefault="002B13EB" w:rsidP="000C5945">
      <w:pPr>
        <w:pStyle w:val="Caption"/>
        <w:spacing w:before="0" w:after="0"/>
      </w:pPr>
      <w:r w:rsidRPr="002C6B4E">
        <w:t xml:space="preserve">Table </w:t>
      </w:r>
      <w:r w:rsidRPr="002C6B4E">
        <w:rPr>
          <w:noProof/>
        </w:rPr>
        <w:t>A</w:t>
      </w:r>
      <w:r w:rsidRPr="002C6B4E">
        <w:t>.</w:t>
      </w:r>
      <w:r w:rsidRPr="002C6B4E">
        <w:rPr>
          <w:noProof/>
        </w:rPr>
        <w:t>1</w:t>
      </w:r>
      <w:r w:rsidR="00EE244C">
        <w:rPr>
          <w:noProof/>
        </w:rPr>
        <w:t>2</w:t>
      </w:r>
      <w:r w:rsidRPr="002C6B4E">
        <w:t>: Response to issues raised on gas day harmonisation</w:t>
      </w:r>
      <w:r>
        <w:t xml:space="preserve"> </w:t>
      </w:r>
    </w:p>
    <w:tbl>
      <w:tblPr>
        <w:tblStyle w:val="TableGrid"/>
        <w:tblW w:w="9214" w:type="dxa"/>
        <w:tblLook w:val="04A0" w:firstRow="1" w:lastRow="0" w:firstColumn="1" w:lastColumn="0" w:noHBand="0" w:noVBand="1"/>
        <w:tblCaption w:val="Response to issues raised about transitioanl rules"/>
        <w:tblDescription w:val="Table of stakeholder concerns and GMRG response"/>
      </w:tblPr>
      <w:tblGrid>
        <w:gridCol w:w="1560"/>
        <w:gridCol w:w="7654"/>
      </w:tblGrid>
      <w:tr w:rsidR="002B13EB" w:rsidRPr="00FB77AC" w14:paraId="58124D55" w14:textId="77777777" w:rsidTr="00FB77AC">
        <w:trPr>
          <w:cnfStyle w:val="100000000000" w:firstRow="1" w:lastRow="0" w:firstColumn="0" w:lastColumn="0" w:oddVBand="0" w:evenVBand="0" w:oddHBand="0" w:evenHBand="0" w:firstRowFirstColumn="0" w:firstRowLastColumn="0" w:lastRowFirstColumn="0" w:lastRowLastColumn="0"/>
          <w:trHeight w:val="153"/>
          <w:tblHeader/>
        </w:trPr>
        <w:tc>
          <w:tcPr>
            <w:tcW w:w="1560" w:type="dxa"/>
            <w:tcBorders>
              <w:top w:val="single" w:sz="4" w:space="0" w:color="auto"/>
              <w:left w:val="nil"/>
              <w:bottom w:val="single" w:sz="4" w:space="0" w:color="auto"/>
              <w:right w:val="single" w:sz="4" w:space="0" w:color="auto"/>
            </w:tcBorders>
            <w:shd w:val="clear" w:color="auto" w:fill="0099CC"/>
            <w:hideMark/>
          </w:tcPr>
          <w:p w14:paraId="1D1918BD" w14:textId="77777777" w:rsidR="002B13EB" w:rsidRPr="00D717EE" w:rsidRDefault="002B13EB" w:rsidP="002B13EB">
            <w:pPr>
              <w:pStyle w:val="BodyText"/>
              <w:keepNext/>
              <w:spacing w:before="60" w:after="60"/>
              <w:rPr>
                <w:szCs w:val="18"/>
              </w:rPr>
            </w:pPr>
            <w:r w:rsidRPr="00D717EE">
              <w:rPr>
                <w:szCs w:val="18"/>
              </w:rPr>
              <w:t>Stakeholder concern</w:t>
            </w:r>
          </w:p>
        </w:tc>
        <w:tc>
          <w:tcPr>
            <w:tcW w:w="7654" w:type="dxa"/>
            <w:tcBorders>
              <w:top w:val="single" w:sz="4" w:space="0" w:color="auto"/>
              <w:left w:val="single" w:sz="4" w:space="0" w:color="auto"/>
              <w:bottom w:val="single" w:sz="4" w:space="0" w:color="auto"/>
              <w:right w:val="nil"/>
            </w:tcBorders>
            <w:shd w:val="clear" w:color="auto" w:fill="0099CC"/>
            <w:hideMark/>
          </w:tcPr>
          <w:p w14:paraId="66D6C361" w14:textId="77777777" w:rsidR="002B13EB" w:rsidRPr="00D717EE" w:rsidRDefault="002B13EB" w:rsidP="002B13EB">
            <w:pPr>
              <w:pStyle w:val="BodyText"/>
              <w:keepNext/>
              <w:spacing w:before="60" w:after="60"/>
              <w:rPr>
                <w:szCs w:val="18"/>
              </w:rPr>
            </w:pPr>
            <w:r w:rsidRPr="00D717EE">
              <w:rPr>
                <w:szCs w:val="18"/>
              </w:rPr>
              <w:t>GMRG response</w:t>
            </w:r>
          </w:p>
        </w:tc>
      </w:tr>
      <w:tr w:rsidR="002B13EB" w:rsidRPr="00FB77AC" w14:paraId="4C17B649" w14:textId="77777777" w:rsidTr="00FB77AC">
        <w:tc>
          <w:tcPr>
            <w:tcW w:w="1560" w:type="dxa"/>
            <w:tcBorders>
              <w:top w:val="single" w:sz="4" w:space="0" w:color="auto"/>
              <w:left w:val="nil"/>
              <w:bottom w:val="single" w:sz="4" w:space="0" w:color="auto"/>
              <w:right w:val="single" w:sz="4" w:space="0" w:color="auto"/>
            </w:tcBorders>
            <w:hideMark/>
          </w:tcPr>
          <w:p w14:paraId="512DA1B3" w14:textId="77777777" w:rsidR="002B13EB" w:rsidRPr="00D717EE" w:rsidRDefault="002B13EB" w:rsidP="002B13EB">
            <w:pPr>
              <w:pStyle w:val="BodyText"/>
              <w:spacing w:before="60" w:after="60"/>
              <w:rPr>
                <w:szCs w:val="18"/>
              </w:rPr>
            </w:pPr>
            <w:r w:rsidRPr="00D717EE">
              <w:rPr>
                <w:szCs w:val="18"/>
              </w:rPr>
              <w:t>Trigger change of law provisions in existing contracts</w:t>
            </w:r>
          </w:p>
        </w:tc>
        <w:tc>
          <w:tcPr>
            <w:tcW w:w="7654" w:type="dxa"/>
            <w:tcBorders>
              <w:top w:val="single" w:sz="4" w:space="0" w:color="auto"/>
              <w:left w:val="single" w:sz="4" w:space="0" w:color="auto"/>
              <w:bottom w:val="single" w:sz="4" w:space="0" w:color="auto"/>
              <w:right w:val="nil"/>
            </w:tcBorders>
            <w:hideMark/>
          </w:tcPr>
          <w:p w14:paraId="5EA1387A" w14:textId="77777777" w:rsidR="002B13EB" w:rsidRPr="00D717EE" w:rsidRDefault="002B13EB" w:rsidP="002B13EB">
            <w:pPr>
              <w:rPr>
                <w:rFonts w:cs="Arial"/>
                <w:szCs w:val="18"/>
              </w:rPr>
            </w:pPr>
            <w:r w:rsidRPr="00D717EE">
              <w:rPr>
                <w:rFonts w:cs="Arial"/>
                <w:szCs w:val="18"/>
              </w:rPr>
              <w:t xml:space="preserve">The GMRG </w:t>
            </w:r>
            <w:r w:rsidR="00871B99" w:rsidRPr="00D717EE">
              <w:rPr>
                <w:rFonts w:cs="Arial"/>
                <w:szCs w:val="18"/>
              </w:rPr>
              <w:t xml:space="preserve">has considered the concerns raised by </w:t>
            </w:r>
            <w:r w:rsidRPr="00D717EE">
              <w:rPr>
                <w:rFonts w:cs="Arial"/>
                <w:szCs w:val="18"/>
              </w:rPr>
              <w:t>APA and Jemena</w:t>
            </w:r>
            <w:r w:rsidR="00871B99" w:rsidRPr="00D717EE">
              <w:rPr>
                <w:rFonts w:cs="Arial"/>
                <w:szCs w:val="18"/>
              </w:rPr>
              <w:t xml:space="preserve"> about the change of law provisions in existing agreements. To address these concerns the following amendments have been made</w:t>
            </w:r>
            <w:r w:rsidR="002C6B4E" w:rsidRPr="00D717EE">
              <w:rPr>
                <w:rFonts w:cs="Arial"/>
                <w:szCs w:val="18"/>
              </w:rPr>
              <w:t xml:space="preserve"> to the NGL and NGR</w:t>
            </w:r>
            <w:r w:rsidR="00871B99" w:rsidRPr="00D717EE">
              <w:rPr>
                <w:rFonts w:cs="Arial"/>
                <w:szCs w:val="18"/>
              </w:rPr>
              <w:t>:</w:t>
            </w:r>
          </w:p>
          <w:p w14:paraId="6A008219" w14:textId="77777777" w:rsidR="002B13EB" w:rsidRPr="00D717EE" w:rsidRDefault="001C59A2" w:rsidP="002C6B4E">
            <w:pPr>
              <w:pStyle w:val="TableBullet1"/>
              <w:rPr>
                <w:szCs w:val="18"/>
              </w:rPr>
            </w:pPr>
            <w:r w:rsidRPr="00D717EE">
              <w:rPr>
                <w:szCs w:val="18"/>
              </w:rPr>
              <w:t xml:space="preserve">The transitional provisions in the </w:t>
            </w:r>
            <w:r w:rsidR="00871B99" w:rsidRPr="00D717EE">
              <w:rPr>
                <w:szCs w:val="18"/>
              </w:rPr>
              <w:t xml:space="preserve">NGL </w:t>
            </w:r>
            <w:r w:rsidRPr="00D717EE">
              <w:rPr>
                <w:szCs w:val="18"/>
              </w:rPr>
              <w:t xml:space="preserve">have </w:t>
            </w:r>
            <w:r w:rsidR="00871B99" w:rsidRPr="00D717EE">
              <w:rPr>
                <w:szCs w:val="18"/>
              </w:rPr>
              <w:t xml:space="preserve">been amended to provide a </w:t>
            </w:r>
            <w:r w:rsidR="002B13EB" w:rsidRPr="00D717EE">
              <w:rPr>
                <w:szCs w:val="18"/>
              </w:rPr>
              <w:t xml:space="preserve">person required to implement the standard market timetable </w:t>
            </w:r>
            <w:r w:rsidR="00871B99" w:rsidRPr="00D717EE">
              <w:rPr>
                <w:szCs w:val="18"/>
              </w:rPr>
              <w:t xml:space="preserve">an immunity from liability for giving effect to the standard market timetable </w:t>
            </w:r>
            <w:r w:rsidR="002B13EB" w:rsidRPr="00D717EE">
              <w:rPr>
                <w:szCs w:val="18"/>
              </w:rPr>
              <w:t xml:space="preserve">under </w:t>
            </w:r>
            <w:r w:rsidR="002C6B4E" w:rsidRPr="00D717EE">
              <w:rPr>
                <w:szCs w:val="18"/>
              </w:rPr>
              <w:t xml:space="preserve">contracts </w:t>
            </w:r>
            <w:r w:rsidR="00871B99" w:rsidRPr="00D717EE">
              <w:rPr>
                <w:szCs w:val="18"/>
              </w:rPr>
              <w:t xml:space="preserve">entered into prior to </w:t>
            </w:r>
            <w:r w:rsidR="002B13EB" w:rsidRPr="00D717EE">
              <w:rPr>
                <w:szCs w:val="18"/>
              </w:rPr>
              <w:t>harmonisation.</w:t>
            </w:r>
          </w:p>
          <w:p w14:paraId="308BFADC" w14:textId="77777777" w:rsidR="001C59A2" w:rsidRPr="00D717EE" w:rsidRDefault="001C59A2" w:rsidP="002C6B4E">
            <w:pPr>
              <w:pStyle w:val="TableBullet1"/>
              <w:rPr>
                <w:szCs w:val="18"/>
              </w:rPr>
            </w:pPr>
            <w:r w:rsidRPr="00D717EE">
              <w:rPr>
                <w:szCs w:val="18"/>
              </w:rPr>
              <w:t>The transitional provisions in the NGR have been amended to:</w:t>
            </w:r>
          </w:p>
          <w:p w14:paraId="0523947B" w14:textId="77777777" w:rsidR="001C59A2" w:rsidRPr="00D717EE" w:rsidRDefault="001C59A2" w:rsidP="001C59A2">
            <w:pPr>
              <w:pStyle w:val="TableBullet2"/>
              <w:rPr>
                <w:szCs w:val="18"/>
              </w:rPr>
            </w:pPr>
            <w:r w:rsidRPr="00D717EE">
              <w:rPr>
                <w:szCs w:val="18"/>
              </w:rPr>
              <w:t xml:space="preserve">Require </w:t>
            </w:r>
            <w:r w:rsidR="002B13EB" w:rsidRPr="00D717EE">
              <w:rPr>
                <w:szCs w:val="18"/>
              </w:rPr>
              <w:t xml:space="preserve">parties to </w:t>
            </w:r>
            <w:r w:rsidR="002C6B4E" w:rsidRPr="00D717EE">
              <w:rPr>
                <w:szCs w:val="18"/>
              </w:rPr>
              <w:t xml:space="preserve">a contract </w:t>
            </w:r>
            <w:r w:rsidR="00871B99" w:rsidRPr="00D717EE">
              <w:rPr>
                <w:szCs w:val="18"/>
              </w:rPr>
              <w:t xml:space="preserve">entered into prior to the commencement of Part 26 </w:t>
            </w:r>
            <w:r w:rsidR="002C6B4E" w:rsidRPr="00D717EE">
              <w:rPr>
                <w:szCs w:val="18"/>
              </w:rPr>
              <w:t xml:space="preserve">that uses a different gas day or nomination cut-off time </w:t>
            </w:r>
            <w:r w:rsidR="00871B99" w:rsidRPr="00D717EE">
              <w:rPr>
                <w:szCs w:val="18"/>
              </w:rPr>
              <w:t xml:space="preserve">to </w:t>
            </w:r>
            <w:r w:rsidR="002B13EB" w:rsidRPr="00D717EE">
              <w:rPr>
                <w:szCs w:val="18"/>
              </w:rPr>
              <w:t xml:space="preserve">negotiate in good faith </w:t>
            </w:r>
            <w:r w:rsidR="00871B99" w:rsidRPr="00D717EE">
              <w:rPr>
                <w:szCs w:val="18"/>
              </w:rPr>
              <w:t>the amendments requirement to give effect to the standard market timetable</w:t>
            </w:r>
            <w:r w:rsidRPr="00D717EE">
              <w:rPr>
                <w:szCs w:val="18"/>
              </w:rPr>
              <w:t>; and</w:t>
            </w:r>
          </w:p>
          <w:p w14:paraId="4103DBE5" w14:textId="77777777" w:rsidR="002B13EB" w:rsidRPr="00D717EE" w:rsidRDefault="001C59A2" w:rsidP="001C59A2">
            <w:pPr>
              <w:pStyle w:val="TableBullet2"/>
              <w:rPr>
                <w:szCs w:val="18"/>
              </w:rPr>
            </w:pPr>
            <w:r w:rsidRPr="00D717EE">
              <w:rPr>
                <w:szCs w:val="18"/>
              </w:rPr>
              <w:t xml:space="preserve">Allow </w:t>
            </w:r>
            <w:r w:rsidR="002B13EB" w:rsidRPr="00D717EE">
              <w:rPr>
                <w:szCs w:val="18"/>
              </w:rPr>
              <w:t xml:space="preserve">parties to refer </w:t>
            </w:r>
            <w:r w:rsidR="002C6B4E" w:rsidRPr="00D717EE">
              <w:rPr>
                <w:szCs w:val="18"/>
              </w:rPr>
              <w:t xml:space="preserve">any </w:t>
            </w:r>
            <w:r w:rsidR="002B13EB" w:rsidRPr="00D717EE">
              <w:rPr>
                <w:szCs w:val="18"/>
              </w:rPr>
              <w:t xml:space="preserve">dispute or disagreement about the amendments for determination by an expert or by other alternative dispute resolution mechanism agreed by the parties.  </w:t>
            </w:r>
          </w:p>
        </w:tc>
      </w:tr>
      <w:tr w:rsidR="002B13EB" w:rsidRPr="00FB77AC" w14:paraId="60D7A399" w14:textId="77777777" w:rsidTr="001C59A2">
        <w:trPr>
          <w:cnfStyle w:val="000000010000" w:firstRow="0" w:lastRow="0" w:firstColumn="0" w:lastColumn="0" w:oddVBand="0" w:evenVBand="0" w:oddHBand="0" w:evenHBand="1" w:firstRowFirstColumn="0" w:firstRowLastColumn="0" w:lastRowFirstColumn="0" w:lastRowLastColumn="0"/>
        </w:trPr>
        <w:tc>
          <w:tcPr>
            <w:tcW w:w="1560" w:type="dxa"/>
            <w:tcBorders>
              <w:top w:val="single" w:sz="4" w:space="0" w:color="auto"/>
              <w:left w:val="nil"/>
              <w:bottom w:val="single" w:sz="4" w:space="0" w:color="auto"/>
              <w:right w:val="single" w:sz="4" w:space="0" w:color="auto"/>
            </w:tcBorders>
            <w:hideMark/>
          </w:tcPr>
          <w:p w14:paraId="44B8DD0B" w14:textId="77777777" w:rsidR="002B13EB" w:rsidRPr="00D717EE" w:rsidRDefault="002B13EB" w:rsidP="002B13EB">
            <w:pPr>
              <w:pStyle w:val="BodyText"/>
              <w:spacing w:before="60" w:after="60"/>
              <w:rPr>
                <w:szCs w:val="18"/>
              </w:rPr>
            </w:pPr>
            <w:r w:rsidRPr="00D717EE">
              <w:rPr>
                <w:szCs w:val="18"/>
              </w:rPr>
              <w:t xml:space="preserve">Ability to amend contracts with downstream customers </w:t>
            </w:r>
          </w:p>
        </w:tc>
        <w:tc>
          <w:tcPr>
            <w:tcW w:w="7654" w:type="dxa"/>
            <w:tcBorders>
              <w:top w:val="single" w:sz="4" w:space="0" w:color="auto"/>
              <w:left w:val="single" w:sz="4" w:space="0" w:color="auto"/>
              <w:bottom w:val="single" w:sz="4" w:space="0" w:color="auto"/>
              <w:right w:val="nil"/>
            </w:tcBorders>
          </w:tcPr>
          <w:p w14:paraId="0304D6A0" w14:textId="77777777" w:rsidR="002C6B4E" w:rsidRPr="00D717EE" w:rsidRDefault="002C6B4E" w:rsidP="002C6B4E">
            <w:pPr>
              <w:pStyle w:val="BodyText"/>
              <w:spacing w:before="60" w:after="60"/>
              <w:rPr>
                <w:szCs w:val="18"/>
              </w:rPr>
            </w:pPr>
            <w:r w:rsidRPr="00D717EE">
              <w:rPr>
                <w:szCs w:val="18"/>
              </w:rPr>
              <w:t xml:space="preserve">To address the concerns raised by PWC, the amendments to </w:t>
            </w:r>
            <w:r w:rsidR="001C59A2" w:rsidRPr="00D717EE">
              <w:rPr>
                <w:szCs w:val="18"/>
              </w:rPr>
              <w:t xml:space="preserve">the transitional provisions in the NGR </w:t>
            </w:r>
            <w:r w:rsidRPr="00D717EE">
              <w:rPr>
                <w:szCs w:val="18"/>
              </w:rPr>
              <w:t xml:space="preserve">apply to any </w:t>
            </w:r>
            <w:r w:rsidR="002B13EB" w:rsidRPr="00D717EE">
              <w:rPr>
                <w:szCs w:val="18"/>
              </w:rPr>
              <w:t xml:space="preserve">contract </w:t>
            </w:r>
            <w:r w:rsidRPr="00D717EE">
              <w:rPr>
                <w:szCs w:val="18"/>
              </w:rPr>
              <w:t>entered into prior to the commencement of Part 26 that relates to:</w:t>
            </w:r>
          </w:p>
          <w:p w14:paraId="6BAA739E" w14:textId="77777777" w:rsidR="002C6B4E" w:rsidRPr="00D717EE" w:rsidRDefault="002C6B4E" w:rsidP="002C6B4E">
            <w:pPr>
              <w:pStyle w:val="TableBullet1"/>
              <w:rPr>
                <w:szCs w:val="18"/>
              </w:rPr>
            </w:pPr>
            <w:r w:rsidRPr="00D717EE">
              <w:rPr>
                <w:szCs w:val="18"/>
              </w:rPr>
              <w:t>the provision of a service provided by a Part 26 facility; and</w:t>
            </w:r>
          </w:p>
          <w:p w14:paraId="052256C9" w14:textId="77777777" w:rsidR="002C6B4E" w:rsidRPr="00D717EE" w:rsidRDefault="002C6B4E" w:rsidP="002C6B4E">
            <w:pPr>
              <w:pStyle w:val="TableBullet1"/>
              <w:rPr>
                <w:szCs w:val="18"/>
              </w:rPr>
            </w:pPr>
            <w:r w:rsidRPr="00D717EE">
              <w:rPr>
                <w:szCs w:val="18"/>
              </w:rPr>
              <w:t>the supply of gas to a connected facility.</w:t>
            </w:r>
          </w:p>
          <w:p w14:paraId="11681418" w14:textId="77777777" w:rsidR="002B13EB" w:rsidRPr="00D717EE" w:rsidRDefault="002B13EB" w:rsidP="002C6B4E">
            <w:pPr>
              <w:pStyle w:val="BodyText"/>
              <w:spacing w:before="60" w:after="60"/>
              <w:rPr>
                <w:szCs w:val="18"/>
              </w:rPr>
            </w:pPr>
            <w:r w:rsidRPr="00D717EE">
              <w:rPr>
                <w:szCs w:val="18"/>
              </w:rPr>
              <w:t>Th</w:t>
            </w:r>
            <w:r w:rsidR="002C6B4E" w:rsidRPr="00D717EE">
              <w:rPr>
                <w:szCs w:val="18"/>
              </w:rPr>
              <w:t xml:space="preserve">e inclusion of this latter limb is </w:t>
            </w:r>
            <w:r w:rsidRPr="00D717EE">
              <w:rPr>
                <w:szCs w:val="18"/>
              </w:rPr>
              <w:t xml:space="preserve">intended to capture </w:t>
            </w:r>
            <w:r w:rsidR="002C6B4E" w:rsidRPr="00D717EE">
              <w:rPr>
                <w:szCs w:val="18"/>
              </w:rPr>
              <w:t xml:space="preserve">downstream </w:t>
            </w:r>
            <w:r w:rsidRPr="00D717EE">
              <w:rPr>
                <w:szCs w:val="18"/>
              </w:rPr>
              <w:t xml:space="preserve">agreements. </w:t>
            </w:r>
          </w:p>
        </w:tc>
      </w:tr>
      <w:tr w:rsidR="001C59A2" w:rsidRPr="00FB77AC" w14:paraId="5CFD4276" w14:textId="77777777" w:rsidTr="001C59A2">
        <w:tc>
          <w:tcPr>
            <w:tcW w:w="1560" w:type="dxa"/>
            <w:tcBorders>
              <w:top w:val="single" w:sz="4" w:space="0" w:color="auto"/>
              <w:left w:val="nil"/>
              <w:right w:val="single" w:sz="4" w:space="0" w:color="auto"/>
            </w:tcBorders>
            <w:hideMark/>
          </w:tcPr>
          <w:p w14:paraId="4BAC1E57" w14:textId="77777777" w:rsidR="001C59A2" w:rsidRPr="00D717EE" w:rsidRDefault="001C59A2" w:rsidP="000C5945">
            <w:pPr>
              <w:pStyle w:val="BodyText"/>
              <w:spacing w:before="60" w:after="60"/>
              <w:rPr>
                <w:szCs w:val="18"/>
              </w:rPr>
            </w:pPr>
            <w:r w:rsidRPr="00D717EE">
              <w:rPr>
                <w:szCs w:val="18"/>
              </w:rPr>
              <w:t>Coordination between interconnected facilities and AEMO</w:t>
            </w:r>
          </w:p>
        </w:tc>
        <w:tc>
          <w:tcPr>
            <w:tcW w:w="7654" w:type="dxa"/>
            <w:tcBorders>
              <w:top w:val="single" w:sz="4" w:space="0" w:color="auto"/>
              <w:left w:val="single" w:sz="4" w:space="0" w:color="auto"/>
              <w:bottom w:val="single" w:sz="4" w:space="0" w:color="auto"/>
              <w:right w:val="nil"/>
            </w:tcBorders>
            <w:shd w:val="clear" w:color="auto" w:fill="auto"/>
            <w:hideMark/>
          </w:tcPr>
          <w:p w14:paraId="2514CFD1" w14:textId="77777777" w:rsidR="001C59A2" w:rsidRPr="00D717EE" w:rsidRDefault="001C59A2" w:rsidP="000C5945">
            <w:pPr>
              <w:pStyle w:val="BodyText"/>
              <w:spacing w:before="60" w:after="60"/>
              <w:rPr>
                <w:szCs w:val="18"/>
              </w:rPr>
            </w:pPr>
            <w:r w:rsidRPr="00D717EE">
              <w:rPr>
                <w:szCs w:val="18"/>
              </w:rPr>
              <w:t>While the GMRG appreciates some of the concerns that Jemena has raised about the coordination and management of the transition to the standard market timetable, in its view affected parties should be incentivised to work together and coordinate their activities to make the required changes in line with the information AEMO publishes regarding the transition of the gas markets.</w:t>
            </w:r>
          </w:p>
          <w:p w14:paraId="2A754118" w14:textId="77777777" w:rsidR="001C59A2" w:rsidRPr="00D717EE" w:rsidRDefault="001C59A2" w:rsidP="000C5945">
            <w:pPr>
              <w:pStyle w:val="BodyText"/>
              <w:spacing w:before="60" w:after="60"/>
              <w:rPr>
                <w:szCs w:val="18"/>
              </w:rPr>
            </w:pPr>
            <w:r w:rsidRPr="00D717EE">
              <w:rPr>
                <w:szCs w:val="18"/>
              </w:rPr>
              <w:t xml:space="preserve">The GMRG is therefore satisfied that the concerns raised by Jemena can be adequately dealt with by requiring: </w:t>
            </w:r>
          </w:p>
          <w:p w14:paraId="6F4F0A16" w14:textId="77777777" w:rsidR="001C59A2" w:rsidRPr="00D717EE" w:rsidRDefault="001C59A2" w:rsidP="000C5945">
            <w:pPr>
              <w:pStyle w:val="TableBullet1"/>
              <w:rPr>
                <w:szCs w:val="18"/>
              </w:rPr>
            </w:pPr>
            <w:r w:rsidRPr="00D717EE">
              <w:rPr>
                <w:szCs w:val="18"/>
              </w:rPr>
              <w:t xml:space="preserve">AEMO to publish information about the transition of each facilitated gas market by 1 April 2019 and to consult with interested parties before doing so. </w:t>
            </w:r>
          </w:p>
          <w:p w14:paraId="4642DC10" w14:textId="77777777" w:rsidR="001C59A2" w:rsidRPr="00D717EE" w:rsidRDefault="001C59A2" w:rsidP="000C5945">
            <w:pPr>
              <w:pStyle w:val="TableBullet1"/>
              <w:rPr>
                <w:szCs w:val="18"/>
              </w:rPr>
            </w:pPr>
            <w:r w:rsidRPr="00D717EE">
              <w:rPr>
                <w:szCs w:val="18"/>
              </w:rPr>
              <w:t>facility operators to publish information on the transition prior to 30 June 2019 (noting that this information can be updated if required).</w:t>
            </w:r>
          </w:p>
          <w:p w14:paraId="0E012536" w14:textId="77777777" w:rsidR="001C59A2" w:rsidRPr="00D717EE" w:rsidRDefault="001C59A2" w:rsidP="000C5945">
            <w:pPr>
              <w:pStyle w:val="BodyText"/>
              <w:spacing w:before="60" w:after="60"/>
              <w:rPr>
                <w:szCs w:val="18"/>
              </w:rPr>
            </w:pPr>
            <w:r w:rsidRPr="00D717EE">
              <w:rPr>
                <w:szCs w:val="18"/>
              </w:rPr>
              <w:t xml:space="preserve">While Jemena has suggested that AEMO should determine the cut-off date for the publication of information by facility operators, the GMRG Is of the view that this date should be specified in the NGR to provide affected parties with greater certainty about the arrangements. </w:t>
            </w:r>
          </w:p>
        </w:tc>
      </w:tr>
    </w:tbl>
    <w:p w14:paraId="3C9D58F5" w14:textId="77777777" w:rsidR="00020DF5" w:rsidRPr="005F6769" w:rsidRDefault="00020DF5" w:rsidP="000C5945">
      <w:pPr>
        <w:pStyle w:val="AppendixHeading2"/>
        <w:spacing w:before="120"/>
        <w:rPr>
          <w:color w:val="0099CC"/>
        </w:rPr>
      </w:pPr>
      <w:bookmarkStart w:id="197" w:name="_Toc518473983"/>
      <w:r>
        <w:rPr>
          <w:color w:val="0099CC"/>
        </w:rPr>
        <w:lastRenderedPageBreak/>
        <w:t xml:space="preserve">Other </w:t>
      </w:r>
      <w:r w:rsidRPr="005F6769">
        <w:rPr>
          <w:color w:val="0099CC"/>
        </w:rPr>
        <w:t xml:space="preserve">feedback </w:t>
      </w:r>
      <w:bookmarkEnd w:id="197"/>
    </w:p>
    <w:p w14:paraId="7B6A78BB" w14:textId="77777777" w:rsidR="00020DF5" w:rsidRDefault="00020DF5" w:rsidP="00020DF5">
      <w:pPr>
        <w:pStyle w:val="BodyText"/>
      </w:pPr>
      <w:r>
        <w:t>In addition to the feedback outlined above, stakeholders made the following observations about the capacity trading reform package:</w:t>
      </w:r>
    </w:p>
    <w:p w14:paraId="3EA693F2" w14:textId="77777777" w:rsidR="00020DF5" w:rsidRPr="00020DF5" w:rsidRDefault="00020DF5" w:rsidP="00020DF5">
      <w:pPr>
        <w:pStyle w:val="ListBullet"/>
      </w:pPr>
      <w:r>
        <w:rPr>
          <w:b/>
        </w:rPr>
        <w:t>Governance arrangements:</w:t>
      </w:r>
    </w:p>
    <w:p w14:paraId="1786880D" w14:textId="77777777" w:rsidR="00020DF5" w:rsidRDefault="00020DF5" w:rsidP="00020DF5">
      <w:pPr>
        <w:pStyle w:val="ListBullet2"/>
      </w:pPr>
      <w:r>
        <w:rPr>
          <w:b/>
        </w:rPr>
        <w:t xml:space="preserve">AER’s </w:t>
      </w:r>
      <w:r w:rsidR="00C76434">
        <w:rPr>
          <w:b/>
        </w:rPr>
        <w:t xml:space="preserve">compliance monitoring </w:t>
      </w:r>
      <w:r>
        <w:rPr>
          <w:b/>
        </w:rPr>
        <w:t>role</w:t>
      </w:r>
      <w:r>
        <w:t xml:space="preserve">: </w:t>
      </w:r>
      <w:r w:rsidRPr="00E11EF3">
        <w:t>Various</w:t>
      </w:r>
      <w:r>
        <w:t xml:space="preserve"> stakeholders highlighted the significant role that the AER will have in monitoring </w:t>
      </w:r>
      <w:r w:rsidR="00C76434">
        <w:t xml:space="preserve">the </w:t>
      </w:r>
      <w:r>
        <w:t xml:space="preserve">compliance </w:t>
      </w:r>
      <w:r w:rsidR="00C76434">
        <w:t xml:space="preserve">of market participants and transportation service providers </w:t>
      </w:r>
      <w:r>
        <w:t xml:space="preserve">with the reforms, and </w:t>
      </w:r>
      <w:r w:rsidR="00C76434">
        <w:t xml:space="preserve">noted </w:t>
      </w:r>
      <w:r>
        <w:t xml:space="preserve">the need </w:t>
      </w:r>
      <w:r w:rsidR="00C76434">
        <w:t xml:space="preserve">for the </w:t>
      </w:r>
      <w:r>
        <w:t xml:space="preserve">AER </w:t>
      </w:r>
      <w:r w:rsidR="00C76434">
        <w:t xml:space="preserve">to be </w:t>
      </w:r>
      <w:r>
        <w:t xml:space="preserve">adequately resourced to </w:t>
      </w:r>
      <w:r w:rsidR="00C76434">
        <w:t xml:space="preserve">perform this </w:t>
      </w:r>
      <w:r>
        <w:t>role.</w:t>
      </w:r>
    </w:p>
    <w:p w14:paraId="1F1E2C19" w14:textId="77777777" w:rsidR="00020DF5" w:rsidRDefault="00020DF5" w:rsidP="00020DF5">
      <w:pPr>
        <w:pStyle w:val="ListBullet2"/>
      </w:pPr>
      <w:r>
        <w:rPr>
          <w:b/>
        </w:rPr>
        <w:t>AEMO’s role</w:t>
      </w:r>
      <w:r>
        <w:t xml:space="preserve">: A number of service providers raised concerns around the breadth of AEMO’s powers under the reform package and the decision to leave some of the detail of the reforms to be dealt with through procedures rather than the NGR.  </w:t>
      </w:r>
    </w:p>
    <w:p w14:paraId="638E7899" w14:textId="15CFF2E7" w:rsidR="00020DF5" w:rsidRDefault="00020DF5" w:rsidP="00020DF5">
      <w:pPr>
        <w:pStyle w:val="ListBullet"/>
      </w:pPr>
      <w:r>
        <w:rPr>
          <w:b/>
        </w:rPr>
        <w:t xml:space="preserve">Implementation </w:t>
      </w:r>
      <w:r w:rsidR="00CA5190">
        <w:rPr>
          <w:b/>
        </w:rPr>
        <w:t>approach</w:t>
      </w:r>
      <w:r>
        <w:t>:</w:t>
      </w:r>
      <w:r>
        <w:rPr>
          <w:b/>
        </w:rPr>
        <w:t xml:space="preserve"> </w:t>
      </w:r>
      <w:r w:rsidR="006A33F5">
        <w:t xml:space="preserve">A number of </w:t>
      </w:r>
      <w:r w:rsidR="00CA5190" w:rsidRPr="00CA5190">
        <w:t>s</w:t>
      </w:r>
      <w:r w:rsidR="00F54C5A" w:rsidRPr="00CA5190">
        <w:t>ervice providers and</w:t>
      </w:r>
      <w:r w:rsidR="00F54C5A">
        <w:t xml:space="preserve"> </w:t>
      </w:r>
      <w:r>
        <w:t xml:space="preserve">stakeholders </w:t>
      </w:r>
      <w:r w:rsidR="006A33F5">
        <w:t xml:space="preserve">claimed there were </w:t>
      </w:r>
      <w:r>
        <w:t xml:space="preserve">risks associated with </w:t>
      </w:r>
      <w:r w:rsidR="00CA5190">
        <w:t xml:space="preserve">implementing both the capacity trading platform and </w:t>
      </w:r>
      <w:r w:rsidR="00142468">
        <w:t xml:space="preserve">day-ahead </w:t>
      </w:r>
      <w:r w:rsidR="00CA5190">
        <w:t xml:space="preserve">auction on 1 March 2019 </w:t>
      </w:r>
      <w:r>
        <w:t>and suggested that</w:t>
      </w:r>
      <w:r w:rsidR="00CA5190">
        <w:t xml:space="preserve"> </w:t>
      </w:r>
      <w:r>
        <w:t xml:space="preserve">a staged approach </w:t>
      </w:r>
      <w:r w:rsidR="00CA5190">
        <w:t xml:space="preserve">be </w:t>
      </w:r>
      <w:r>
        <w:t xml:space="preserve">adopted. </w:t>
      </w:r>
    </w:p>
    <w:p w14:paraId="6BB5644A" w14:textId="77777777" w:rsidR="00020DF5" w:rsidRPr="00780F80" w:rsidRDefault="00020DF5" w:rsidP="00D7026C">
      <w:pPr>
        <w:pStyle w:val="ListBullet"/>
      </w:pPr>
      <w:r w:rsidRPr="00F54C5A">
        <w:rPr>
          <w:b/>
        </w:rPr>
        <w:t>Post-implementation review</w:t>
      </w:r>
      <w:r>
        <w:t xml:space="preserve">: </w:t>
      </w:r>
      <w:r w:rsidR="00F54C5A">
        <w:t xml:space="preserve">A number of </w:t>
      </w:r>
      <w:r>
        <w:t>s</w:t>
      </w:r>
      <w:r w:rsidRPr="00E11EF3">
        <w:t>takeholders</w:t>
      </w:r>
      <w:r>
        <w:t xml:space="preserve"> noted the importance of conducting a post-implementation review to assess </w:t>
      </w:r>
      <w:r w:rsidRPr="00780F80">
        <w:t>the</w:t>
      </w:r>
      <w:r>
        <w:t xml:space="preserve"> </w:t>
      </w:r>
      <w:r w:rsidR="00F54C5A">
        <w:t xml:space="preserve">effectiveness of the </w:t>
      </w:r>
      <w:r>
        <w:t>reforms</w:t>
      </w:r>
      <w:r w:rsidR="00F54C5A">
        <w:t xml:space="preserve"> and whether any further refinements to the reform package are required</w:t>
      </w:r>
      <w:r w:rsidRPr="00780F80">
        <w:t>.</w:t>
      </w:r>
      <w:r>
        <w:t xml:space="preserve"> </w:t>
      </w:r>
      <w:r w:rsidR="006A33F5">
        <w:t xml:space="preserve">A number also noted the importance of </w:t>
      </w:r>
      <w:r w:rsidR="00F54C5A">
        <w:t>consider</w:t>
      </w:r>
      <w:r w:rsidR="006A33F5">
        <w:t>ing</w:t>
      </w:r>
      <w:r w:rsidR="00F54C5A">
        <w:t xml:space="preserve"> </w:t>
      </w:r>
      <w:r>
        <w:t xml:space="preserve">whether the benefits of the reforms </w:t>
      </w:r>
      <w:r w:rsidR="00F54C5A">
        <w:t xml:space="preserve">have been </w:t>
      </w:r>
      <w:r>
        <w:t xml:space="preserve">passed on to consumers. </w:t>
      </w:r>
    </w:p>
    <w:p w14:paraId="28D55B80" w14:textId="3BE8D305" w:rsidR="00020DF5" w:rsidRDefault="00F54C5A" w:rsidP="00F54C5A">
      <w:pPr>
        <w:pStyle w:val="ListBullet"/>
      </w:pPr>
      <w:r>
        <w:rPr>
          <w:b/>
        </w:rPr>
        <w:t>Contractual requirements</w:t>
      </w:r>
      <w:r w:rsidR="00020DF5">
        <w:t xml:space="preserve">: </w:t>
      </w:r>
      <w:r w:rsidR="00142468">
        <w:t xml:space="preserve">One stakeholder </w:t>
      </w:r>
      <w:r w:rsidR="00020DF5">
        <w:t xml:space="preserve">noted the potential </w:t>
      </w:r>
      <w:r>
        <w:t xml:space="preserve">for </w:t>
      </w:r>
      <w:r w:rsidR="006A33F5">
        <w:t xml:space="preserve">all </w:t>
      </w:r>
      <w:r>
        <w:t xml:space="preserve">the </w:t>
      </w:r>
      <w:r w:rsidR="00020DF5">
        <w:t xml:space="preserve">contractual </w:t>
      </w:r>
      <w:r>
        <w:t xml:space="preserve">arrangements that shippers must enter into to use the capacity trading platform and the auction to </w:t>
      </w:r>
      <w:r w:rsidR="00020DF5">
        <w:t xml:space="preserve">act as a barrier to </w:t>
      </w:r>
      <w:r w:rsidR="00656026">
        <w:t>trade</w:t>
      </w:r>
      <w:r w:rsidR="00020DF5">
        <w:t xml:space="preserve"> for some shippers.</w:t>
      </w:r>
      <w:r>
        <w:t xml:space="preserve"> </w:t>
      </w:r>
      <w:r w:rsidR="00142468">
        <w:t xml:space="preserve">This stakeholder </w:t>
      </w:r>
      <w:r>
        <w:t xml:space="preserve">therefore suggested that </w:t>
      </w:r>
      <w:r w:rsidR="00020DF5">
        <w:t>the agreements and processes for entry into those agreements be as simple and user-friendly as possible.</w:t>
      </w:r>
    </w:p>
    <w:p w14:paraId="1C2417A4" w14:textId="77777777" w:rsidR="00020DF5" w:rsidRDefault="00020DF5" w:rsidP="00020DF5">
      <w:pPr>
        <w:pStyle w:val="BodyText"/>
      </w:pPr>
      <w:r>
        <w:t>The GMRG’s response</w:t>
      </w:r>
      <w:r w:rsidR="00F54C5A">
        <w:t>s</w:t>
      </w:r>
      <w:r>
        <w:t xml:space="preserve"> to the</w:t>
      </w:r>
      <w:r w:rsidR="00F54C5A">
        <w:t>se</w:t>
      </w:r>
      <w:r>
        <w:t xml:space="preserve"> issues is summarised in the table below.</w:t>
      </w:r>
    </w:p>
    <w:p w14:paraId="2FABB5C3" w14:textId="63170398" w:rsidR="00020DF5" w:rsidRPr="00FF0C08" w:rsidRDefault="00020DF5" w:rsidP="00D63834">
      <w:pPr>
        <w:pStyle w:val="Caption"/>
        <w:spacing w:after="0"/>
        <w:rPr>
          <w:b w:val="0"/>
        </w:rPr>
      </w:pPr>
      <w:r w:rsidRPr="006A33F5">
        <w:t>Table A.1</w:t>
      </w:r>
      <w:r w:rsidR="00EE244C">
        <w:t>3</w:t>
      </w:r>
      <w:r w:rsidRPr="006A33F5">
        <w:t xml:space="preserve">: </w:t>
      </w:r>
      <w:r w:rsidR="00F54C5A" w:rsidRPr="006A33F5">
        <w:t>GMRG’s r</w:t>
      </w:r>
      <w:r w:rsidRPr="006A33F5">
        <w:t xml:space="preserve">esponse to </w:t>
      </w:r>
      <w:r w:rsidR="00F54C5A" w:rsidRPr="006A33F5">
        <w:t xml:space="preserve">other </w:t>
      </w:r>
      <w:r w:rsidRPr="006A33F5">
        <w:t>feedback</w:t>
      </w:r>
      <w:r>
        <w:t xml:space="preserve"> </w:t>
      </w:r>
    </w:p>
    <w:tbl>
      <w:tblPr>
        <w:tblStyle w:val="TableGrid"/>
        <w:tblW w:w="9214" w:type="dxa"/>
        <w:tblLayout w:type="fixed"/>
        <w:tblLook w:val="04A0" w:firstRow="1" w:lastRow="0" w:firstColumn="1" w:lastColumn="0" w:noHBand="0" w:noVBand="1"/>
      </w:tblPr>
      <w:tblGrid>
        <w:gridCol w:w="1286"/>
        <w:gridCol w:w="841"/>
        <w:gridCol w:w="7087"/>
      </w:tblGrid>
      <w:tr w:rsidR="00020DF5" w:rsidRPr="00992062" w14:paraId="7812BB33" w14:textId="77777777" w:rsidTr="000C5945">
        <w:trPr>
          <w:cnfStyle w:val="100000000000" w:firstRow="1" w:lastRow="0" w:firstColumn="0" w:lastColumn="0" w:oddVBand="0" w:evenVBand="0" w:oddHBand="0" w:evenHBand="0" w:firstRowFirstColumn="0" w:firstRowLastColumn="0" w:lastRowFirstColumn="0" w:lastRowLastColumn="0"/>
        </w:trPr>
        <w:tc>
          <w:tcPr>
            <w:tcW w:w="2127" w:type="dxa"/>
            <w:gridSpan w:val="2"/>
            <w:tcBorders>
              <w:bottom w:val="single" w:sz="4" w:space="0" w:color="auto"/>
            </w:tcBorders>
            <w:shd w:val="clear" w:color="auto" w:fill="0099CC"/>
          </w:tcPr>
          <w:p w14:paraId="6968C2BE" w14:textId="77777777" w:rsidR="00020DF5" w:rsidRPr="00992062" w:rsidRDefault="00020DF5" w:rsidP="006E24F8">
            <w:pPr>
              <w:pStyle w:val="TableHeading"/>
            </w:pPr>
            <w:r w:rsidRPr="00992062">
              <w:t>Stakeholder concern</w:t>
            </w:r>
          </w:p>
        </w:tc>
        <w:tc>
          <w:tcPr>
            <w:tcW w:w="7087" w:type="dxa"/>
            <w:tcBorders>
              <w:bottom w:val="single" w:sz="4" w:space="0" w:color="auto"/>
            </w:tcBorders>
            <w:shd w:val="clear" w:color="auto" w:fill="0099CC"/>
          </w:tcPr>
          <w:p w14:paraId="7303E91C" w14:textId="77777777" w:rsidR="00020DF5" w:rsidRPr="00992062" w:rsidRDefault="00020DF5" w:rsidP="006E24F8">
            <w:pPr>
              <w:pStyle w:val="TableHeading"/>
            </w:pPr>
            <w:r w:rsidRPr="00992062">
              <w:t>GMRG response</w:t>
            </w:r>
          </w:p>
        </w:tc>
      </w:tr>
      <w:tr w:rsidR="00D63834" w:rsidRPr="00992062" w14:paraId="0DB436EE" w14:textId="77777777" w:rsidTr="000C5945">
        <w:tc>
          <w:tcPr>
            <w:tcW w:w="1286" w:type="dxa"/>
            <w:vMerge w:val="restart"/>
            <w:shd w:val="clear" w:color="auto" w:fill="auto"/>
          </w:tcPr>
          <w:p w14:paraId="01A48041" w14:textId="77777777" w:rsidR="00D63834" w:rsidRPr="00D63834" w:rsidRDefault="00D63834" w:rsidP="006E24F8">
            <w:pPr>
              <w:pStyle w:val="TableBodyText"/>
              <w:rPr>
                <w:szCs w:val="20"/>
                <w:lang w:val="en-US" w:eastAsia="en-US"/>
              </w:rPr>
            </w:pPr>
            <w:r>
              <w:rPr>
                <w:szCs w:val="20"/>
                <w:lang w:val="en-US" w:eastAsia="en-US"/>
              </w:rPr>
              <w:t>Governance arrangements</w:t>
            </w:r>
          </w:p>
        </w:tc>
        <w:tc>
          <w:tcPr>
            <w:tcW w:w="841" w:type="dxa"/>
            <w:shd w:val="clear" w:color="auto" w:fill="auto"/>
          </w:tcPr>
          <w:p w14:paraId="1ED8E04F" w14:textId="77777777" w:rsidR="00D63834" w:rsidRPr="00D63834" w:rsidRDefault="00D63834" w:rsidP="006E24F8">
            <w:pPr>
              <w:pStyle w:val="TableBodyText"/>
              <w:rPr>
                <w:szCs w:val="20"/>
                <w:lang w:val="en-US" w:eastAsia="en-US"/>
              </w:rPr>
            </w:pPr>
            <w:r>
              <w:rPr>
                <w:szCs w:val="20"/>
                <w:lang w:val="en-US" w:eastAsia="en-US"/>
              </w:rPr>
              <w:t>AER’s role</w:t>
            </w:r>
          </w:p>
        </w:tc>
        <w:tc>
          <w:tcPr>
            <w:tcW w:w="7087" w:type="dxa"/>
            <w:shd w:val="clear" w:color="auto" w:fill="auto"/>
          </w:tcPr>
          <w:p w14:paraId="0121EE00" w14:textId="051CA9FC" w:rsidR="00D63834" w:rsidRPr="00992062" w:rsidRDefault="00D63834" w:rsidP="006E24F8">
            <w:pPr>
              <w:pStyle w:val="TableBodyText"/>
            </w:pPr>
            <w:r>
              <w:t xml:space="preserve">The GMRG agrees with stakeholders that the AER has a vital role in monitoring compliance with the reforms and that it should be adequately resourced to do so. To this end, the GMRG has worked closely with the AER to ensure that it has sufficient powers to monitor compliance and has also recommended </w:t>
            </w:r>
            <w:r w:rsidR="006A33F5">
              <w:t xml:space="preserve">to the Energy Council </w:t>
            </w:r>
            <w:r>
              <w:t xml:space="preserve">that the AER be </w:t>
            </w:r>
            <w:r w:rsidR="00700609">
              <w:t>adequately resourced</w:t>
            </w:r>
            <w:r>
              <w:t xml:space="preserve"> to </w:t>
            </w:r>
            <w:r w:rsidR="000C5945">
              <w:t>undertake</w:t>
            </w:r>
            <w:r>
              <w:t xml:space="preserve"> its new </w:t>
            </w:r>
            <w:r w:rsidR="000C5945">
              <w:t xml:space="preserve">functions </w:t>
            </w:r>
            <w:r>
              <w:t xml:space="preserve">under the reform package. </w:t>
            </w:r>
          </w:p>
        </w:tc>
      </w:tr>
      <w:tr w:rsidR="00D63834" w:rsidRPr="00992062" w14:paraId="111C8C9D" w14:textId="77777777" w:rsidTr="000C5945">
        <w:trPr>
          <w:cnfStyle w:val="000000010000" w:firstRow="0" w:lastRow="0" w:firstColumn="0" w:lastColumn="0" w:oddVBand="0" w:evenVBand="0" w:oddHBand="0" w:evenHBand="1" w:firstRowFirstColumn="0" w:firstRowLastColumn="0" w:lastRowFirstColumn="0" w:lastRowLastColumn="0"/>
        </w:trPr>
        <w:tc>
          <w:tcPr>
            <w:tcW w:w="1286" w:type="dxa"/>
            <w:vMerge/>
            <w:tcBorders>
              <w:bottom w:val="single" w:sz="4" w:space="0" w:color="auto"/>
            </w:tcBorders>
            <w:shd w:val="clear" w:color="auto" w:fill="auto"/>
          </w:tcPr>
          <w:p w14:paraId="55ABF7C7" w14:textId="77777777" w:rsidR="00D63834" w:rsidRDefault="00D63834" w:rsidP="006E24F8">
            <w:pPr>
              <w:pStyle w:val="TableBodyText"/>
              <w:rPr>
                <w:szCs w:val="20"/>
                <w:lang w:val="en-US" w:eastAsia="en-US"/>
              </w:rPr>
            </w:pPr>
          </w:p>
        </w:tc>
        <w:tc>
          <w:tcPr>
            <w:tcW w:w="841" w:type="dxa"/>
            <w:tcBorders>
              <w:bottom w:val="single" w:sz="4" w:space="0" w:color="auto"/>
            </w:tcBorders>
            <w:shd w:val="clear" w:color="auto" w:fill="auto"/>
          </w:tcPr>
          <w:p w14:paraId="414D7A8A" w14:textId="77777777" w:rsidR="00D63834" w:rsidRDefault="00D63834" w:rsidP="006E24F8">
            <w:pPr>
              <w:pStyle w:val="TableBodyText"/>
              <w:keepNext/>
              <w:rPr>
                <w:szCs w:val="20"/>
                <w:lang w:val="en-US" w:eastAsia="en-US"/>
              </w:rPr>
            </w:pPr>
            <w:r>
              <w:rPr>
                <w:szCs w:val="20"/>
                <w:lang w:val="en-US" w:eastAsia="en-US"/>
              </w:rPr>
              <w:t>AEMO’s powers</w:t>
            </w:r>
          </w:p>
        </w:tc>
        <w:tc>
          <w:tcPr>
            <w:tcW w:w="7087" w:type="dxa"/>
            <w:tcBorders>
              <w:bottom w:val="single" w:sz="4" w:space="0" w:color="auto"/>
            </w:tcBorders>
            <w:shd w:val="clear" w:color="auto" w:fill="auto"/>
          </w:tcPr>
          <w:p w14:paraId="5462D387" w14:textId="77777777" w:rsidR="00D63834" w:rsidRPr="00134AE5" w:rsidRDefault="00D63834" w:rsidP="006E24F8">
            <w:pPr>
              <w:pStyle w:val="TableBodyText"/>
              <w:keepNext/>
            </w:pPr>
            <w:r>
              <w:t xml:space="preserve">The GMRG has considered the concerns raised by service providers about the breadth of AEMO’s powers, however, as </w:t>
            </w:r>
            <w:r w:rsidRPr="00134AE5">
              <w:t xml:space="preserve">operator of the exchange and day-ahead auction, </w:t>
            </w:r>
            <w:r>
              <w:t xml:space="preserve">it is important that </w:t>
            </w:r>
            <w:r w:rsidRPr="00134AE5">
              <w:t xml:space="preserve">AEMO </w:t>
            </w:r>
            <w:r>
              <w:t xml:space="preserve">have the </w:t>
            </w:r>
            <w:r w:rsidRPr="00134AE5">
              <w:t>power</w:t>
            </w:r>
            <w:r>
              <w:t>s</w:t>
            </w:r>
            <w:r w:rsidRPr="00134AE5">
              <w:t xml:space="preserve"> </w:t>
            </w:r>
            <w:r>
              <w:t xml:space="preserve">required </w:t>
            </w:r>
            <w:r w:rsidRPr="00134AE5">
              <w:t xml:space="preserve">to perform </w:t>
            </w:r>
            <w:r>
              <w:t xml:space="preserve">these </w:t>
            </w:r>
            <w:r w:rsidRPr="00134AE5">
              <w:t>role</w:t>
            </w:r>
            <w:r>
              <w:t>s</w:t>
            </w:r>
            <w:r w:rsidRPr="00134AE5">
              <w:t xml:space="preserve">. </w:t>
            </w:r>
            <w:r>
              <w:t xml:space="preserve">In the GMRG’s view the appropriate balance has been struck in this regard. </w:t>
            </w:r>
          </w:p>
          <w:p w14:paraId="6E59C240" w14:textId="77777777" w:rsidR="00D63834" w:rsidRPr="00134AE5" w:rsidRDefault="00D63834" w:rsidP="006E24F8">
            <w:pPr>
              <w:pStyle w:val="TableBodyText"/>
              <w:keepNext/>
            </w:pPr>
            <w:r>
              <w:t xml:space="preserve">The GMRG is also of the view that the appropriate balance has been struck in relation to the matters that are dealt with in the NGL, the NGR, the Regulations and the </w:t>
            </w:r>
            <w:r>
              <w:lastRenderedPageBreak/>
              <w:t>AEMO-made procedures</w:t>
            </w:r>
            <w:r w:rsidR="00CA5190">
              <w:t xml:space="preserve">. While some </w:t>
            </w:r>
            <w:r w:rsidRPr="00134AE5">
              <w:t xml:space="preserve">concerns </w:t>
            </w:r>
            <w:r w:rsidR="00CA5190">
              <w:t xml:space="preserve">have been raised </w:t>
            </w:r>
            <w:r w:rsidRPr="00134AE5">
              <w:t xml:space="preserve">about </w:t>
            </w:r>
            <w:r w:rsidR="00CA5190">
              <w:t xml:space="preserve">the </w:t>
            </w:r>
            <w:r>
              <w:t xml:space="preserve">number of </w:t>
            </w:r>
            <w:r w:rsidRPr="00134AE5">
              <w:t xml:space="preserve">matters </w:t>
            </w:r>
            <w:r w:rsidR="00CA5190">
              <w:t xml:space="preserve">to be dealt with in </w:t>
            </w:r>
            <w:r w:rsidRPr="00134AE5">
              <w:t xml:space="preserve">procedures, </w:t>
            </w:r>
            <w:r>
              <w:t xml:space="preserve">the </w:t>
            </w:r>
            <w:r w:rsidRPr="00134AE5">
              <w:t xml:space="preserve">GMRG notes that: </w:t>
            </w:r>
          </w:p>
          <w:p w14:paraId="047DF3C9" w14:textId="77777777" w:rsidR="00CA5190" w:rsidRDefault="00CA5190" w:rsidP="006E24F8">
            <w:pPr>
              <w:pStyle w:val="TableBullet1"/>
              <w:keepNext/>
            </w:pPr>
            <w:r>
              <w:t xml:space="preserve">the </w:t>
            </w:r>
            <w:r w:rsidR="00D63834" w:rsidRPr="00134AE5">
              <w:t xml:space="preserve">matters </w:t>
            </w:r>
            <w:r>
              <w:t xml:space="preserve">to be dealt with </w:t>
            </w:r>
            <w:r w:rsidR="00D63834" w:rsidRPr="00134AE5">
              <w:t xml:space="preserve">in </w:t>
            </w:r>
            <w:r>
              <w:t>the p</w:t>
            </w:r>
            <w:r w:rsidR="00D63834" w:rsidRPr="00134AE5">
              <w:t xml:space="preserve">rocedures are too detailed for inclusion in the </w:t>
            </w:r>
            <w:r>
              <w:t>NGR;</w:t>
            </w:r>
          </w:p>
          <w:p w14:paraId="6EFE1419" w14:textId="7E9A39E5" w:rsidR="00D63834" w:rsidRDefault="00CA5190" w:rsidP="006E24F8">
            <w:pPr>
              <w:pStyle w:val="TableBullet1"/>
              <w:keepNext/>
            </w:pPr>
            <w:r>
              <w:t xml:space="preserve">when developing the </w:t>
            </w:r>
            <w:r w:rsidR="006B537E">
              <w:t>CT&amp;A P</w:t>
            </w:r>
            <w:r>
              <w:t>rocedures AEMO will be required to have regard to the principles set out in the NGR, which will place some constraints on the matters dealt with in the procedures; and</w:t>
            </w:r>
          </w:p>
          <w:p w14:paraId="2455F81F" w14:textId="77777777" w:rsidR="00D63834" w:rsidRPr="00CA5190" w:rsidRDefault="00CA5190" w:rsidP="006E24F8">
            <w:pPr>
              <w:pStyle w:val="TableBullet1"/>
              <w:keepNext/>
            </w:pPr>
            <w:r w:rsidRPr="00134AE5">
              <w:t xml:space="preserve">AEMO </w:t>
            </w:r>
            <w:r>
              <w:t xml:space="preserve">will be required to consult with stakeholders when developing the procedures. </w:t>
            </w:r>
          </w:p>
        </w:tc>
      </w:tr>
      <w:tr w:rsidR="00CA5190" w:rsidRPr="00992062" w14:paraId="59C15944" w14:textId="77777777" w:rsidTr="000C5945">
        <w:tc>
          <w:tcPr>
            <w:tcW w:w="2127" w:type="dxa"/>
            <w:gridSpan w:val="2"/>
            <w:tcBorders>
              <w:bottom w:val="single" w:sz="4" w:space="0" w:color="auto"/>
            </w:tcBorders>
            <w:shd w:val="clear" w:color="auto" w:fill="E1E2E7" w:themeFill="background2"/>
          </w:tcPr>
          <w:p w14:paraId="0F4B243A" w14:textId="77777777" w:rsidR="00CA5190" w:rsidRPr="00D63834" w:rsidRDefault="00CA5190" w:rsidP="006E24F8">
            <w:pPr>
              <w:pStyle w:val="TableBodyText"/>
            </w:pPr>
            <w:r>
              <w:lastRenderedPageBreak/>
              <w:t>I</w:t>
            </w:r>
            <w:r w:rsidRPr="00D63834">
              <w:t>mplementation</w:t>
            </w:r>
            <w:r>
              <w:t xml:space="preserve"> approach</w:t>
            </w:r>
          </w:p>
        </w:tc>
        <w:tc>
          <w:tcPr>
            <w:tcW w:w="7087" w:type="dxa"/>
            <w:tcBorders>
              <w:bottom w:val="single" w:sz="4" w:space="0" w:color="auto"/>
            </w:tcBorders>
            <w:shd w:val="clear" w:color="auto" w:fill="E1E2E7" w:themeFill="background2"/>
          </w:tcPr>
          <w:p w14:paraId="50B97998" w14:textId="77777777" w:rsidR="00CA5190" w:rsidRDefault="00CA5190" w:rsidP="006E24F8">
            <w:pPr>
              <w:pStyle w:val="TableBodyText"/>
            </w:pPr>
            <w:r>
              <w:t xml:space="preserve">On </w:t>
            </w:r>
            <w:r w:rsidRPr="001F0D67">
              <w:t>24 November 2017</w:t>
            </w:r>
            <w:r>
              <w:t xml:space="preserve">, the Energy Council agreed that the capacity trading platform and day-ahead auction should commence on 1 March 2019. </w:t>
            </w:r>
            <w:r w:rsidRPr="001F0D67">
              <w:t xml:space="preserve">The GMRG </w:t>
            </w:r>
            <w:r w:rsidR="006A33F5">
              <w:t xml:space="preserve">has </w:t>
            </w:r>
            <w:r>
              <w:t xml:space="preserve">progressed the implementation of the reforms on </w:t>
            </w:r>
            <w:r w:rsidR="006A33F5">
              <w:t xml:space="preserve">this </w:t>
            </w:r>
            <w:r>
              <w:t xml:space="preserve">basis </w:t>
            </w:r>
            <w:r w:rsidR="006A33F5">
              <w:t xml:space="preserve">and </w:t>
            </w:r>
            <w:r w:rsidRPr="001F0D67">
              <w:t>significant work has been undertaken to ensure that market bodies</w:t>
            </w:r>
            <w:r>
              <w:t xml:space="preserve"> and participants</w:t>
            </w:r>
            <w:r w:rsidRPr="001F0D67">
              <w:t xml:space="preserve"> are prepared when the reforms take effect. </w:t>
            </w:r>
          </w:p>
          <w:p w14:paraId="767AA2B8" w14:textId="77777777" w:rsidR="00CA5190" w:rsidRPr="00992062" w:rsidRDefault="00CA5190" w:rsidP="006E24F8">
            <w:pPr>
              <w:pStyle w:val="TableBodyText"/>
            </w:pPr>
            <w:r w:rsidRPr="001F0D67">
              <w:t xml:space="preserve">The GMRG understands that significant effort from industry </w:t>
            </w:r>
            <w:r>
              <w:t xml:space="preserve">is still required to implement the reforms, but </w:t>
            </w:r>
            <w:r w:rsidR="008E4E39">
              <w:t xml:space="preserve">is of the view </w:t>
            </w:r>
            <w:r>
              <w:t xml:space="preserve">that there </w:t>
            </w:r>
            <w:r w:rsidR="008E4E39">
              <w:t xml:space="preserve">is </w:t>
            </w:r>
            <w:r>
              <w:t xml:space="preserve">sufficient time </w:t>
            </w:r>
            <w:r w:rsidR="008E4E39">
              <w:t>to do so</w:t>
            </w:r>
            <w:r>
              <w:t>.</w:t>
            </w:r>
            <w:r w:rsidR="008E4E39">
              <w:t xml:space="preserve"> The GMRG does not therefore consider it necessary to adopt a staged approach to implementation.</w:t>
            </w:r>
          </w:p>
        </w:tc>
      </w:tr>
      <w:tr w:rsidR="00020DF5" w:rsidRPr="00992062" w14:paraId="2C9D7132" w14:textId="77777777" w:rsidTr="000C5945">
        <w:trPr>
          <w:cnfStyle w:val="000000010000" w:firstRow="0" w:lastRow="0" w:firstColumn="0" w:lastColumn="0" w:oddVBand="0" w:evenVBand="0" w:oddHBand="0" w:evenHBand="1" w:firstRowFirstColumn="0" w:firstRowLastColumn="0" w:lastRowFirstColumn="0" w:lastRowLastColumn="0"/>
        </w:trPr>
        <w:tc>
          <w:tcPr>
            <w:tcW w:w="2127" w:type="dxa"/>
            <w:gridSpan w:val="2"/>
            <w:tcBorders>
              <w:bottom w:val="single" w:sz="4" w:space="0" w:color="auto"/>
            </w:tcBorders>
            <w:shd w:val="clear" w:color="auto" w:fill="auto"/>
          </w:tcPr>
          <w:p w14:paraId="698A593F" w14:textId="77777777" w:rsidR="00020DF5" w:rsidRPr="00D63834" w:rsidRDefault="00020DF5" w:rsidP="006E24F8">
            <w:pPr>
              <w:pStyle w:val="TableBodyText"/>
            </w:pPr>
            <w:r w:rsidRPr="00D63834">
              <w:t>Post-implementation review</w:t>
            </w:r>
          </w:p>
        </w:tc>
        <w:tc>
          <w:tcPr>
            <w:tcW w:w="7087" w:type="dxa"/>
            <w:tcBorders>
              <w:bottom w:val="single" w:sz="4" w:space="0" w:color="auto"/>
            </w:tcBorders>
            <w:shd w:val="clear" w:color="auto" w:fill="auto"/>
          </w:tcPr>
          <w:p w14:paraId="7B8EB407" w14:textId="77777777" w:rsidR="00020DF5" w:rsidRPr="00992062" w:rsidRDefault="00020DF5" w:rsidP="006E24F8">
            <w:pPr>
              <w:pStyle w:val="TableBodyText"/>
            </w:pPr>
            <w:r>
              <w:t xml:space="preserve">The GMRG notes that </w:t>
            </w:r>
            <w:r w:rsidRPr="002211A0">
              <w:t xml:space="preserve">SCO is </w:t>
            </w:r>
            <w:r w:rsidR="006A33F5">
              <w:t xml:space="preserve">expected </w:t>
            </w:r>
            <w:r w:rsidRPr="002211A0">
              <w:t>to undertake</w:t>
            </w:r>
            <w:r>
              <w:t xml:space="preserve"> a post-implementation review of the capacity trading reforms </w:t>
            </w:r>
            <w:r w:rsidRPr="002211A0">
              <w:t>two years following implementation</w:t>
            </w:r>
            <w:r>
              <w:t xml:space="preserve"> (expected to be in 2021). </w:t>
            </w:r>
            <w:r w:rsidR="006A33F5">
              <w:t>A</w:t>
            </w:r>
            <w:r>
              <w:t>s part of this process</w:t>
            </w:r>
            <w:r w:rsidR="006A33F5">
              <w:t>,</w:t>
            </w:r>
            <w:r>
              <w:t xml:space="preserve"> SCO</w:t>
            </w:r>
            <w:r w:rsidRPr="002211A0">
              <w:t xml:space="preserve"> </w:t>
            </w:r>
            <w:r w:rsidR="006A33F5">
              <w:t xml:space="preserve">is expected to </w:t>
            </w:r>
            <w:r w:rsidRPr="002211A0">
              <w:t xml:space="preserve">assess whether the </w:t>
            </w:r>
            <w:r w:rsidR="006A33F5">
              <w:t xml:space="preserve">reforms are working as intended or </w:t>
            </w:r>
            <w:r w:rsidRPr="002211A0">
              <w:t xml:space="preserve">if further </w:t>
            </w:r>
            <w:r w:rsidR="008E4E39">
              <w:t>reforms or refinements</w:t>
            </w:r>
            <w:r w:rsidRPr="002211A0">
              <w:t xml:space="preserve"> </w:t>
            </w:r>
            <w:r w:rsidR="008E4E39">
              <w:t xml:space="preserve">are </w:t>
            </w:r>
            <w:r w:rsidRPr="002211A0">
              <w:t>required</w:t>
            </w:r>
            <w:r>
              <w:t>.</w:t>
            </w:r>
            <w:r w:rsidRPr="00450AB4">
              <w:rPr>
                <w:rFonts w:ascii="ArialMT" w:hAnsi="ArialMT"/>
                <w:sz w:val="20"/>
                <w:szCs w:val="20"/>
                <w:lang w:val="en-US" w:eastAsia="en-US"/>
              </w:rPr>
              <w:t xml:space="preserve"> </w:t>
            </w:r>
            <w:r w:rsidRPr="00535BBA">
              <w:rPr>
                <w:lang w:val="en-US" w:eastAsia="en-US"/>
              </w:rPr>
              <w:t>This review will be informed by the AEMC’s second biennial review into the growth in liquidity in wholesale gas and pipeline trading markets due to be completed in mid-2020.</w:t>
            </w:r>
            <w:r>
              <w:t xml:space="preserve"> </w:t>
            </w:r>
          </w:p>
        </w:tc>
      </w:tr>
      <w:tr w:rsidR="00020DF5" w:rsidRPr="00992062" w14:paraId="23C202A3" w14:textId="77777777" w:rsidTr="000C5945">
        <w:tc>
          <w:tcPr>
            <w:tcW w:w="2127" w:type="dxa"/>
            <w:gridSpan w:val="2"/>
            <w:shd w:val="clear" w:color="auto" w:fill="E1E2E7" w:themeFill="background2"/>
          </w:tcPr>
          <w:p w14:paraId="2F0C605C" w14:textId="77777777" w:rsidR="00020DF5" w:rsidRPr="00D63834" w:rsidRDefault="008E4E39" w:rsidP="006E24F8">
            <w:pPr>
              <w:pStyle w:val="TableBodyText"/>
            </w:pPr>
            <w:r>
              <w:t>Contractual requirements</w:t>
            </w:r>
          </w:p>
        </w:tc>
        <w:tc>
          <w:tcPr>
            <w:tcW w:w="7087" w:type="dxa"/>
            <w:shd w:val="clear" w:color="auto" w:fill="E1E2E7" w:themeFill="background2"/>
          </w:tcPr>
          <w:p w14:paraId="08D9710F" w14:textId="77777777" w:rsidR="00020DF5" w:rsidRDefault="00020DF5" w:rsidP="006E24F8">
            <w:pPr>
              <w:pStyle w:val="TableBodyText"/>
            </w:pPr>
            <w:r>
              <w:t xml:space="preserve">The GMRG </w:t>
            </w:r>
            <w:r w:rsidR="008E4E39">
              <w:t>understands</w:t>
            </w:r>
            <w:r>
              <w:t xml:space="preserve"> that </w:t>
            </w:r>
            <w:r w:rsidR="008E4E39">
              <w:t xml:space="preserve">putting in place the contractual arrangements required to use the capacity trading platform and auction will require some effort on the part of shippers. Where possible, the </w:t>
            </w:r>
            <w:r>
              <w:t>GMRG has</w:t>
            </w:r>
            <w:r w:rsidR="008E4E39">
              <w:t xml:space="preserve"> sought </w:t>
            </w:r>
            <w:r>
              <w:t xml:space="preserve">to make </w:t>
            </w:r>
            <w:r w:rsidR="00656026">
              <w:t xml:space="preserve">the </w:t>
            </w:r>
            <w:r>
              <w:t xml:space="preserve">process </w:t>
            </w:r>
            <w:r w:rsidR="00656026">
              <w:t xml:space="preserve">for entering into these agreements </w:t>
            </w:r>
            <w:r>
              <w:t>as simple as possible</w:t>
            </w:r>
            <w:r w:rsidR="00656026">
              <w:t xml:space="preserve">. </w:t>
            </w:r>
            <w:r w:rsidR="006A33F5">
              <w:t>In this regard, it is worth noting that</w:t>
            </w:r>
            <w:r>
              <w:t xml:space="preserve">: </w:t>
            </w:r>
          </w:p>
          <w:p w14:paraId="18D2F271" w14:textId="77777777" w:rsidR="00020DF5" w:rsidRDefault="006A33F5" w:rsidP="006E24F8">
            <w:pPr>
              <w:pStyle w:val="TableBullet1"/>
            </w:pPr>
            <w:r>
              <w:t xml:space="preserve">a number </w:t>
            </w:r>
            <w:r w:rsidR="00020DF5">
              <w:t xml:space="preserve">of </w:t>
            </w:r>
            <w:r>
              <w:t xml:space="preserve">the </w:t>
            </w:r>
            <w:r w:rsidR="00020DF5">
              <w:t xml:space="preserve">agreements </w:t>
            </w:r>
            <w:r>
              <w:t xml:space="preserve">shippers will need to enter into </w:t>
            </w:r>
            <w:r w:rsidR="00020DF5">
              <w:t>will be standard-form agreements (</w:t>
            </w:r>
            <w:r>
              <w:t xml:space="preserve">i.e. the </w:t>
            </w:r>
            <w:r w:rsidR="00656026">
              <w:t>Exchange A</w:t>
            </w:r>
            <w:r w:rsidR="00020DF5">
              <w:t>greement</w:t>
            </w:r>
            <w:r>
              <w:t>,</w:t>
            </w:r>
            <w:r w:rsidR="00020DF5">
              <w:t xml:space="preserve"> auction agreement and</w:t>
            </w:r>
            <w:r>
              <w:t xml:space="preserve"> </w:t>
            </w:r>
            <w:r w:rsidR="00020DF5">
              <w:t>OTSA</w:t>
            </w:r>
            <w:r>
              <w:t>s</w:t>
            </w:r>
            <w:r w:rsidR="00020DF5">
              <w:t>); and</w:t>
            </w:r>
          </w:p>
          <w:p w14:paraId="6FAB900C" w14:textId="77777777" w:rsidR="00656026" w:rsidRPr="00384010" w:rsidRDefault="00020DF5" w:rsidP="006E24F8">
            <w:pPr>
              <w:pStyle w:val="TableBullet1"/>
            </w:pPr>
            <w:r>
              <w:t>shippers will only be required to execute the agreements relevant to trading operational transportation services that they require</w:t>
            </w:r>
            <w:r w:rsidR="00656026">
              <w:t xml:space="preserve"> (f</w:t>
            </w:r>
            <w:r>
              <w:t>or example, shippers not wishing to participate in the auction will not need to execute the auction agreement</w:t>
            </w:r>
            <w:r w:rsidR="00656026">
              <w:t>)</w:t>
            </w:r>
            <w:r>
              <w:t>.</w:t>
            </w:r>
          </w:p>
        </w:tc>
      </w:tr>
    </w:tbl>
    <w:p w14:paraId="64EBFECE" w14:textId="5AE0B788" w:rsidR="00871B99" w:rsidRDefault="00871B99" w:rsidP="00FB77AC">
      <w:pPr>
        <w:pStyle w:val="BodyText"/>
        <w:rPr>
          <w:sz w:val="2"/>
          <w:szCs w:val="2"/>
        </w:rPr>
      </w:pPr>
    </w:p>
    <w:p w14:paraId="308C3404" w14:textId="449E14A3" w:rsidR="006E24F8" w:rsidRPr="005F6769" w:rsidRDefault="006E24F8" w:rsidP="006E24F8">
      <w:pPr>
        <w:pStyle w:val="AppendixHeading2"/>
        <w:spacing w:before="0"/>
        <w:rPr>
          <w:color w:val="0099CC"/>
        </w:rPr>
      </w:pPr>
      <w:r w:rsidRPr="005F6769">
        <w:rPr>
          <w:color w:val="0099CC"/>
        </w:rPr>
        <w:t xml:space="preserve">Feedback on </w:t>
      </w:r>
      <w:r w:rsidR="00E17AFC">
        <w:rPr>
          <w:color w:val="0099CC"/>
        </w:rPr>
        <w:t xml:space="preserve">the proposed </w:t>
      </w:r>
      <w:r>
        <w:rPr>
          <w:color w:val="0099CC"/>
        </w:rPr>
        <w:t>drafting</w:t>
      </w:r>
      <w:r w:rsidR="00E17AFC">
        <w:rPr>
          <w:color w:val="0099CC"/>
        </w:rPr>
        <w:t xml:space="preserve"> of the legal and regulatory instruments</w:t>
      </w:r>
    </w:p>
    <w:p w14:paraId="3FA30947" w14:textId="00CBEC59" w:rsidR="006E24F8" w:rsidRDefault="006E24F8" w:rsidP="006E24F8">
      <w:pPr>
        <w:pStyle w:val="BodyText"/>
      </w:pPr>
      <w:r>
        <w:rPr>
          <w:lang w:val="en-US" w:eastAsia="en-US"/>
        </w:rPr>
        <w:t>The tables on the following pages provide a summary of the feedback stakeholders provided on the proposed drafting of the NGL, NGR, Regulations and Code</w:t>
      </w:r>
      <w:r w:rsidR="00E17AFC">
        <w:rPr>
          <w:lang w:val="en-US" w:eastAsia="en-US"/>
        </w:rPr>
        <w:t xml:space="preserve"> </w:t>
      </w:r>
      <w:r>
        <w:rPr>
          <w:lang w:val="en-US" w:eastAsia="en-US"/>
        </w:rPr>
        <w:t xml:space="preserve">and the GMRG’s responses to this feedback. </w:t>
      </w:r>
    </w:p>
    <w:p w14:paraId="6E1C74D8" w14:textId="68AFE9A3" w:rsidR="006E24F8" w:rsidRDefault="006E24F8" w:rsidP="006E24F8">
      <w:pPr>
        <w:pStyle w:val="BodyText"/>
      </w:pPr>
      <w:r>
        <w:t xml:space="preserve">Note that there have been some changes to the numbering of provisions in the NGL, NGR, Regulations and Code between the draft that was published in March 2018 and the final that was approved by the Energy Council. The section, rule and clause numbers in the tables on the following pages may therefore differ from those appearing in the final package. </w:t>
      </w:r>
    </w:p>
    <w:p w14:paraId="54BB7508" w14:textId="77777777" w:rsidR="006E24F8" w:rsidRDefault="006E24F8" w:rsidP="006E24F8">
      <w:pPr>
        <w:pStyle w:val="BodyText"/>
        <w:spacing w:before="120" w:line="252" w:lineRule="auto"/>
      </w:pPr>
    </w:p>
    <w:p w14:paraId="3685A9C5" w14:textId="77777777" w:rsidR="006E24F8" w:rsidRDefault="006E24F8" w:rsidP="006E24F8">
      <w:pPr>
        <w:pStyle w:val="BodyText"/>
        <w:spacing w:before="120" w:line="252" w:lineRule="auto"/>
        <w:sectPr w:rsidR="006E24F8" w:rsidSect="00576962">
          <w:headerReference w:type="default" r:id="rId62"/>
          <w:footerReference w:type="default" r:id="rId63"/>
          <w:pgSz w:w="11907" w:h="16839" w:code="9"/>
          <w:pgMar w:top="1701" w:right="1418" w:bottom="993" w:left="1701" w:header="425" w:footer="397" w:gutter="0"/>
          <w:cols w:space="708"/>
          <w:docGrid w:linePitch="360"/>
        </w:sectPr>
      </w:pPr>
    </w:p>
    <w:p w14:paraId="40CEB9B1" w14:textId="69438998" w:rsidR="006E24F8" w:rsidRDefault="006E24F8" w:rsidP="006E24F8">
      <w:pPr>
        <w:pStyle w:val="Caption"/>
        <w:spacing w:after="0"/>
      </w:pPr>
      <w:r>
        <w:lastRenderedPageBreak/>
        <w:t>Table A.</w:t>
      </w:r>
      <w:r>
        <w:rPr>
          <w:noProof/>
        </w:rPr>
        <w:t>14</w:t>
      </w:r>
      <w:r>
        <w:t>: Exemptions and registr</w:t>
      </w:r>
      <w:r w:rsidRPr="00A93D5B">
        <w:t>ation: Feedback on the NGL, Regulations and NGR</w:t>
      </w:r>
    </w:p>
    <w:tbl>
      <w:tblPr>
        <w:tblStyle w:val="TableGrid"/>
        <w:tblW w:w="5011" w:type="pct"/>
        <w:tblLook w:val="04A0" w:firstRow="1" w:lastRow="0" w:firstColumn="1" w:lastColumn="0" w:noHBand="0" w:noVBand="1"/>
      </w:tblPr>
      <w:tblGrid>
        <w:gridCol w:w="1659"/>
        <w:gridCol w:w="5652"/>
        <w:gridCol w:w="6439"/>
      </w:tblGrid>
      <w:tr w:rsidR="006E24F8" w:rsidRPr="00992062" w14:paraId="075031D7" w14:textId="77777777" w:rsidTr="006E24F8">
        <w:trPr>
          <w:cnfStyle w:val="100000000000" w:firstRow="1" w:lastRow="0" w:firstColumn="0" w:lastColumn="0" w:oddVBand="0" w:evenVBand="0" w:oddHBand="0" w:evenHBand="0" w:firstRowFirstColumn="0" w:firstRowLastColumn="0" w:lastRowFirstColumn="0" w:lastRowLastColumn="0"/>
          <w:trHeight w:val="70"/>
          <w:tblHeader/>
        </w:trPr>
        <w:tc>
          <w:tcPr>
            <w:tcW w:w="1659" w:type="dxa"/>
            <w:tcBorders>
              <w:bottom w:val="single" w:sz="4" w:space="0" w:color="auto"/>
            </w:tcBorders>
            <w:shd w:val="clear" w:color="auto" w:fill="0099CC"/>
          </w:tcPr>
          <w:p w14:paraId="55B68DF2" w14:textId="77777777" w:rsidR="006E24F8" w:rsidRPr="005C759A" w:rsidRDefault="006E24F8" w:rsidP="00983327">
            <w:pPr>
              <w:pStyle w:val="BodyText"/>
              <w:spacing w:before="20" w:after="60" w:line="240" w:lineRule="auto"/>
              <w:rPr>
                <w:rFonts w:cs="Arial"/>
                <w:szCs w:val="18"/>
              </w:rPr>
            </w:pPr>
            <w:r w:rsidRPr="005C759A">
              <w:rPr>
                <w:rFonts w:cs="Arial"/>
                <w:szCs w:val="18"/>
              </w:rPr>
              <w:t>Provision</w:t>
            </w:r>
          </w:p>
        </w:tc>
        <w:tc>
          <w:tcPr>
            <w:tcW w:w="5652" w:type="dxa"/>
            <w:tcBorders>
              <w:bottom w:val="single" w:sz="4" w:space="0" w:color="auto"/>
            </w:tcBorders>
            <w:shd w:val="clear" w:color="auto" w:fill="0099CC"/>
          </w:tcPr>
          <w:p w14:paraId="5770642A" w14:textId="77777777" w:rsidR="006E24F8" w:rsidRPr="00992062" w:rsidRDefault="006E24F8" w:rsidP="00983327">
            <w:pPr>
              <w:pStyle w:val="BodyText"/>
              <w:spacing w:before="20" w:after="60" w:line="240" w:lineRule="auto"/>
              <w:rPr>
                <w:rFonts w:cs="Arial"/>
                <w:szCs w:val="18"/>
              </w:rPr>
            </w:pPr>
            <w:r w:rsidRPr="00992062">
              <w:rPr>
                <w:rFonts w:cs="Arial"/>
                <w:szCs w:val="18"/>
              </w:rPr>
              <w:t>Stakeholder concern</w:t>
            </w:r>
          </w:p>
        </w:tc>
        <w:tc>
          <w:tcPr>
            <w:tcW w:w="6439" w:type="dxa"/>
            <w:tcBorders>
              <w:bottom w:val="single" w:sz="4" w:space="0" w:color="auto"/>
            </w:tcBorders>
            <w:shd w:val="clear" w:color="auto" w:fill="0099CC"/>
          </w:tcPr>
          <w:p w14:paraId="0DBF84A4" w14:textId="77777777" w:rsidR="006E24F8" w:rsidRPr="00992062" w:rsidRDefault="006E24F8" w:rsidP="00983327">
            <w:pPr>
              <w:pStyle w:val="BodyText"/>
              <w:spacing w:before="20" w:after="60" w:line="240" w:lineRule="auto"/>
              <w:rPr>
                <w:rFonts w:cs="Arial"/>
                <w:szCs w:val="18"/>
              </w:rPr>
            </w:pPr>
            <w:r w:rsidRPr="00992062">
              <w:rPr>
                <w:rFonts w:cs="Arial"/>
                <w:szCs w:val="18"/>
              </w:rPr>
              <w:t>GMRG response</w:t>
            </w:r>
          </w:p>
        </w:tc>
      </w:tr>
      <w:tr w:rsidR="006E24F8" w:rsidRPr="005C356D" w14:paraId="29096051" w14:textId="77777777" w:rsidTr="006E24F8">
        <w:trPr>
          <w:trHeight w:val="70"/>
        </w:trPr>
        <w:tc>
          <w:tcPr>
            <w:tcW w:w="13750" w:type="dxa"/>
            <w:gridSpan w:val="3"/>
            <w:shd w:val="clear" w:color="auto" w:fill="65697F" w:themeFill="background2" w:themeFillShade="80"/>
            <w:vAlign w:val="center"/>
          </w:tcPr>
          <w:p w14:paraId="2A94C9AB" w14:textId="77777777" w:rsidR="006E24F8" w:rsidRPr="005C356D" w:rsidRDefault="006E24F8" w:rsidP="00983327">
            <w:pPr>
              <w:pStyle w:val="BodyText"/>
              <w:spacing w:before="20" w:after="40" w:line="240" w:lineRule="auto"/>
              <w:jc w:val="center"/>
              <w:rPr>
                <w:b/>
                <w:color w:val="FFFFFF" w:themeColor="background1"/>
              </w:rPr>
            </w:pPr>
            <w:r w:rsidRPr="005C356D">
              <w:rPr>
                <w:b/>
                <w:color w:val="FFFFFF" w:themeColor="background1"/>
              </w:rPr>
              <w:t>NGL</w:t>
            </w:r>
          </w:p>
        </w:tc>
      </w:tr>
      <w:tr w:rsidR="006E24F8" w:rsidRPr="000A4A7B" w14:paraId="45F1D99D" w14:textId="77777777" w:rsidTr="006E24F8">
        <w:trPr>
          <w:cnfStyle w:val="000000010000" w:firstRow="0" w:lastRow="0" w:firstColumn="0" w:lastColumn="0" w:oddVBand="0" w:evenVBand="0" w:oddHBand="0" w:evenHBand="1" w:firstRowFirstColumn="0" w:firstRowLastColumn="0" w:lastRowFirstColumn="0" w:lastRowLastColumn="0"/>
          <w:trHeight w:val="708"/>
        </w:trPr>
        <w:tc>
          <w:tcPr>
            <w:tcW w:w="1659" w:type="dxa"/>
            <w:vAlign w:val="center"/>
          </w:tcPr>
          <w:p w14:paraId="67C0C9EE" w14:textId="77777777" w:rsidR="006E24F8" w:rsidRDefault="006E24F8" w:rsidP="00983327">
            <w:pPr>
              <w:pStyle w:val="BodyText"/>
              <w:spacing w:before="20" w:after="20" w:line="240" w:lineRule="auto"/>
              <w:rPr>
                <w:rFonts w:cs="Arial"/>
              </w:rPr>
            </w:pPr>
            <w:r>
              <w:rPr>
                <w:rFonts w:cs="Arial"/>
              </w:rPr>
              <w:t>s. 2(1)</w:t>
            </w:r>
          </w:p>
        </w:tc>
        <w:tc>
          <w:tcPr>
            <w:tcW w:w="5652" w:type="dxa"/>
            <w:vAlign w:val="center"/>
          </w:tcPr>
          <w:p w14:paraId="6A0FACBD" w14:textId="243FC97A" w:rsidR="006E24F8" w:rsidRDefault="006E24F8" w:rsidP="00983327">
            <w:pPr>
              <w:pStyle w:val="BodyText"/>
              <w:spacing w:before="20" w:after="20" w:line="240" w:lineRule="auto"/>
              <w:rPr>
                <w:rFonts w:cs="Arial"/>
              </w:rPr>
            </w:pPr>
            <w:r>
              <w:rPr>
                <w:rFonts w:cs="Arial"/>
              </w:rPr>
              <w:t>APA was of the view that the definition of ‘compression service facility’ in this section of the NGL was ambiguous and could inadvertently include mid</w:t>
            </w:r>
            <w:r w:rsidR="00983327">
              <w:rPr>
                <w:rFonts w:cs="Arial"/>
              </w:rPr>
              <w:t>-</w:t>
            </w:r>
            <w:r>
              <w:rPr>
                <w:rFonts w:cs="Arial"/>
              </w:rPr>
              <w:t xml:space="preserve">line compression. </w:t>
            </w:r>
          </w:p>
        </w:tc>
        <w:tc>
          <w:tcPr>
            <w:tcW w:w="6439" w:type="dxa"/>
            <w:vAlign w:val="center"/>
          </w:tcPr>
          <w:p w14:paraId="7662C378" w14:textId="3E210119" w:rsidR="006E24F8" w:rsidRPr="000A4A7B" w:rsidRDefault="006E24F8" w:rsidP="00983327">
            <w:pPr>
              <w:pStyle w:val="BodyText"/>
              <w:spacing w:before="20" w:after="20" w:line="240" w:lineRule="auto"/>
            </w:pPr>
            <w:r>
              <w:t xml:space="preserve">A number of amendments have been made to the definition of the term ‘compression service facility’ in the NGL and Part 24 of the NGR to make it clear that the reforms apply to stand-alone compressors (i.e. a compression facility that is or may be used to facilitate the flow of gas between transmission pipelines) and not mid-line compression facilities. </w:t>
            </w:r>
          </w:p>
        </w:tc>
      </w:tr>
      <w:tr w:rsidR="006E24F8" w:rsidRPr="000A4A7B" w14:paraId="114D6317" w14:textId="77777777" w:rsidTr="006E24F8">
        <w:trPr>
          <w:trHeight w:val="412"/>
        </w:trPr>
        <w:tc>
          <w:tcPr>
            <w:tcW w:w="1659" w:type="dxa"/>
            <w:vAlign w:val="center"/>
          </w:tcPr>
          <w:p w14:paraId="6A364229" w14:textId="77777777" w:rsidR="006E24F8" w:rsidRDefault="006E24F8" w:rsidP="00983327">
            <w:pPr>
              <w:pStyle w:val="BodyText"/>
              <w:spacing w:before="20" w:after="20" w:line="240" w:lineRule="auto"/>
              <w:rPr>
                <w:rFonts w:cs="Arial"/>
              </w:rPr>
            </w:pPr>
            <w:r>
              <w:rPr>
                <w:rFonts w:cs="Arial"/>
              </w:rPr>
              <w:t>s. 8(3)</w:t>
            </w:r>
          </w:p>
        </w:tc>
        <w:tc>
          <w:tcPr>
            <w:tcW w:w="5652" w:type="dxa"/>
            <w:vAlign w:val="center"/>
          </w:tcPr>
          <w:p w14:paraId="3E950ED6" w14:textId="77777777" w:rsidR="006E24F8" w:rsidRDefault="006E24F8" w:rsidP="00983327">
            <w:pPr>
              <w:pStyle w:val="BodyText"/>
              <w:spacing w:before="20" w:after="20" w:line="240" w:lineRule="auto"/>
              <w:rPr>
                <w:rFonts w:cs="Arial"/>
              </w:rPr>
            </w:pPr>
            <w:r w:rsidRPr="00EB64A7">
              <w:rPr>
                <w:rFonts w:cs="Arial"/>
              </w:rPr>
              <w:t xml:space="preserve">GLNG </w:t>
            </w:r>
            <w:r>
              <w:rPr>
                <w:rFonts w:cs="Arial"/>
              </w:rPr>
              <w:t xml:space="preserve">and APA noted that it was unclear when AEMO would be required to control or operate a compression service facility and therefore questioned the inclusion of this provision. </w:t>
            </w:r>
          </w:p>
        </w:tc>
        <w:tc>
          <w:tcPr>
            <w:tcW w:w="6439" w:type="dxa"/>
            <w:vAlign w:val="center"/>
          </w:tcPr>
          <w:p w14:paraId="77670FD1" w14:textId="7252EC44" w:rsidR="006E24F8" w:rsidRDefault="006E24F8" w:rsidP="00983327">
            <w:pPr>
              <w:pStyle w:val="BodyText"/>
              <w:spacing w:before="20" w:after="20" w:line="240" w:lineRule="auto"/>
            </w:pPr>
            <w:r>
              <w:t xml:space="preserve">The GMRG </w:t>
            </w:r>
            <w:r w:rsidR="00983327">
              <w:t xml:space="preserve">agrees </w:t>
            </w:r>
            <w:r>
              <w:t>that the inclusion of this provision, which mirror</w:t>
            </w:r>
            <w:r w:rsidR="00983327">
              <w:t xml:space="preserve">s a similar provision that </w:t>
            </w:r>
            <w:r>
              <w:t xml:space="preserve">applies to transmission pipelines, </w:t>
            </w:r>
            <w:r w:rsidR="00983327">
              <w:t>is unnecessary</w:t>
            </w:r>
            <w:r>
              <w:t>. It has therefore been removed from the NGL.</w:t>
            </w:r>
          </w:p>
          <w:p w14:paraId="47D6AA3B" w14:textId="77777777" w:rsidR="006E24F8" w:rsidRPr="000A4A7B" w:rsidRDefault="006E24F8" w:rsidP="00983327">
            <w:pPr>
              <w:pStyle w:val="BodyText"/>
              <w:spacing w:before="20" w:after="20" w:line="240" w:lineRule="auto"/>
            </w:pPr>
          </w:p>
        </w:tc>
      </w:tr>
      <w:tr w:rsidR="006E24F8" w14:paraId="1BE808DF" w14:textId="77777777" w:rsidTr="006E24F8">
        <w:trPr>
          <w:cnfStyle w:val="000000010000" w:firstRow="0" w:lastRow="0" w:firstColumn="0" w:lastColumn="0" w:oddVBand="0" w:evenVBand="0" w:oddHBand="0" w:evenHBand="1" w:firstRowFirstColumn="0" w:firstRowLastColumn="0" w:lastRowFirstColumn="0" w:lastRowLastColumn="0"/>
          <w:trHeight w:val="215"/>
        </w:trPr>
        <w:tc>
          <w:tcPr>
            <w:tcW w:w="1659" w:type="dxa"/>
            <w:vAlign w:val="center"/>
          </w:tcPr>
          <w:p w14:paraId="60DF3209" w14:textId="77777777" w:rsidR="006E24F8" w:rsidRDefault="006E24F8" w:rsidP="00983327">
            <w:pPr>
              <w:pStyle w:val="BodyText"/>
              <w:spacing w:before="20" w:after="20" w:line="240" w:lineRule="auto"/>
              <w:rPr>
                <w:rFonts w:cs="Arial"/>
              </w:rPr>
            </w:pPr>
            <w:r>
              <w:rPr>
                <w:rFonts w:cs="Arial"/>
              </w:rPr>
              <w:t>s. 91H</w:t>
            </w:r>
          </w:p>
        </w:tc>
        <w:tc>
          <w:tcPr>
            <w:tcW w:w="5652" w:type="dxa"/>
            <w:vAlign w:val="center"/>
          </w:tcPr>
          <w:p w14:paraId="6D8F6473" w14:textId="77777777" w:rsidR="006E24F8" w:rsidRDefault="006E24F8" w:rsidP="00983327">
            <w:pPr>
              <w:pStyle w:val="BodyText"/>
              <w:spacing w:before="20" w:after="20" w:line="240" w:lineRule="auto"/>
              <w:rPr>
                <w:rFonts w:cs="Arial"/>
              </w:rPr>
            </w:pPr>
            <w:r>
              <w:rPr>
                <w:rFonts w:cs="Arial"/>
              </w:rPr>
              <w:t xml:space="preserve">GLNG and APLNG were concerned that the amendments to the definition of ‘Registered participant’ in s. 91H of the NGL would allow AEMO to charge fees to an ‘exempted participant’.  </w:t>
            </w:r>
          </w:p>
          <w:p w14:paraId="310D802C" w14:textId="77777777" w:rsidR="006E24F8" w:rsidRDefault="006E24F8" w:rsidP="00983327">
            <w:pPr>
              <w:pStyle w:val="BodyText"/>
              <w:spacing w:before="20" w:after="20" w:line="240" w:lineRule="auto"/>
              <w:rPr>
                <w:rFonts w:cs="Arial"/>
              </w:rPr>
            </w:pPr>
            <w:r>
              <w:rPr>
                <w:rFonts w:cs="Arial"/>
              </w:rPr>
              <w:t>APA also questioned whether the term ‘</w:t>
            </w:r>
            <w:r w:rsidRPr="00945D73">
              <w:rPr>
                <w:rFonts w:cs="Arial"/>
              </w:rPr>
              <w:t>exempt</w:t>
            </w:r>
            <w:r>
              <w:rPr>
                <w:rFonts w:cs="Arial"/>
              </w:rPr>
              <w:t>ed</w:t>
            </w:r>
            <w:r w:rsidRPr="00945D73">
              <w:rPr>
                <w:rFonts w:cs="Arial"/>
              </w:rPr>
              <w:t xml:space="preserve"> participant</w:t>
            </w:r>
            <w:r>
              <w:rPr>
                <w:rFonts w:cs="Arial"/>
              </w:rPr>
              <w:t>’</w:t>
            </w:r>
            <w:r w:rsidRPr="00945D73">
              <w:rPr>
                <w:rFonts w:cs="Arial"/>
              </w:rPr>
              <w:t xml:space="preserve"> include</w:t>
            </w:r>
            <w:r>
              <w:rPr>
                <w:rFonts w:cs="Arial"/>
              </w:rPr>
              <w:t>d</w:t>
            </w:r>
            <w:r w:rsidRPr="00945D73">
              <w:rPr>
                <w:rFonts w:cs="Arial"/>
              </w:rPr>
              <w:t xml:space="preserve"> a </w:t>
            </w:r>
            <w:r>
              <w:rPr>
                <w:rFonts w:cs="Arial"/>
              </w:rPr>
              <w:t>transportation service provider</w:t>
            </w:r>
            <w:r w:rsidRPr="00945D73">
              <w:rPr>
                <w:rFonts w:cs="Arial"/>
              </w:rPr>
              <w:t xml:space="preserve"> </w:t>
            </w:r>
            <w:r>
              <w:rPr>
                <w:rFonts w:cs="Arial"/>
              </w:rPr>
              <w:t>that obtains an exemption</w:t>
            </w:r>
            <w:r w:rsidRPr="00945D73">
              <w:rPr>
                <w:rFonts w:cs="Arial"/>
              </w:rPr>
              <w:t xml:space="preserve"> under </w:t>
            </w:r>
            <w:r>
              <w:rPr>
                <w:rFonts w:cs="Arial"/>
              </w:rPr>
              <w:t xml:space="preserve">s. </w:t>
            </w:r>
            <w:r w:rsidRPr="00945D73">
              <w:rPr>
                <w:rFonts w:cs="Arial"/>
              </w:rPr>
              <w:t>91BRS</w:t>
            </w:r>
            <w:r>
              <w:rPr>
                <w:rFonts w:cs="Arial"/>
              </w:rPr>
              <w:t>.</w:t>
            </w:r>
          </w:p>
        </w:tc>
        <w:tc>
          <w:tcPr>
            <w:tcW w:w="6439" w:type="dxa"/>
            <w:vAlign w:val="center"/>
          </w:tcPr>
          <w:p w14:paraId="6DFADD24" w14:textId="77777777" w:rsidR="006E24F8" w:rsidRDefault="006E24F8" w:rsidP="00983327">
            <w:pPr>
              <w:pStyle w:val="BodyText"/>
              <w:spacing w:before="20" w:after="20" w:line="240" w:lineRule="auto"/>
              <w:rPr>
                <w:rFonts w:cs="Arial"/>
              </w:rPr>
            </w:pPr>
            <w:r>
              <w:rPr>
                <w:rFonts w:cs="Arial"/>
              </w:rPr>
              <w:t>The GMRG has considered the concerns raised by GLNG and APLNG, but it is of the view that AEMO will require some flexibility to recover the costs associated with the capacity trading reforms. The definition of Registered participant in s. 91H of the NGL therefore still refers to exempted participants.</w:t>
            </w:r>
          </w:p>
          <w:p w14:paraId="4C02A105" w14:textId="77777777" w:rsidR="006E24F8" w:rsidRDefault="006E24F8" w:rsidP="00983327">
            <w:pPr>
              <w:pStyle w:val="BodyText"/>
              <w:spacing w:before="20" w:after="20" w:line="240" w:lineRule="auto"/>
              <w:rPr>
                <w:rFonts w:cs="Arial"/>
              </w:rPr>
            </w:pPr>
            <w:r>
              <w:rPr>
                <w:rFonts w:cs="Arial"/>
              </w:rPr>
              <w:t xml:space="preserve">In relation to APA’s question, this section of the NGL has been amended to make it clear that the term ‘Registered participant’ only includes transportation service providers registered with AEMO under s. 91BRS. </w:t>
            </w:r>
          </w:p>
        </w:tc>
      </w:tr>
      <w:tr w:rsidR="006E24F8" w:rsidRPr="005C356D" w14:paraId="048442E7" w14:textId="77777777" w:rsidTr="006E24F8">
        <w:trPr>
          <w:trHeight w:val="334"/>
        </w:trPr>
        <w:tc>
          <w:tcPr>
            <w:tcW w:w="13750" w:type="dxa"/>
            <w:gridSpan w:val="3"/>
            <w:shd w:val="clear" w:color="auto" w:fill="65697F" w:themeFill="background2" w:themeFillShade="80"/>
            <w:vAlign w:val="center"/>
          </w:tcPr>
          <w:p w14:paraId="2FA91480" w14:textId="77777777" w:rsidR="006E24F8" w:rsidRPr="005C356D" w:rsidRDefault="006E24F8" w:rsidP="00983327">
            <w:pPr>
              <w:pStyle w:val="BodyText"/>
              <w:spacing w:before="20" w:after="40" w:line="240" w:lineRule="auto"/>
              <w:jc w:val="center"/>
              <w:rPr>
                <w:b/>
                <w:color w:val="FFFFFF" w:themeColor="background1"/>
              </w:rPr>
            </w:pPr>
            <w:r>
              <w:rPr>
                <w:b/>
                <w:color w:val="FFFFFF" w:themeColor="background1"/>
              </w:rPr>
              <w:t>Part 24 of the NGR</w:t>
            </w:r>
          </w:p>
        </w:tc>
      </w:tr>
      <w:tr w:rsidR="006E24F8" w:rsidRPr="000A4A7B" w14:paraId="0BB95715" w14:textId="77777777" w:rsidTr="006E24F8">
        <w:trPr>
          <w:cnfStyle w:val="000000010000" w:firstRow="0" w:lastRow="0" w:firstColumn="0" w:lastColumn="0" w:oddVBand="0" w:evenVBand="0" w:oddHBand="0" w:evenHBand="1" w:firstRowFirstColumn="0" w:firstRowLastColumn="0" w:lastRowFirstColumn="0" w:lastRowLastColumn="0"/>
          <w:trHeight w:val="1230"/>
        </w:trPr>
        <w:tc>
          <w:tcPr>
            <w:tcW w:w="1659" w:type="dxa"/>
            <w:vAlign w:val="center"/>
          </w:tcPr>
          <w:p w14:paraId="61074792" w14:textId="77777777" w:rsidR="006E24F8" w:rsidRDefault="006E24F8" w:rsidP="00983327">
            <w:pPr>
              <w:pStyle w:val="BodyText"/>
              <w:spacing w:before="20" w:after="40" w:line="240" w:lineRule="auto"/>
              <w:rPr>
                <w:rFonts w:cs="Arial"/>
              </w:rPr>
            </w:pPr>
            <w:r>
              <w:rPr>
                <w:rFonts w:cs="Arial"/>
              </w:rPr>
              <w:t>r. 611</w:t>
            </w:r>
          </w:p>
        </w:tc>
        <w:tc>
          <w:tcPr>
            <w:tcW w:w="5652" w:type="dxa"/>
            <w:vAlign w:val="center"/>
          </w:tcPr>
          <w:p w14:paraId="6F5199F5" w14:textId="77777777" w:rsidR="006E24F8" w:rsidRDefault="006E24F8" w:rsidP="00983327">
            <w:pPr>
              <w:pStyle w:val="BodyText"/>
              <w:spacing w:before="20" w:after="40" w:line="240" w:lineRule="auto"/>
              <w:rPr>
                <w:rFonts w:cs="Arial"/>
              </w:rPr>
            </w:pPr>
            <w:r>
              <w:rPr>
                <w:rFonts w:cs="Arial"/>
              </w:rPr>
              <w:t>APA was concerned that the requirement in r. 611 for the AER to consider whether the grant of an exemption will hinder access to operational transportation services on any other part of a transportation facility accorded the AER too much discretion and should be deleted.</w:t>
            </w:r>
          </w:p>
        </w:tc>
        <w:tc>
          <w:tcPr>
            <w:tcW w:w="6439" w:type="dxa"/>
            <w:vAlign w:val="center"/>
          </w:tcPr>
          <w:p w14:paraId="2643A262" w14:textId="723ED719" w:rsidR="006E24F8" w:rsidRDefault="006E24F8" w:rsidP="00983327">
            <w:pPr>
              <w:pStyle w:val="TableBodyText"/>
            </w:pPr>
            <w:r>
              <w:t>While the GMRG understands APA’s preference for fact based exemptions, there are some circumstances where it considers that some discretion to grant or revoke an exemption is required and that the requirement to consider whether the granting of an exemption would hinder access is one such circumstance. This rule has not therefore been amended.</w:t>
            </w:r>
          </w:p>
        </w:tc>
      </w:tr>
      <w:tr w:rsidR="006E24F8" w:rsidRPr="000A4A7B" w14:paraId="42A62511" w14:textId="77777777" w:rsidTr="006E24F8">
        <w:trPr>
          <w:trHeight w:val="582"/>
        </w:trPr>
        <w:tc>
          <w:tcPr>
            <w:tcW w:w="1659" w:type="dxa"/>
            <w:vAlign w:val="center"/>
          </w:tcPr>
          <w:p w14:paraId="604E6D0F" w14:textId="77777777" w:rsidR="006E24F8" w:rsidRDefault="006E24F8" w:rsidP="00983327">
            <w:pPr>
              <w:pStyle w:val="BodyText"/>
              <w:spacing w:before="20" w:after="40" w:line="240" w:lineRule="auto"/>
              <w:rPr>
                <w:rFonts w:cs="Arial"/>
              </w:rPr>
            </w:pPr>
            <w:r>
              <w:rPr>
                <w:rFonts w:cs="Arial"/>
              </w:rPr>
              <w:t>rr. 618 to 619</w:t>
            </w:r>
          </w:p>
        </w:tc>
        <w:tc>
          <w:tcPr>
            <w:tcW w:w="5652" w:type="dxa"/>
            <w:vAlign w:val="center"/>
          </w:tcPr>
          <w:p w14:paraId="3BBACDA3" w14:textId="77777777" w:rsidR="006E24F8" w:rsidRDefault="006E24F8" w:rsidP="00983327">
            <w:pPr>
              <w:pStyle w:val="BodyText"/>
              <w:spacing w:before="20" w:after="40" w:line="240" w:lineRule="auto"/>
              <w:rPr>
                <w:rFonts w:cs="Arial"/>
              </w:rPr>
            </w:pPr>
            <w:r>
              <w:rPr>
                <w:rFonts w:cs="Arial"/>
              </w:rPr>
              <w:t>APA suggested that the registration process could be streamlined by having just one register that covers Part 24 facilities.</w:t>
            </w:r>
          </w:p>
        </w:tc>
        <w:tc>
          <w:tcPr>
            <w:tcW w:w="6439" w:type="dxa"/>
            <w:vAlign w:val="center"/>
          </w:tcPr>
          <w:p w14:paraId="086FC35B" w14:textId="6FCED796" w:rsidR="006E24F8" w:rsidRDefault="006E24F8" w:rsidP="00983327">
            <w:pPr>
              <w:pStyle w:val="TableBodyText"/>
            </w:pPr>
            <w:r>
              <w:t xml:space="preserve">The requirement for non-exempt transportation service providers to register their transportation facility and as the facility operator in Part 24 of the NGR mirrors the approach used in Part 18 of the NGR. This approach has therefore been maintained in rules 618-619 of the NGR. </w:t>
            </w:r>
          </w:p>
        </w:tc>
      </w:tr>
      <w:tr w:rsidR="006E24F8" w:rsidRPr="000A4A7B" w14:paraId="46F289D9" w14:textId="77777777" w:rsidTr="006E24F8">
        <w:trPr>
          <w:cnfStyle w:val="000000010000" w:firstRow="0" w:lastRow="0" w:firstColumn="0" w:lastColumn="0" w:oddVBand="0" w:evenVBand="0" w:oddHBand="0" w:evenHBand="1" w:firstRowFirstColumn="0" w:firstRowLastColumn="0" w:lastRowFirstColumn="0" w:lastRowLastColumn="0"/>
          <w:trHeight w:val="582"/>
        </w:trPr>
        <w:tc>
          <w:tcPr>
            <w:tcW w:w="1659" w:type="dxa"/>
            <w:vAlign w:val="center"/>
          </w:tcPr>
          <w:p w14:paraId="7AE8E10D" w14:textId="77777777" w:rsidR="006E24F8" w:rsidRDefault="006E24F8" w:rsidP="00983327">
            <w:pPr>
              <w:pStyle w:val="BodyText"/>
              <w:spacing w:before="20" w:after="40" w:line="240" w:lineRule="auto"/>
              <w:rPr>
                <w:rFonts w:cs="Arial"/>
              </w:rPr>
            </w:pPr>
            <w:r>
              <w:rPr>
                <w:rFonts w:cs="Arial"/>
              </w:rPr>
              <w:t>r. 621</w:t>
            </w:r>
          </w:p>
        </w:tc>
        <w:tc>
          <w:tcPr>
            <w:tcW w:w="5652" w:type="dxa"/>
            <w:vAlign w:val="center"/>
          </w:tcPr>
          <w:p w14:paraId="530EB4CB" w14:textId="77777777" w:rsidR="006E24F8" w:rsidRDefault="006E24F8" w:rsidP="00983327">
            <w:pPr>
              <w:pStyle w:val="BodyText"/>
              <w:spacing w:before="20" w:after="40" w:line="240" w:lineRule="auto"/>
              <w:rPr>
                <w:rFonts w:cs="Arial"/>
              </w:rPr>
            </w:pPr>
            <w:r>
              <w:rPr>
                <w:rFonts w:cs="Arial"/>
              </w:rPr>
              <w:t xml:space="preserve">APA questioned the value of requiring an outgoing service provider to notify AEMO of a change of facility operator, if the </w:t>
            </w:r>
            <w:r w:rsidRPr="001D0FC9">
              <w:rPr>
                <w:rFonts w:cs="Arial"/>
              </w:rPr>
              <w:t xml:space="preserve">new transportation service provider </w:t>
            </w:r>
            <w:r>
              <w:rPr>
                <w:rFonts w:cs="Arial"/>
              </w:rPr>
              <w:t xml:space="preserve">also has an obligation to </w:t>
            </w:r>
            <w:r w:rsidRPr="001D0FC9">
              <w:rPr>
                <w:rFonts w:cs="Arial"/>
              </w:rPr>
              <w:t>register</w:t>
            </w:r>
            <w:r>
              <w:rPr>
                <w:rFonts w:cs="Arial"/>
              </w:rPr>
              <w:t>.</w:t>
            </w:r>
          </w:p>
        </w:tc>
        <w:tc>
          <w:tcPr>
            <w:tcW w:w="6439" w:type="dxa"/>
            <w:vAlign w:val="center"/>
          </w:tcPr>
          <w:p w14:paraId="763AC05C" w14:textId="77777777" w:rsidR="006E24F8" w:rsidRDefault="006E24F8" w:rsidP="00983327">
            <w:pPr>
              <w:pStyle w:val="TableBodyText"/>
            </w:pPr>
            <w:r>
              <w:t xml:space="preserve">The requirement for outgoing service providers to notify AEMO that they are no longer the facility operator mirrors the requirement in Part 18 of the NGR and is appropriate in the GMRG’s view, because it will ensure that AEMO’s register of Part 24 facilities remains accurate.  </w:t>
            </w:r>
          </w:p>
        </w:tc>
      </w:tr>
    </w:tbl>
    <w:p w14:paraId="619F308F" w14:textId="77777777" w:rsidR="006E24F8" w:rsidRDefault="006E24F8" w:rsidP="006E24F8">
      <w:pPr>
        <w:rPr>
          <w:rFonts w:eastAsiaTheme="minorHAnsi" w:cstheme="minorBidi"/>
          <w:b/>
          <w:bCs/>
          <w:lang w:eastAsia="fr-CA"/>
        </w:rPr>
      </w:pPr>
      <w:r>
        <w:br w:type="page"/>
      </w:r>
    </w:p>
    <w:p w14:paraId="3316B8EA" w14:textId="0E0882DB" w:rsidR="006E24F8" w:rsidRDefault="006E24F8" w:rsidP="006E24F8">
      <w:pPr>
        <w:pStyle w:val="Caption"/>
        <w:spacing w:after="0"/>
      </w:pPr>
      <w:r w:rsidRPr="00B76E05">
        <w:lastRenderedPageBreak/>
        <w:t xml:space="preserve">Table </w:t>
      </w:r>
      <w:r>
        <w:t>A.15</w:t>
      </w:r>
      <w:r w:rsidRPr="00B76E05">
        <w:t>: Measures to facilitate capacity trade and the auction: Feedback on the NGL, NGR, Regulations and Code</w:t>
      </w:r>
    </w:p>
    <w:tbl>
      <w:tblPr>
        <w:tblStyle w:val="TableGrid"/>
        <w:tblW w:w="5011" w:type="pct"/>
        <w:tblLook w:val="04A0" w:firstRow="1" w:lastRow="0" w:firstColumn="1" w:lastColumn="0" w:noHBand="0" w:noVBand="1"/>
      </w:tblPr>
      <w:tblGrid>
        <w:gridCol w:w="1659"/>
        <w:gridCol w:w="5652"/>
        <w:gridCol w:w="6439"/>
      </w:tblGrid>
      <w:tr w:rsidR="006E24F8" w:rsidRPr="00944EC7" w14:paraId="2B7F3F26" w14:textId="77777777" w:rsidTr="00944EC7">
        <w:trPr>
          <w:cnfStyle w:val="100000000000" w:firstRow="1" w:lastRow="0" w:firstColumn="0" w:lastColumn="0" w:oddVBand="0" w:evenVBand="0" w:oddHBand="0" w:evenHBand="0" w:firstRowFirstColumn="0" w:firstRowLastColumn="0" w:lastRowFirstColumn="0" w:lastRowLastColumn="0"/>
          <w:trHeight w:val="70"/>
          <w:tblHeader/>
        </w:trPr>
        <w:tc>
          <w:tcPr>
            <w:tcW w:w="1659" w:type="dxa"/>
            <w:tcBorders>
              <w:bottom w:val="single" w:sz="4" w:space="0" w:color="auto"/>
            </w:tcBorders>
            <w:shd w:val="clear" w:color="auto" w:fill="0099CC"/>
          </w:tcPr>
          <w:p w14:paraId="09C0B01E" w14:textId="77777777" w:rsidR="006E24F8" w:rsidRPr="00944EC7" w:rsidRDefault="006E24F8" w:rsidP="00983327">
            <w:pPr>
              <w:pStyle w:val="BodyText"/>
              <w:spacing w:before="20" w:after="60" w:line="240" w:lineRule="auto"/>
              <w:rPr>
                <w:rFonts w:cs="Arial"/>
                <w:sz w:val="17"/>
                <w:szCs w:val="17"/>
              </w:rPr>
            </w:pPr>
            <w:r w:rsidRPr="00944EC7">
              <w:rPr>
                <w:rFonts w:cs="Arial"/>
                <w:sz w:val="17"/>
                <w:szCs w:val="17"/>
              </w:rPr>
              <w:t>Provision</w:t>
            </w:r>
          </w:p>
        </w:tc>
        <w:tc>
          <w:tcPr>
            <w:tcW w:w="5652" w:type="dxa"/>
            <w:tcBorders>
              <w:bottom w:val="single" w:sz="4" w:space="0" w:color="auto"/>
            </w:tcBorders>
            <w:shd w:val="clear" w:color="auto" w:fill="0099CC"/>
          </w:tcPr>
          <w:p w14:paraId="403130D6" w14:textId="77777777" w:rsidR="006E24F8" w:rsidRPr="00944EC7" w:rsidRDefault="006E24F8" w:rsidP="00983327">
            <w:pPr>
              <w:pStyle w:val="BodyText"/>
              <w:spacing w:before="20" w:after="60" w:line="240" w:lineRule="auto"/>
              <w:rPr>
                <w:rFonts w:cs="Arial"/>
                <w:sz w:val="17"/>
                <w:szCs w:val="17"/>
              </w:rPr>
            </w:pPr>
            <w:r w:rsidRPr="00944EC7">
              <w:rPr>
                <w:rFonts w:cs="Arial"/>
                <w:sz w:val="17"/>
                <w:szCs w:val="17"/>
              </w:rPr>
              <w:t>Stakeholder concern</w:t>
            </w:r>
          </w:p>
        </w:tc>
        <w:tc>
          <w:tcPr>
            <w:tcW w:w="6439" w:type="dxa"/>
            <w:tcBorders>
              <w:bottom w:val="single" w:sz="4" w:space="0" w:color="auto"/>
            </w:tcBorders>
            <w:shd w:val="clear" w:color="auto" w:fill="0099CC"/>
          </w:tcPr>
          <w:p w14:paraId="3A2B5596" w14:textId="77777777" w:rsidR="006E24F8" w:rsidRPr="00944EC7" w:rsidRDefault="006E24F8" w:rsidP="00983327">
            <w:pPr>
              <w:pStyle w:val="BodyText"/>
              <w:spacing w:before="20" w:after="60" w:line="240" w:lineRule="auto"/>
              <w:rPr>
                <w:rFonts w:cs="Arial"/>
                <w:sz w:val="17"/>
                <w:szCs w:val="17"/>
              </w:rPr>
            </w:pPr>
            <w:r w:rsidRPr="00944EC7">
              <w:rPr>
                <w:rFonts w:cs="Arial"/>
                <w:sz w:val="17"/>
                <w:szCs w:val="17"/>
              </w:rPr>
              <w:t>GMRG response</w:t>
            </w:r>
          </w:p>
        </w:tc>
      </w:tr>
      <w:tr w:rsidR="006E24F8" w:rsidRPr="00944EC7" w14:paraId="48885D4A" w14:textId="77777777" w:rsidTr="00944EC7">
        <w:trPr>
          <w:trHeight w:val="70"/>
        </w:trPr>
        <w:tc>
          <w:tcPr>
            <w:tcW w:w="13750" w:type="dxa"/>
            <w:gridSpan w:val="3"/>
            <w:shd w:val="clear" w:color="auto" w:fill="65697F" w:themeFill="background2" w:themeFillShade="80"/>
            <w:vAlign w:val="center"/>
          </w:tcPr>
          <w:p w14:paraId="4BA65E9C" w14:textId="77777777" w:rsidR="006E24F8" w:rsidRPr="00944EC7" w:rsidRDefault="006E24F8" w:rsidP="00983327">
            <w:pPr>
              <w:pStyle w:val="BodyText"/>
              <w:spacing w:before="20" w:after="40" w:line="240" w:lineRule="auto"/>
              <w:jc w:val="center"/>
              <w:rPr>
                <w:b/>
                <w:color w:val="FFFFFF" w:themeColor="background1"/>
                <w:sz w:val="17"/>
                <w:szCs w:val="17"/>
              </w:rPr>
            </w:pPr>
            <w:r w:rsidRPr="00944EC7">
              <w:rPr>
                <w:b/>
                <w:color w:val="FFFFFF" w:themeColor="background1"/>
                <w:sz w:val="17"/>
                <w:szCs w:val="17"/>
              </w:rPr>
              <w:t>NGL</w:t>
            </w:r>
          </w:p>
        </w:tc>
      </w:tr>
      <w:tr w:rsidR="006E24F8" w:rsidRPr="00944EC7" w14:paraId="5D5A5C62" w14:textId="77777777" w:rsidTr="00944EC7">
        <w:trPr>
          <w:cnfStyle w:val="000000010000" w:firstRow="0" w:lastRow="0" w:firstColumn="0" w:lastColumn="0" w:oddVBand="0" w:evenVBand="0" w:oddHBand="0" w:evenHBand="1" w:firstRowFirstColumn="0" w:firstRowLastColumn="0" w:lastRowFirstColumn="0" w:lastRowLastColumn="0"/>
          <w:trHeight w:val="1221"/>
        </w:trPr>
        <w:tc>
          <w:tcPr>
            <w:tcW w:w="1659" w:type="dxa"/>
            <w:vMerge w:val="restart"/>
            <w:vAlign w:val="center"/>
          </w:tcPr>
          <w:p w14:paraId="326FB8D3" w14:textId="77777777" w:rsidR="006E24F8" w:rsidRPr="00944EC7" w:rsidRDefault="006E24F8" w:rsidP="00983327">
            <w:pPr>
              <w:pStyle w:val="BodyText"/>
              <w:spacing w:before="20" w:after="20" w:line="240" w:lineRule="auto"/>
              <w:rPr>
                <w:rFonts w:asciiTheme="majorHAnsi" w:hAnsiTheme="majorHAnsi" w:cstheme="majorHAnsi"/>
                <w:sz w:val="17"/>
                <w:szCs w:val="17"/>
              </w:rPr>
            </w:pPr>
            <w:r w:rsidRPr="00944EC7">
              <w:rPr>
                <w:rFonts w:asciiTheme="majorHAnsi" w:hAnsiTheme="majorHAnsi" w:cstheme="majorHAnsi"/>
                <w:sz w:val="17"/>
                <w:szCs w:val="17"/>
              </w:rPr>
              <w:t>s. 2(1)</w:t>
            </w:r>
          </w:p>
        </w:tc>
        <w:tc>
          <w:tcPr>
            <w:tcW w:w="5652" w:type="dxa"/>
            <w:vAlign w:val="center"/>
          </w:tcPr>
          <w:p w14:paraId="0312416F" w14:textId="77777777" w:rsidR="006E24F8" w:rsidRPr="00944EC7" w:rsidRDefault="006E24F8" w:rsidP="00983327">
            <w:pPr>
              <w:pStyle w:val="BodyText"/>
              <w:spacing w:before="20" w:after="20" w:line="240" w:lineRule="auto"/>
              <w:rPr>
                <w:rFonts w:asciiTheme="majorHAnsi" w:hAnsiTheme="majorHAnsi" w:cstheme="majorHAnsi"/>
                <w:sz w:val="17"/>
                <w:szCs w:val="17"/>
              </w:rPr>
            </w:pPr>
            <w:r w:rsidRPr="00944EC7">
              <w:rPr>
                <w:rFonts w:asciiTheme="majorHAnsi" w:hAnsiTheme="majorHAnsi" w:cstheme="majorHAnsi"/>
                <w:sz w:val="17"/>
                <w:szCs w:val="17"/>
              </w:rPr>
              <w:t>A number of service providers were concerned about the breadth of the definition of ‘transaction support arrangements’ in the NGL and were of the view that it should be more clearly defined given the power AEMO will have to develop procedures relating to these arrangements.</w:t>
            </w:r>
          </w:p>
        </w:tc>
        <w:tc>
          <w:tcPr>
            <w:tcW w:w="6439" w:type="dxa"/>
            <w:vAlign w:val="center"/>
          </w:tcPr>
          <w:p w14:paraId="6E64FD70" w14:textId="77777777" w:rsidR="006E24F8" w:rsidRPr="00944EC7" w:rsidRDefault="006E24F8" w:rsidP="00983327">
            <w:pPr>
              <w:autoSpaceDE w:val="0"/>
              <w:autoSpaceDN w:val="0"/>
              <w:adjustRightInd w:val="0"/>
              <w:spacing w:after="20" w:line="240" w:lineRule="auto"/>
              <w:rPr>
                <w:rFonts w:asciiTheme="majorHAnsi" w:hAnsiTheme="majorHAnsi" w:cstheme="majorHAnsi"/>
                <w:sz w:val="17"/>
                <w:szCs w:val="17"/>
              </w:rPr>
            </w:pPr>
            <w:r w:rsidRPr="00944EC7">
              <w:rPr>
                <w:rFonts w:asciiTheme="majorHAnsi" w:hAnsiTheme="majorHAnsi" w:cstheme="majorHAnsi"/>
                <w:sz w:val="17"/>
                <w:szCs w:val="17"/>
              </w:rPr>
              <w:t xml:space="preserve">The term ‘transaction support arrangements’ is defined in the NGL as “arrangements to facilitate transactions with respect to transportation capacity and related goods and services concluded or to be concluded through a gas trading exchange or a capacity auction”. While some service providers have expressed concern about this definition, in the GMRG’s view it has to be expressed in relatively broad terms in the NGL so as not to unduly limit the AEMC’s and the Minister’s rule-making powers. </w:t>
            </w:r>
          </w:p>
          <w:p w14:paraId="335BA1C9" w14:textId="77777777" w:rsidR="006E24F8" w:rsidRPr="00944EC7" w:rsidRDefault="006E24F8" w:rsidP="00983327">
            <w:pPr>
              <w:autoSpaceDE w:val="0"/>
              <w:autoSpaceDN w:val="0"/>
              <w:adjustRightInd w:val="0"/>
              <w:spacing w:after="20" w:line="240" w:lineRule="auto"/>
              <w:rPr>
                <w:rFonts w:asciiTheme="majorHAnsi" w:hAnsiTheme="majorHAnsi" w:cstheme="majorHAnsi"/>
                <w:sz w:val="17"/>
                <w:szCs w:val="17"/>
              </w:rPr>
            </w:pPr>
            <w:r w:rsidRPr="00944EC7">
              <w:rPr>
                <w:rFonts w:asciiTheme="majorHAnsi" w:hAnsiTheme="majorHAnsi" w:cstheme="majorHAnsi"/>
                <w:sz w:val="17"/>
                <w:szCs w:val="17"/>
              </w:rPr>
              <w:t>While this definition is expressed broadly in the NGL, rule 135EA, which sets out the matters which can be dealt with in the CT&amp;A Procedures, does narrow the scope of what AEMO can make procedures about. In the GMRG’s view, the appropriate balance has been struck between the NGL and the NGR. No amendments have therefore been made to this section of the NGL.</w:t>
            </w:r>
          </w:p>
        </w:tc>
      </w:tr>
      <w:tr w:rsidR="006E24F8" w:rsidRPr="00944EC7" w14:paraId="387EE1B8" w14:textId="77777777" w:rsidTr="00944EC7">
        <w:trPr>
          <w:trHeight w:val="523"/>
        </w:trPr>
        <w:tc>
          <w:tcPr>
            <w:tcW w:w="1659" w:type="dxa"/>
            <w:vMerge/>
            <w:tcBorders>
              <w:bottom w:val="single" w:sz="4" w:space="0" w:color="auto"/>
            </w:tcBorders>
            <w:shd w:val="clear" w:color="auto" w:fill="E1E2E7" w:themeFill="background2"/>
            <w:vAlign w:val="center"/>
          </w:tcPr>
          <w:p w14:paraId="6E96F690" w14:textId="77777777" w:rsidR="006E24F8" w:rsidRPr="00944EC7" w:rsidRDefault="006E24F8" w:rsidP="00983327">
            <w:pPr>
              <w:pStyle w:val="BodyText"/>
              <w:spacing w:before="20" w:after="20" w:line="240" w:lineRule="auto"/>
              <w:rPr>
                <w:rFonts w:asciiTheme="majorHAnsi" w:hAnsiTheme="majorHAnsi" w:cstheme="majorHAnsi"/>
                <w:sz w:val="17"/>
                <w:szCs w:val="17"/>
              </w:rPr>
            </w:pPr>
          </w:p>
        </w:tc>
        <w:tc>
          <w:tcPr>
            <w:tcW w:w="5652" w:type="dxa"/>
            <w:tcBorders>
              <w:bottom w:val="single" w:sz="4" w:space="0" w:color="auto"/>
            </w:tcBorders>
            <w:shd w:val="clear" w:color="auto" w:fill="E1E2E7" w:themeFill="background2"/>
            <w:vAlign w:val="center"/>
          </w:tcPr>
          <w:p w14:paraId="307DDFC9" w14:textId="2E4E24DC" w:rsidR="006E24F8" w:rsidRPr="00944EC7" w:rsidRDefault="006E24F8" w:rsidP="00983327">
            <w:pPr>
              <w:pStyle w:val="BodyText"/>
              <w:spacing w:before="20" w:after="20" w:line="240" w:lineRule="auto"/>
              <w:rPr>
                <w:rFonts w:asciiTheme="majorHAnsi" w:hAnsiTheme="majorHAnsi" w:cstheme="majorHAnsi"/>
                <w:sz w:val="17"/>
                <w:szCs w:val="17"/>
              </w:rPr>
            </w:pPr>
            <w:r w:rsidRPr="00944EC7">
              <w:rPr>
                <w:rFonts w:asciiTheme="majorHAnsi" w:hAnsiTheme="majorHAnsi" w:cstheme="majorHAnsi"/>
                <w:sz w:val="17"/>
                <w:szCs w:val="17"/>
              </w:rPr>
              <w:t>APA raised concerns about the use of the term ‘standard operational agreement’ in the definitions and claimed the definition was too broad and could refer to matters beyond operational transportation services.</w:t>
            </w:r>
          </w:p>
        </w:tc>
        <w:tc>
          <w:tcPr>
            <w:tcW w:w="6439" w:type="dxa"/>
            <w:tcBorders>
              <w:bottom w:val="single" w:sz="4" w:space="0" w:color="auto"/>
            </w:tcBorders>
            <w:shd w:val="clear" w:color="auto" w:fill="E1E2E7" w:themeFill="background2"/>
            <w:vAlign w:val="center"/>
          </w:tcPr>
          <w:p w14:paraId="67FEE407" w14:textId="77777777" w:rsidR="006E24F8" w:rsidRPr="00944EC7" w:rsidRDefault="006E24F8" w:rsidP="00983327">
            <w:pPr>
              <w:autoSpaceDE w:val="0"/>
              <w:autoSpaceDN w:val="0"/>
              <w:adjustRightInd w:val="0"/>
              <w:spacing w:after="20" w:line="240" w:lineRule="auto"/>
              <w:rPr>
                <w:rFonts w:asciiTheme="majorHAnsi" w:hAnsiTheme="majorHAnsi" w:cstheme="majorHAnsi"/>
                <w:sz w:val="17"/>
                <w:szCs w:val="17"/>
              </w:rPr>
            </w:pPr>
            <w:r w:rsidRPr="00944EC7">
              <w:rPr>
                <w:rFonts w:asciiTheme="majorHAnsi" w:hAnsiTheme="majorHAnsi" w:cstheme="majorHAnsi"/>
                <w:sz w:val="17"/>
                <w:szCs w:val="17"/>
              </w:rPr>
              <w:t>To address APA’s concerns, the term ‘standard operational agreement’ has been replaced with the term ‘standard OTSA’ to make it clear that it only refers to standard operational transportation services.</w:t>
            </w:r>
          </w:p>
        </w:tc>
      </w:tr>
      <w:tr w:rsidR="006E24F8" w:rsidRPr="00944EC7" w14:paraId="6074666A" w14:textId="77777777" w:rsidTr="00944EC7">
        <w:trPr>
          <w:cnfStyle w:val="000000010000" w:firstRow="0" w:lastRow="0" w:firstColumn="0" w:lastColumn="0" w:oddVBand="0" w:evenVBand="0" w:oddHBand="0" w:evenHBand="1" w:firstRowFirstColumn="0" w:firstRowLastColumn="0" w:lastRowFirstColumn="0" w:lastRowLastColumn="0"/>
          <w:trHeight w:val="334"/>
        </w:trPr>
        <w:tc>
          <w:tcPr>
            <w:tcW w:w="13750" w:type="dxa"/>
            <w:gridSpan w:val="3"/>
            <w:shd w:val="clear" w:color="auto" w:fill="65697F" w:themeFill="background2" w:themeFillShade="80"/>
            <w:vAlign w:val="center"/>
          </w:tcPr>
          <w:p w14:paraId="76A62F60" w14:textId="77777777" w:rsidR="006E24F8" w:rsidRPr="00944EC7" w:rsidRDefault="006E24F8" w:rsidP="00983327">
            <w:pPr>
              <w:pStyle w:val="BodyText"/>
              <w:spacing w:before="20" w:after="40" w:line="240" w:lineRule="auto"/>
              <w:jc w:val="center"/>
              <w:rPr>
                <w:b/>
                <w:color w:val="FFFFFF" w:themeColor="background1"/>
                <w:sz w:val="17"/>
                <w:szCs w:val="17"/>
              </w:rPr>
            </w:pPr>
            <w:r w:rsidRPr="00944EC7">
              <w:rPr>
                <w:b/>
                <w:color w:val="FFFFFF" w:themeColor="background1"/>
                <w:sz w:val="17"/>
                <w:szCs w:val="17"/>
              </w:rPr>
              <w:t>Part 24 of the NGR</w:t>
            </w:r>
          </w:p>
        </w:tc>
      </w:tr>
      <w:tr w:rsidR="006E24F8" w:rsidRPr="00944EC7" w14:paraId="04B94D0F" w14:textId="77777777" w:rsidTr="00944EC7">
        <w:trPr>
          <w:trHeight w:val="582"/>
        </w:trPr>
        <w:tc>
          <w:tcPr>
            <w:tcW w:w="1659" w:type="dxa"/>
            <w:vAlign w:val="center"/>
          </w:tcPr>
          <w:p w14:paraId="6C89EA1D"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593</w:t>
            </w:r>
          </w:p>
        </w:tc>
        <w:tc>
          <w:tcPr>
            <w:tcW w:w="5652" w:type="dxa"/>
            <w:vAlign w:val="center"/>
          </w:tcPr>
          <w:p w14:paraId="01E7532D" w14:textId="05AE88C6" w:rsidR="006E24F8" w:rsidRPr="00944EC7" w:rsidRDefault="006E24F8" w:rsidP="00983327">
            <w:pPr>
              <w:pStyle w:val="BodyText"/>
              <w:spacing w:before="20" w:after="20" w:line="240" w:lineRule="auto"/>
              <w:rPr>
                <w:rFonts w:cs="Arial"/>
                <w:sz w:val="17"/>
                <w:szCs w:val="17"/>
              </w:rPr>
            </w:pPr>
            <w:r w:rsidRPr="00944EC7">
              <w:rPr>
                <w:rFonts w:cs="Arial"/>
                <w:sz w:val="17"/>
                <w:szCs w:val="17"/>
              </w:rPr>
              <w:t xml:space="preserve">APA was concerned that the obligation to maintain equipment in r. 593(4) could be interpreted as requiring transportation service providers to keep meters and infrastructure commissioned, even if there </w:t>
            </w:r>
            <w:r w:rsidR="00983327" w:rsidRPr="00944EC7">
              <w:rPr>
                <w:rFonts w:cs="Arial"/>
                <w:sz w:val="17"/>
                <w:szCs w:val="17"/>
              </w:rPr>
              <w:t xml:space="preserve">isn’t a </w:t>
            </w:r>
            <w:r w:rsidRPr="00944EC7">
              <w:rPr>
                <w:rFonts w:cs="Arial"/>
                <w:sz w:val="17"/>
                <w:szCs w:val="17"/>
              </w:rPr>
              <w:t>user</w:t>
            </w:r>
            <w:r w:rsidR="00983327" w:rsidRPr="00944EC7">
              <w:rPr>
                <w:rFonts w:cs="Arial"/>
                <w:sz w:val="17"/>
                <w:szCs w:val="17"/>
              </w:rPr>
              <w:t xml:space="preserve"> at a point</w:t>
            </w:r>
            <w:r w:rsidRPr="00944EC7">
              <w:rPr>
                <w:rFonts w:cs="Arial"/>
                <w:sz w:val="17"/>
                <w:szCs w:val="17"/>
              </w:rPr>
              <w:t>.</w:t>
            </w:r>
          </w:p>
        </w:tc>
        <w:tc>
          <w:tcPr>
            <w:tcW w:w="6439" w:type="dxa"/>
            <w:vAlign w:val="center"/>
          </w:tcPr>
          <w:p w14:paraId="226E838C" w14:textId="77777777" w:rsidR="006E24F8" w:rsidRPr="00944EC7" w:rsidRDefault="006E24F8" w:rsidP="00983327">
            <w:pPr>
              <w:pStyle w:val="BodyText"/>
              <w:spacing w:before="20" w:after="20" w:line="240" w:lineRule="auto"/>
              <w:rPr>
                <w:sz w:val="17"/>
                <w:szCs w:val="17"/>
              </w:rPr>
            </w:pPr>
            <w:r w:rsidRPr="00944EC7">
              <w:rPr>
                <w:sz w:val="17"/>
                <w:szCs w:val="17"/>
              </w:rPr>
              <w:t xml:space="preserve">To address APA’s concerns, r. 593(4) has been amended to remove any reference to a requirement to maintain equipment. </w:t>
            </w:r>
          </w:p>
        </w:tc>
      </w:tr>
      <w:tr w:rsidR="006E24F8" w:rsidRPr="00944EC7" w14:paraId="0B76592B" w14:textId="77777777" w:rsidTr="00944EC7">
        <w:trPr>
          <w:cnfStyle w:val="000000010000" w:firstRow="0" w:lastRow="0" w:firstColumn="0" w:lastColumn="0" w:oddVBand="0" w:evenVBand="0" w:oddHBand="0" w:evenHBand="1" w:firstRowFirstColumn="0" w:firstRowLastColumn="0" w:lastRowFirstColumn="0" w:lastRowLastColumn="0"/>
          <w:trHeight w:val="582"/>
        </w:trPr>
        <w:tc>
          <w:tcPr>
            <w:tcW w:w="1659" w:type="dxa"/>
            <w:vAlign w:val="center"/>
          </w:tcPr>
          <w:p w14:paraId="53CDEF98"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595</w:t>
            </w:r>
          </w:p>
        </w:tc>
        <w:tc>
          <w:tcPr>
            <w:tcW w:w="5652" w:type="dxa"/>
            <w:vAlign w:val="center"/>
          </w:tcPr>
          <w:p w14:paraId="1E6D8E6F" w14:textId="77777777" w:rsidR="006E24F8" w:rsidRPr="00944EC7" w:rsidRDefault="006E24F8" w:rsidP="00983327">
            <w:pPr>
              <w:pStyle w:val="BodyText"/>
              <w:spacing w:before="20" w:after="20" w:line="240" w:lineRule="auto"/>
              <w:rPr>
                <w:rFonts w:cs="Arial"/>
                <w:sz w:val="17"/>
                <w:szCs w:val="17"/>
              </w:rPr>
            </w:pPr>
            <w:r w:rsidRPr="00944EC7">
              <w:rPr>
                <w:rFonts w:cs="Arial"/>
                <w:sz w:val="17"/>
                <w:szCs w:val="17"/>
              </w:rPr>
              <w:t>APA was of the view that the Code objective should be the NGO and claimed that having several sub-objectives in the NGR is confusing and makes enforcement difficult.</w:t>
            </w:r>
          </w:p>
        </w:tc>
        <w:tc>
          <w:tcPr>
            <w:tcW w:w="6439" w:type="dxa"/>
            <w:vAlign w:val="center"/>
          </w:tcPr>
          <w:p w14:paraId="6BFE0799" w14:textId="564EF403" w:rsidR="006E24F8" w:rsidRPr="00944EC7" w:rsidRDefault="006E24F8" w:rsidP="00983327">
            <w:pPr>
              <w:pStyle w:val="BodyText"/>
              <w:spacing w:before="20" w:after="20" w:line="240" w:lineRule="auto"/>
              <w:rPr>
                <w:sz w:val="17"/>
                <w:szCs w:val="17"/>
              </w:rPr>
            </w:pPr>
            <w:r w:rsidRPr="00944EC7">
              <w:rPr>
                <w:sz w:val="17"/>
                <w:szCs w:val="17"/>
              </w:rPr>
              <w:t xml:space="preserve">The </w:t>
            </w:r>
            <w:r w:rsidR="00983327" w:rsidRPr="00944EC7">
              <w:rPr>
                <w:sz w:val="17"/>
                <w:szCs w:val="17"/>
              </w:rPr>
              <w:t xml:space="preserve">GMRG </w:t>
            </w:r>
            <w:r w:rsidRPr="00944EC7">
              <w:rPr>
                <w:sz w:val="17"/>
                <w:szCs w:val="17"/>
              </w:rPr>
              <w:t>disagrees with APA that having sub-objectives in the NGR is confusing and makes enforcement difficult. In the GMRG’s view the Code objective is consistent with the NGO and will provide the Panel and the AER greater guidance when considering proposed amendments to the Code. No amendments have therefore been made to this provision.</w:t>
            </w:r>
          </w:p>
        </w:tc>
      </w:tr>
      <w:tr w:rsidR="006E24F8" w:rsidRPr="00944EC7" w14:paraId="5D26A599" w14:textId="77777777" w:rsidTr="00944EC7">
        <w:trPr>
          <w:trHeight w:val="1230"/>
        </w:trPr>
        <w:tc>
          <w:tcPr>
            <w:tcW w:w="1659" w:type="dxa"/>
            <w:vAlign w:val="center"/>
          </w:tcPr>
          <w:p w14:paraId="56477F57"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597</w:t>
            </w:r>
          </w:p>
        </w:tc>
        <w:tc>
          <w:tcPr>
            <w:tcW w:w="5652" w:type="dxa"/>
            <w:vAlign w:val="center"/>
          </w:tcPr>
          <w:p w14:paraId="0FED19B4" w14:textId="2DF40709" w:rsidR="006E24F8" w:rsidRPr="00944EC7" w:rsidRDefault="006E24F8" w:rsidP="00983327">
            <w:pPr>
              <w:pStyle w:val="BodyText"/>
              <w:spacing w:before="20" w:after="20" w:line="240" w:lineRule="auto"/>
              <w:rPr>
                <w:rFonts w:cs="Arial"/>
                <w:sz w:val="17"/>
                <w:szCs w:val="17"/>
              </w:rPr>
            </w:pPr>
            <w:r w:rsidRPr="00944EC7">
              <w:rPr>
                <w:rFonts w:cs="Arial"/>
                <w:sz w:val="17"/>
                <w:szCs w:val="17"/>
              </w:rPr>
              <w:t>APA noted that the ability to provide operational capacity at a service point may be affected by firm backhaul services and firm park services that include a firm transportation component and suggested this be reflected in r. 597.</w:t>
            </w:r>
          </w:p>
          <w:p w14:paraId="15FFD3DA" w14:textId="77777777" w:rsidR="006E24F8" w:rsidRPr="00944EC7" w:rsidRDefault="006E24F8" w:rsidP="00983327">
            <w:pPr>
              <w:pStyle w:val="BodyText"/>
              <w:spacing w:before="20" w:after="20" w:line="240" w:lineRule="auto"/>
              <w:rPr>
                <w:rFonts w:cs="Arial"/>
                <w:sz w:val="17"/>
                <w:szCs w:val="17"/>
              </w:rPr>
            </w:pPr>
            <w:r w:rsidRPr="00944EC7">
              <w:rPr>
                <w:rFonts w:cs="Arial"/>
                <w:sz w:val="17"/>
                <w:szCs w:val="17"/>
              </w:rPr>
              <w:t xml:space="preserve">Origin also noted that under some primary facility agreements, capacity nominations and renominations can either be made by a shipper or be deemed to have been provided. Origin queried whether the current wording allowed for this deeming. </w:t>
            </w:r>
          </w:p>
        </w:tc>
        <w:tc>
          <w:tcPr>
            <w:tcW w:w="6439" w:type="dxa"/>
            <w:vAlign w:val="center"/>
          </w:tcPr>
          <w:p w14:paraId="126F1449" w14:textId="77777777" w:rsidR="006E24F8" w:rsidRPr="00944EC7" w:rsidRDefault="006E24F8" w:rsidP="00983327">
            <w:pPr>
              <w:pStyle w:val="TableBullet1"/>
              <w:numPr>
                <w:ilvl w:val="0"/>
                <w:numId w:val="0"/>
              </w:numPr>
              <w:spacing w:after="20" w:line="240" w:lineRule="auto"/>
              <w:ind w:left="85"/>
              <w:rPr>
                <w:sz w:val="17"/>
                <w:szCs w:val="17"/>
              </w:rPr>
            </w:pPr>
            <w:r w:rsidRPr="00944EC7">
              <w:rPr>
                <w:sz w:val="17"/>
                <w:szCs w:val="17"/>
              </w:rPr>
              <w:t>The GMRG agrees with APA’s comments regarding park and backhaul services. Rule 597 has been amended accordingly.</w:t>
            </w:r>
          </w:p>
          <w:p w14:paraId="4A69EFF0" w14:textId="77777777" w:rsidR="006E24F8" w:rsidRPr="00944EC7" w:rsidRDefault="006E24F8" w:rsidP="00983327">
            <w:pPr>
              <w:pStyle w:val="TableBullet1"/>
              <w:numPr>
                <w:ilvl w:val="0"/>
                <w:numId w:val="0"/>
              </w:numPr>
              <w:spacing w:after="20" w:line="240" w:lineRule="auto"/>
              <w:ind w:left="85"/>
              <w:rPr>
                <w:sz w:val="17"/>
                <w:szCs w:val="17"/>
              </w:rPr>
            </w:pPr>
            <w:r w:rsidRPr="00944EC7">
              <w:rPr>
                <w:sz w:val="17"/>
                <w:szCs w:val="17"/>
              </w:rPr>
              <w:t xml:space="preserve">To address Origin’s concerns, the definition of nomination and renomination in Parts 24 and 25 have been amended to include deemed or default nominations and renominations. </w:t>
            </w:r>
          </w:p>
        </w:tc>
      </w:tr>
      <w:tr w:rsidR="006E24F8" w:rsidRPr="00944EC7" w14:paraId="7070B429" w14:textId="77777777" w:rsidTr="00944EC7">
        <w:trPr>
          <w:cnfStyle w:val="000000010000" w:firstRow="0" w:lastRow="0" w:firstColumn="0" w:lastColumn="0" w:oddVBand="0" w:evenVBand="0" w:oddHBand="0" w:evenHBand="1" w:firstRowFirstColumn="0" w:firstRowLastColumn="0" w:lastRowFirstColumn="0" w:lastRowLastColumn="0"/>
          <w:trHeight w:val="157"/>
        </w:trPr>
        <w:tc>
          <w:tcPr>
            <w:tcW w:w="1659" w:type="dxa"/>
            <w:vAlign w:val="center"/>
          </w:tcPr>
          <w:p w14:paraId="2EABCF80"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599</w:t>
            </w:r>
          </w:p>
        </w:tc>
        <w:tc>
          <w:tcPr>
            <w:tcW w:w="5652" w:type="dxa"/>
            <w:vAlign w:val="center"/>
          </w:tcPr>
          <w:p w14:paraId="10443114" w14:textId="77777777" w:rsidR="006E24F8" w:rsidRPr="00944EC7" w:rsidRDefault="006E24F8" w:rsidP="00983327">
            <w:pPr>
              <w:pStyle w:val="BodyText"/>
              <w:spacing w:before="20" w:after="20" w:line="240" w:lineRule="auto"/>
              <w:rPr>
                <w:rFonts w:cs="Arial"/>
                <w:sz w:val="17"/>
                <w:szCs w:val="17"/>
              </w:rPr>
            </w:pPr>
            <w:r w:rsidRPr="00944EC7">
              <w:rPr>
                <w:rFonts w:cs="Arial"/>
                <w:sz w:val="17"/>
                <w:szCs w:val="17"/>
              </w:rPr>
              <w:t xml:space="preserve">APA noted that the proposal to require AEMO to develop the operating manual and election procedures for the Panel could accord it too much discretion. </w:t>
            </w:r>
          </w:p>
        </w:tc>
        <w:tc>
          <w:tcPr>
            <w:tcW w:w="6439" w:type="dxa"/>
            <w:vAlign w:val="center"/>
          </w:tcPr>
          <w:p w14:paraId="231B7BFF" w14:textId="1282397A" w:rsidR="006E24F8" w:rsidRPr="00944EC7" w:rsidRDefault="00983327" w:rsidP="00983327">
            <w:pPr>
              <w:pStyle w:val="BodyText"/>
              <w:spacing w:before="20" w:after="20" w:line="240" w:lineRule="auto"/>
              <w:rPr>
                <w:sz w:val="17"/>
                <w:szCs w:val="17"/>
              </w:rPr>
            </w:pPr>
            <w:r w:rsidRPr="00944EC7">
              <w:rPr>
                <w:sz w:val="17"/>
                <w:szCs w:val="17"/>
              </w:rPr>
              <w:t xml:space="preserve">In the GMRG’s view, AEMO, as chair of the Panel, is the appropriate body to develop the operating manual and election procedures. The GMRG does, however, consider that when developing these instruments, AEMO should be required to consult with stakeholders. Rule </w:t>
            </w:r>
            <w:r w:rsidR="006E24F8" w:rsidRPr="00944EC7">
              <w:rPr>
                <w:sz w:val="17"/>
                <w:szCs w:val="17"/>
              </w:rPr>
              <w:t xml:space="preserve">599 has </w:t>
            </w:r>
            <w:r w:rsidRPr="00944EC7">
              <w:rPr>
                <w:sz w:val="17"/>
                <w:szCs w:val="17"/>
              </w:rPr>
              <w:t xml:space="preserve">therefore </w:t>
            </w:r>
            <w:r w:rsidR="006E24F8" w:rsidRPr="00944EC7">
              <w:rPr>
                <w:sz w:val="17"/>
                <w:szCs w:val="17"/>
              </w:rPr>
              <w:t>been amended to require AEMO to consult in accordance with the standard consultative procedure before making or amending the election procedures and operating manual.</w:t>
            </w:r>
          </w:p>
        </w:tc>
      </w:tr>
      <w:tr w:rsidR="006E24F8" w:rsidRPr="00944EC7" w14:paraId="6B121878" w14:textId="77777777" w:rsidTr="00944EC7">
        <w:trPr>
          <w:trHeight w:val="64"/>
        </w:trPr>
        <w:tc>
          <w:tcPr>
            <w:tcW w:w="1659" w:type="dxa"/>
            <w:vAlign w:val="center"/>
          </w:tcPr>
          <w:p w14:paraId="2EBC7086"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lastRenderedPageBreak/>
              <w:t>r. 601</w:t>
            </w:r>
          </w:p>
        </w:tc>
        <w:tc>
          <w:tcPr>
            <w:tcW w:w="5652" w:type="dxa"/>
            <w:vAlign w:val="center"/>
          </w:tcPr>
          <w:p w14:paraId="0E358040" w14:textId="2D74881D"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of the view that this rule, which allows AEMO to reject Code amendment proposals without referring them to the Panel if it reasonably considers a proposal is misconceived or lacking in substance, accord AEMO too much power. </w:t>
            </w:r>
          </w:p>
        </w:tc>
        <w:tc>
          <w:tcPr>
            <w:tcW w:w="6439" w:type="dxa"/>
            <w:vAlign w:val="center"/>
          </w:tcPr>
          <w:p w14:paraId="3585DA3D" w14:textId="1A5E45FF" w:rsidR="006E24F8" w:rsidRPr="00944EC7" w:rsidRDefault="006E24F8" w:rsidP="00983327">
            <w:pPr>
              <w:pStyle w:val="BodyText"/>
              <w:spacing w:before="20" w:after="40" w:line="240" w:lineRule="auto"/>
              <w:rPr>
                <w:sz w:val="17"/>
                <w:szCs w:val="17"/>
              </w:rPr>
            </w:pPr>
            <w:r w:rsidRPr="00944EC7">
              <w:rPr>
                <w:sz w:val="17"/>
                <w:szCs w:val="17"/>
              </w:rPr>
              <w:t xml:space="preserve">While the GMRG has considered APA’s concerns, it does not </w:t>
            </w:r>
            <w:r w:rsidR="00983327" w:rsidRPr="00944EC7">
              <w:rPr>
                <w:sz w:val="17"/>
                <w:szCs w:val="17"/>
              </w:rPr>
              <w:t xml:space="preserve">consider </w:t>
            </w:r>
            <w:r w:rsidRPr="00944EC7">
              <w:rPr>
                <w:sz w:val="17"/>
                <w:szCs w:val="17"/>
              </w:rPr>
              <w:t xml:space="preserve">that this provision accords AEMO unduly broad powers, because this power can only be exercised by AEMO if it considers a proposal is misconceived or lacking in substance </w:t>
            </w:r>
            <w:r w:rsidRPr="00944EC7">
              <w:rPr>
                <w:i/>
                <w:sz w:val="17"/>
                <w:szCs w:val="17"/>
              </w:rPr>
              <w:t>acting reasonably</w:t>
            </w:r>
            <w:r w:rsidRPr="00944EC7">
              <w:rPr>
                <w:sz w:val="17"/>
                <w:szCs w:val="17"/>
              </w:rPr>
              <w:t>. It is also worth noting that this power was accorded to AEMO to try and prevent the Panel from having to assemble unnecessarily (and incurring associated costs).  No changes have therefore been made to this rule.</w:t>
            </w:r>
          </w:p>
        </w:tc>
      </w:tr>
      <w:tr w:rsidR="006E24F8" w:rsidRPr="00944EC7" w14:paraId="3A3554D5" w14:textId="77777777" w:rsidTr="00944EC7">
        <w:trPr>
          <w:cnfStyle w:val="000000010000" w:firstRow="0" w:lastRow="0" w:firstColumn="0" w:lastColumn="0" w:oddVBand="0" w:evenVBand="0" w:oddHBand="0" w:evenHBand="1" w:firstRowFirstColumn="0" w:firstRowLastColumn="0" w:lastRowFirstColumn="0" w:lastRowLastColumn="0"/>
          <w:trHeight w:val="224"/>
        </w:trPr>
        <w:tc>
          <w:tcPr>
            <w:tcW w:w="1659" w:type="dxa"/>
            <w:vAlign w:val="center"/>
          </w:tcPr>
          <w:p w14:paraId="3041AA48"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602</w:t>
            </w:r>
          </w:p>
        </w:tc>
        <w:tc>
          <w:tcPr>
            <w:tcW w:w="5652" w:type="dxa"/>
            <w:vAlign w:val="center"/>
          </w:tcPr>
          <w:p w14:paraId="622E5B34"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APA suggested that further clarity should be provided in r. 602 as to when a proposal may not be subject to consultation.</w:t>
            </w:r>
          </w:p>
        </w:tc>
        <w:tc>
          <w:tcPr>
            <w:tcW w:w="6439" w:type="dxa"/>
            <w:vAlign w:val="center"/>
          </w:tcPr>
          <w:p w14:paraId="276DCBEF" w14:textId="663DE177" w:rsidR="006E24F8" w:rsidRPr="00944EC7" w:rsidRDefault="006E24F8" w:rsidP="00983327">
            <w:pPr>
              <w:pStyle w:val="BodyText"/>
              <w:spacing w:before="20" w:after="40" w:line="240" w:lineRule="auto"/>
              <w:rPr>
                <w:sz w:val="17"/>
                <w:szCs w:val="17"/>
              </w:rPr>
            </w:pPr>
            <w:r w:rsidRPr="00944EC7">
              <w:rPr>
                <w:sz w:val="17"/>
                <w:szCs w:val="17"/>
              </w:rPr>
              <w:t xml:space="preserve">In the GMRG’s view, the drafting of r. 602(3), which is modelled on </w:t>
            </w:r>
            <w:r w:rsidR="00983327" w:rsidRPr="00944EC7">
              <w:rPr>
                <w:sz w:val="17"/>
                <w:szCs w:val="17"/>
              </w:rPr>
              <w:t xml:space="preserve">the rule that </w:t>
            </w:r>
            <w:r w:rsidRPr="00944EC7">
              <w:rPr>
                <w:sz w:val="17"/>
                <w:szCs w:val="17"/>
              </w:rPr>
              <w:t xml:space="preserve">provides </w:t>
            </w:r>
            <w:r w:rsidR="00983327" w:rsidRPr="00944EC7">
              <w:rPr>
                <w:sz w:val="17"/>
                <w:szCs w:val="17"/>
              </w:rPr>
              <w:t xml:space="preserve">for procedures to be expedited, provides </w:t>
            </w:r>
            <w:r w:rsidRPr="00944EC7">
              <w:rPr>
                <w:sz w:val="17"/>
                <w:szCs w:val="17"/>
              </w:rPr>
              <w:t xml:space="preserve">sufficient clarity around when the Panel may be relieved of its obligation to consult on proposed amendments to the Code (i.e. when the modification is urgent or non-material). No changes have therefore been made to this rule. </w:t>
            </w:r>
          </w:p>
        </w:tc>
      </w:tr>
      <w:tr w:rsidR="006E24F8" w:rsidRPr="00944EC7" w14:paraId="6B0917E7" w14:textId="77777777" w:rsidTr="00944EC7">
        <w:trPr>
          <w:trHeight w:val="1165"/>
        </w:trPr>
        <w:tc>
          <w:tcPr>
            <w:tcW w:w="1659" w:type="dxa"/>
            <w:vMerge w:val="restart"/>
            <w:vAlign w:val="center"/>
          </w:tcPr>
          <w:p w14:paraId="2B045462"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605</w:t>
            </w:r>
          </w:p>
        </w:tc>
        <w:tc>
          <w:tcPr>
            <w:tcW w:w="5652" w:type="dxa"/>
            <w:tcBorders>
              <w:bottom w:val="single" w:sz="4" w:space="0" w:color="auto"/>
            </w:tcBorders>
            <w:vAlign w:val="center"/>
          </w:tcPr>
          <w:p w14:paraId="602607BF" w14:textId="508CF883"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of the view that the AER should be required to consider service providers’ legitimate </w:t>
            </w:r>
            <w:r w:rsidR="00983327" w:rsidRPr="00944EC7">
              <w:rPr>
                <w:rFonts w:cs="Arial"/>
                <w:sz w:val="17"/>
                <w:szCs w:val="17"/>
              </w:rPr>
              <w:t xml:space="preserve">business </w:t>
            </w:r>
            <w:r w:rsidRPr="00944EC7">
              <w:rPr>
                <w:rFonts w:cs="Arial"/>
                <w:sz w:val="17"/>
                <w:szCs w:val="17"/>
              </w:rPr>
              <w:t>interests when assessing a Code amendment. Palisade also suggested that the AER be required to consider more principles that protect service providers when considering amendments to the Code.</w:t>
            </w:r>
          </w:p>
        </w:tc>
        <w:tc>
          <w:tcPr>
            <w:tcW w:w="6439" w:type="dxa"/>
            <w:tcBorders>
              <w:bottom w:val="single" w:sz="4" w:space="0" w:color="auto"/>
            </w:tcBorders>
            <w:vAlign w:val="center"/>
          </w:tcPr>
          <w:p w14:paraId="2E04038E" w14:textId="4B26AD34" w:rsidR="006E24F8" w:rsidRPr="00944EC7" w:rsidRDefault="006E24F8" w:rsidP="00983327">
            <w:pPr>
              <w:pStyle w:val="BodyText"/>
              <w:spacing w:before="20" w:after="40" w:line="240" w:lineRule="auto"/>
              <w:rPr>
                <w:sz w:val="17"/>
                <w:szCs w:val="17"/>
              </w:rPr>
            </w:pPr>
            <w:r w:rsidRPr="00944EC7">
              <w:rPr>
                <w:sz w:val="17"/>
                <w:szCs w:val="17"/>
              </w:rPr>
              <w:t xml:space="preserve">The GMRG has considered the issues raised by APA and Palisade, but does not consider any amendments to this rule are required to elevate the interests of service providers above those of shippers. As noted in rule 595, the objective of the Code is to provide for access on reasonable terms, which is taken to mean at prices and on other terms and conditions that, so far as practical, reflect the outcomes of a workably competitive market. In the GMRG’s view, elevating service providers’ interests above shippers’ interests would be at odds with this objective, which is why r. 605 only states that the AER </w:t>
            </w:r>
            <w:r w:rsidRPr="00944EC7">
              <w:rPr>
                <w:i/>
                <w:sz w:val="17"/>
                <w:szCs w:val="17"/>
              </w:rPr>
              <w:t>may</w:t>
            </w:r>
            <w:r w:rsidRPr="00944EC7">
              <w:rPr>
                <w:sz w:val="17"/>
                <w:szCs w:val="17"/>
              </w:rPr>
              <w:t xml:space="preserve"> have regard to the legitimate business interests of service providers when deciding whether to make an amendment to the Code, rather than ‘must’. This is akin to the requirements in Part 23 of the NGR and, in the GMRG’s view, is appropriate in this context. </w:t>
            </w:r>
          </w:p>
        </w:tc>
      </w:tr>
      <w:tr w:rsidR="006E24F8" w:rsidRPr="00944EC7" w14:paraId="78021CB0" w14:textId="77777777" w:rsidTr="00944EC7">
        <w:trPr>
          <w:cnfStyle w:val="000000010000" w:firstRow="0" w:lastRow="0" w:firstColumn="0" w:lastColumn="0" w:oddVBand="0" w:evenVBand="0" w:oddHBand="0" w:evenHBand="1" w:firstRowFirstColumn="0" w:firstRowLastColumn="0" w:lastRowFirstColumn="0" w:lastRowLastColumn="0"/>
          <w:trHeight w:val="754"/>
        </w:trPr>
        <w:tc>
          <w:tcPr>
            <w:tcW w:w="1659" w:type="dxa"/>
            <w:vMerge/>
            <w:tcBorders>
              <w:bottom w:val="single" w:sz="4" w:space="0" w:color="auto"/>
            </w:tcBorders>
            <w:vAlign w:val="center"/>
          </w:tcPr>
          <w:p w14:paraId="56E6F765" w14:textId="77777777" w:rsidR="006E24F8" w:rsidRPr="00944EC7" w:rsidRDefault="006E24F8" w:rsidP="00983327">
            <w:pPr>
              <w:pStyle w:val="BodyText"/>
              <w:spacing w:before="20" w:after="40" w:line="240" w:lineRule="auto"/>
              <w:rPr>
                <w:rFonts w:cs="Arial"/>
                <w:sz w:val="17"/>
                <w:szCs w:val="17"/>
              </w:rPr>
            </w:pPr>
          </w:p>
        </w:tc>
        <w:tc>
          <w:tcPr>
            <w:tcW w:w="5652" w:type="dxa"/>
            <w:tcBorders>
              <w:bottom w:val="single" w:sz="4" w:space="0" w:color="auto"/>
            </w:tcBorders>
            <w:shd w:val="clear" w:color="auto" w:fill="FFFFFF" w:themeFill="background1"/>
            <w:vAlign w:val="center"/>
          </w:tcPr>
          <w:p w14:paraId="75ADCEE8"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APA also noted that if a service provider is required to publish a new OTSA following a Code amendment decision, then if the change relates to facility specific terms, service providers may require more than 20 business days to make the change.</w:t>
            </w:r>
          </w:p>
        </w:tc>
        <w:tc>
          <w:tcPr>
            <w:tcW w:w="6439" w:type="dxa"/>
            <w:tcBorders>
              <w:bottom w:val="single" w:sz="4" w:space="0" w:color="auto"/>
            </w:tcBorders>
            <w:shd w:val="clear" w:color="auto" w:fill="FFFFFF" w:themeFill="background1"/>
            <w:vAlign w:val="center"/>
          </w:tcPr>
          <w:p w14:paraId="27E785BB" w14:textId="77777777" w:rsidR="006E24F8" w:rsidRPr="00944EC7" w:rsidRDefault="006E24F8" w:rsidP="00983327">
            <w:pPr>
              <w:pStyle w:val="BodyText"/>
              <w:spacing w:before="20" w:after="40" w:line="240" w:lineRule="auto"/>
              <w:rPr>
                <w:sz w:val="17"/>
                <w:szCs w:val="17"/>
              </w:rPr>
            </w:pPr>
            <w:r w:rsidRPr="00944EC7">
              <w:rPr>
                <w:sz w:val="17"/>
                <w:szCs w:val="17"/>
              </w:rPr>
              <w:t xml:space="preserve">To address APA’s, the period to amend standard OTSAs has been extended from 20 business days to 30 business days.  </w:t>
            </w:r>
          </w:p>
        </w:tc>
      </w:tr>
      <w:tr w:rsidR="006E24F8" w:rsidRPr="00944EC7" w14:paraId="73A92762" w14:textId="77777777" w:rsidTr="00944EC7">
        <w:trPr>
          <w:trHeight w:val="1077"/>
        </w:trPr>
        <w:tc>
          <w:tcPr>
            <w:tcW w:w="1659" w:type="dxa"/>
            <w:vMerge w:val="restart"/>
            <w:shd w:val="clear" w:color="auto" w:fill="E1E2E7" w:themeFill="background2"/>
            <w:vAlign w:val="center"/>
          </w:tcPr>
          <w:p w14:paraId="04139044"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627</w:t>
            </w:r>
          </w:p>
        </w:tc>
        <w:tc>
          <w:tcPr>
            <w:tcW w:w="5652" w:type="dxa"/>
            <w:shd w:val="clear" w:color="auto" w:fill="E1E2E7" w:themeFill="background2"/>
            <w:vAlign w:val="center"/>
          </w:tcPr>
          <w:p w14:paraId="7D922BC9" w14:textId="77777777" w:rsidR="006E24F8" w:rsidRPr="00944EC7" w:rsidRDefault="006E24F8" w:rsidP="00983327">
            <w:pPr>
              <w:pStyle w:val="BodyText"/>
              <w:spacing w:before="40" w:after="40" w:line="240" w:lineRule="auto"/>
              <w:rPr>
                <w:rFonts w:cs="Arial"/>
                <w:sz w:val="17"/>
                <w:szCs w:val="17"/>
              </w:rPr>
            </w:pPr>
            <w:r w:rsidRPr="00944EC7">
              <w:rPr>
                <w:rFonts w:cs="Arial"/>
                <w:sz w:val="17"/>
                <w:szCs w:val="17"/>
              </w:rPr>
              <w:t>GLNG and APLNG suggested that r. 627 be clarified to make it clearer that AEMO must consult with shippers when defining zones.</w:t>
            </w:r>
          </w:p>
        </w:tc>
        <w:tc>
          <w:tcPr>
            <w:tcW w:w="6439" w:type="dxa"/>
            <w:shd w:val="clear" w:color="auto" w:fill="E1E2E7" w:themeFill="background2"/>
            <w:vAlign w:val="center"/>
          </w:tcPr>
          <w:p w14:paraId="6BA6A8DD" w14:textId="7EC7F1E9" w:rsidR="006E24F8" w:rsidRPr="00944EC7" w:rsidRDefault="006E24F8" w:rsidP="00983327">
            <w:pPr>
              <w:pStyle w:val="TableBodyText"/>
              <w:spacing w:before="40" w:after="40"/>
              <w:rPr>
                <w:sz w:val="17"/>
                <w:szCs w:val="17"/>
              </w:rPr>
            </w:pPr>
            <w:r w:rsidRPr="00944EC7">
              <w:rPr>
                <w:sz w:val="17"/>
                <w:szCs w:val="17"/>
              </w:rPr>
              <w:t>To address GLNG</w:t>
            </w:r>
            <w:r w:rsidR="00983327" w:rsidRPr="00944EC7">
              <w:rPr>
                <w:sz w:val="17"/>
                <w:szCs w:val="17"/>
              </w:rPr>
              <w:t xml:space="preserve"> and APLNG’s </w:t>
            </w:r>
            <w:r w:rsidRPr="00944EC7">
              <w:rPr>
                <w:sz w:val="17"/>
                <w:szCs w:val="17"/>
              </w:rPr>
              <w:t>concerns, r. 627 has been amended to expressly require AEMO to consult before allocating pipeline services points and compression services points to zones or determining the specification of pipeline segments.</w:t>
            </w:r>
          </w:p>
        </w:tc>
      </w:tr>
      <w:tr w:rsidR="006E24F8" w:rsidRPr="00944EC7" w14:paraId="158E7696" w14:textId="77777777" w:rsidTr="00944EC7">
        <w:trPr>
          <w:cnfStyle w:val="000000010000" w:firstRow="0" w:lastRow="0" w:firstColumn="0" w:lastColumn="0" w:oddVBand="0" w:evenVBand="0" w:oddHBand="0" w:evenHBand="1" w:firstRowFirstColumn="0" w:firstRowLastColumn="0" w:lastRowFirstColumn="0" w:lastRowLastColumn="0"/>
          <w:trHeight w:val="1077"/>
        </w:trPr>
        <w:tc>
          <w:tcPr>
            <w:tcW w:w="1659" w:type="dxa"/>
            <w:vMerge/>
            <w:vAlign w:val="center"/>
          </w:tcPr>
          <w:p w14:paraId="3B58D99B" w14:textId="77777777" w:rsidR="006E24F8" w:rsidRPr="00944EC7" w:rsidRDefault="006E24F8" w:rsidP="00983327">
            <w:pPr>
              <w:pStyle w:val="BodyText"/>
              <w:spacing w:before="20" w:after="40" w:line="240" w:lineRule="auto"/>
              <w:rPr>
                <w:rFonts w:cs="Arial"/>
                <w:sz w:val="17"/>
                <w:szCs w:val="17"/>
              </w:rPr>
            </w:pPr>
          </w:p>
        </w:tc>
        <w:tc>
          <w:tcPr>
            <w:tcW w:w="5652" w:type="dxa"/>
            <w:vAlign w:val="center"/>
          </w:tcPr>
          <w:p w14:paraId="5AA0E4A7" w14:textId="3F41A183"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raised </w:t>
            </w:r>
            <w:r w:rsidR="00983327" w:rsidRPr="00944EC7">
              <w:rPr>
                <w:rFonts w:cs="Arial"/>
                <w:sz w:val="17"/>
                <w:szCs w:val="17"/>
              </w:rPr>
              <w:t xml:space="preserve">some </w:t>
            </w:r>
            <w:r w:rsidRPr="00944EC7">
              <w:rPr>
                <w:rFonts w:cs="Arial"/>
                <w:sz w:val="17"/>
                <w:szCs w:val="17"/>
              </w:rPr>
              <w:t xml:space="preserve">concerns with the expedited process for consultations on zones and </w:t>
            </w:r>
            <w:r w:rsidR="00983327" w:rsidRPr="00944EC7">
              <w:rPr>
                <w:rFonts w:cs="Arial"/>
                <w:sz w:val="17"/>
                <w:szCs w:val="17"/>
              </w:rPr>
              <w:t xml:space="preserve">stated </w:t>
            </w:r>
            <w:r w:rsidRPr="00944EC7">
              <w:rPr>
                <w:rFonts w:cs="Arial"/>
                <w:sz w:val="17"/>
                <w:szCs w:val="17"/>
              </w:rPr>
              <w:t>that:</w:t>
            </w:r>
          </w:p>
          <w:p w14:paraId="6970B03C" w14:textId="77777777" w:rsidR="006E24F8" w:rsidRPr="00944EC7" w:rsidRDefault="006E24F8" w:rsidP="00983327">
            <w:pPr>
              <w:pStyle w:val="TableBullet1"/>
              <w:rPr>
                <w:sz w:val="17"/>
                <w:szCs w:val="17"/>
              </w:rPr>
            </w:pPr>
            <w:r w:rsidRPr="00944EC7">
              <w:rPr>
                <w:sz w:val="17"/>
                <w:szCs w:val="17"/>
              </w:rPr>
              <w:t>AEMO should not design the expedited process and then determine when it should apply; and</w:t>
            </w:r>
          </w:p>
          <w:p w14:paraId="2325D846" w14:textId="77777777" w:rsidR="006E24F8" w:rsidRPr="00944EC7" w:rsidRDefault="006E24F8" w:rsidP="00983327">
            <w:pPr>
              <w:pStyle w:val="TableBullet1"/>
              <w:rPr>
                <w:sz w:val="17"/>
                <w:szCs w:val="17"/>
              </w:rPr>
            </w:pPr>
            <w:r w:rsidRPr="00944EC7">
              <w:rPr>
                <w:sz w:val="17"/>
                <w:szCs w:val="17"/>
              </w:rPr>
              <w:t>in determining whether to apply the expedited process, in addition to considering the impacts the matter may have on shippers, AEMO should consider whether the matter may have any adverse impacts on service providers.</w:t>
            </w:r>
          </w:p>
        </w:tc>
        <w:tc>
          <w:tcPr>
            <w:tcW w:w="6439" w:type="dxa"/>
            <w:vAlign w:val="center"/>
          </w:tcPr>
          <w:p w14:paraId="7DE6AD2C" w14:textId="77777777" w:rsidR="006E24F8" w:rsidRPr="00944EC7" w:rsidRDefault="006E24F8" w:rsidP="00983327">
            <w:pPr>
              <w:pStyle w:val="TableBodyText"/>
              <w:rPr>
                <w:sz w:val="17"/>
                <w:szCs w:val="17"/>
              </w:rPr>
            </w:pPr>
            <w:r w:rsidRPr="00944EC7">
              <w:rPr>
                <w:sz w:val="17"/>
                <w:szCs w:val="17"/>
              </w:rPr>
              <w:t xml:space="preserve">To address the concerns raised by APA, r. 627 has been amended to state that an expedited process for consultation can only be employed where the matter is of a minor or administrative matter. </w:t>
            </w:r>
          </w:p>
        </w:tc>
      </w:tr>
      <w:tr w:rsidR="006E24F8" w:rsidRPr="00944EC7" w14:paraId="76DF63F5" w14:textId="77777777" w:rsidTr="00944EC7">
        <w:trPr>
          <w:trHeight w:val="1230"/>
        </w:trPr>
        <w:tc>
          <w:tcPr>
            <w:tcW w:w="1659" w:type="dxa"/>
            <w:vAlign w:val="center"/>
          </w:tcPr>
          <w:p w14:paraId="156806E0"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lastRenderedPageBreak/>
              <w:t>r. 628</w:t>
            </w:r>
          </w:p>
        </w:tc>
        <w:tc>
          <w:tcPr>
            <w:tcW w:w="5652" w:type="dxa"/>
            <w:vAlign w:val="center"/>
          </w:tcPr>
          <w:p w14:paraId="52DC838F"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The following views were expressed about the principles for determining zones:</w:t>
            </w:r>
          </w:p>
          <w:p w14:paraId="70AFEA06" w14:textId="77777777" w:rsidR="006E24F8" w:rsidRPr="00944EC7" w:rsidRDefault="006E24F8" w:rsidP="00983327">
            <w:pPr>
              <w:pStyle w:val="TableBullet1"/>
              <w:rPr>
                <w:sz w:val="17"/>
                <w:szCs w:val="17"/>
              </w:rPr>
            </w:pPr>
            <w:r w:rsidRPr="00944EC7">
              <w:rPr>
                <w:sz w:val="17"/>
                <w:szCs w:val="17"/>
              </w:rPr>
              <w:t>The ECA was of the view that the requirement for AEMO to consider whether grouping two or more points in a zone would be “reasonably likely to promote efficient trade in and use of transportation capacity” should be removed because it set too high a hurdle for grouping service points in a zone.</w:t>
            </w:r>
          </w:p>
          <w:p w14:paraId="27B1E9A8" w14:textId="2F943603" w:rsidR="006E24F8" w:rsidRPr="00944EC7" w:rsidRDefault="006E24F8" w:rsidP="00983327">
            <w:pPr>
              <w:pStyle w:val="TableBullet1"/>
              <w:rPr>
                <w:sz w:val="17"/>
                <w:szCs w:val="17"/>
              </w:rPr>
            </w:pPr>
            <w:r w:rsidRPr="00944EC7">
              <w:rPr>
                <w:sz w:val="17"/>
                <w:szCs w:val="17"/>
              </w:rPr>
              <w:t xml:space="preserve">APA was of the view that the list of </w:t>
            </w:r>
            <w:r w:rsidR="00983327" w:rsidRPr="00944EC7">
              <w:rPr>
                <w:sz w:val="17"/>
                <w:szCs w:val="17"/>
              </w:rPr>
              <w:t xml:space="preserve">principles </w:t>
            </w:r>
            <w:r w:rsidRPr="00944EC7">
              <w:rPr>
                <w:sz w:val="17"/>
                <w:szCs w:val="17"/>
              </w:rPr>
              <w:t xml:space="preserve">AEMO must have regard to did not have adequately capture the technical and operational features of a facility. </w:t>
            </w:r>
          </w:p>
        </w:tc>
        <w:tc>
          <w:tcPr>
            <w:tcW w:w="6439" w:type="dxa"/>
            <w:vAlign w:val="center"/>
          </w:tcPr>
          <w:p w14:paraId="6F5DA713" w14:textId="77777777" w:rsidR="006E24F8" w:rsidRPr="00944EC7" w:rsidRDefault="006E24F8" w:rsidP="00983327">
            <w:pPr>
              <w:pStyle w:val="BodyText"/>
              <w:spacing w:before="20" w:after="40" w:line="240" w:lineRule="auto"/>
              <w:rPr>
                <w:sz w:val="17"/>
                <w:szCs w:val="17"/>
              </w:rPr>
            </w:pPr>
            <w:r w:rsidRPr="00944EC7">
              <w:rPr>
                <w:sz w:val="17"/>
                <w:szCs w:val="17"/>
              </w:rPr>
              <w:t xml:space="preserve">To address the ECA’s and APA’s concerns, r. 628 has been amended to remove the requirement for AEMO to consider whether the grouping of service points would be “reasonably likely to promote efficient trade in and use of transportation capacity’ and to require AEMO to consider any technical or operational characteristics of the relevant facility when making its decision. </w:t>
            </w:r>
          </w:p>
        </w:tc>
      </w:tr>
      <w:tr w:rsidR="006E24F8" w:rsidRPr="00944EC7" w14:paraId="0D2F06B0" w14:textId="77777777" w:rsidTr="00944EC7">
        <w:trPr>
          <w:cnfStyle w:val="000000010000" w:firstRow="0" w:lastRow="0" w:firstColumn="0" w:lastColumn="0" w:oddVBand="0" w:evenVBand="0" w:oddHBand="0" w:evenHBand="1" w:firstRowFirstColumn="0" w:firstRowLastColumn="0" w:lastRowFirstColumn="0" w:lastRowLastColumn="0"/>
          <w:trHeight w:val="1230"/>
        </w:trPr>
        <w:tc>
          <w:tcPr>
            <w:tcW w:w="1659" w:type="dxa"/>
            <w:vAlign w:val="center"/>
          </w:tcPr>
          <w:p w14:paraId="730AA91C"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629</w:t>
            </w:r>
          </w:p>
        </w:tc>
        <w:tc>
          <w:tcPr>
            <w:tcW w:w="5652" w:type="dxa"/>
            <w:vAlign w:val="center"/>
          </w:tcPr>
          <w:p w14:paraId="7B0681CB" w14:textId="40CA6A1A"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raised some concerns about the potential for </w:t>
            </w:r>
            <w:r w:rsidR="00983327" w:rsidRPr="00944EC7">
              <w:rPr>
                <w:rFonts w:cs="Arial"/>
                <w:sz w:val="17"/>
                <w:szCs w:val="17"/>
              </w:rPr>
              <w:t xml:space="preserve">this rule </w:t>
            </w:r>
            <w:r w:rsidRPr="00944EC7">
              <w:rPr>
                <w:rFonts w:cs="Arial"/>
                <w:sz w:val="17"/>
                <w:szCs w:val="17"/>
              </w:rPr>
              <w:t xml:space="preserve">to require transportation service providers to provide modelling or historical data for every zone. </w:t>
            </w:r>
          </w:p>
        </w:tc>
        <w:tc>
          <w:tcPr>
            <w:tcW w:w="6439" w:type="dxa"/>
            <w:vAlign w:val="center"/>
          </w:tcPr>
          <w:p w14:paraId="43AE34DE" w14:textId="77777777" w:rsidR="006E24F8" w:rsidRPr="00944EC7" w:rsidRDefault="006E24F8" w:rsidP="00983327">
            <w:pPr>
              <w:pStyle w:val="BodyText"/>
              <w:spacing w:before="20" w:after="40" w:line="240" w:lineRule="auto"/>
              <w:rPr>
                <w:sz w:val="17"/>
                <w:szCs w:val="17"/>
              </w:rPr>
            </w:pPr>
            <w:r w:rsidRPr="00944EC7">
              <w:rPr>
                <w:sz w:val="17"/>
                <w:szCs w:val="17"/>
              </w:rPr>
              <w:t xml:space="preserve">Following the release of the draft rules, r. 629(2) has been amended to remove the obligation for AEMO to publish modelling or historical data on the ability to transfer capacity between service points. The rule now requires the CT&amp;A Procedures to provide for a facility operator to provide AEMO with information relating to the curtailment of transportation capacity released for transfer from one service point in a zone for use at another point in the zone. This is expected to be based on factual data that will be collected on a regular basis rather than modelling. </w:t>
            </w:r>
          </w:p>
        </w:tc>
      </w:tr>
      <w:tr w:rsidR="006E24F8" w:rsidRPr="00944EC7" w14:paraId="0704BE6B" w14:textId="77777777" w:rsidTr="00944EC7">
        <w:trPr>
          <w:trHeight w:val="1030"/>
        </w:trPr>
        <w:tc>
          <w:tcPr>
            <w:tcW w:w="1659" w:type="dxa"/>
            <w:vAlign w:val="center"/>
          </w:tcPr>
          <w:p w14:paraId="60203FD7"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631</w:t>
            </w:r>
          </w:p>
        </w:tc>
        <w:tc>
          <w:tcPr>
            <w:tcW w:w="5652" w:type="dxa"/>
            <w:vAlign w:val="center"/>
          </w:tcPr>
          <w:p w14:paraId="503DF3E5"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of the view that the obligation to notify the AER when publishing or amending a standard OTSA was not strictly required to operate the capacity trading and auction platform. </w:t>
            </w:r>
          </w:p>
        </w:tc>
        <w:tc>
          <w:tcPr>
            <w:tcW w:w="6439" w:type="dxa"/>
            <w:vAlign w:val="center"/>
          </w:tcPr>
          <w:p w14:paraId="73C27B65" w14:textId="77777777" w:rsidR="006E24F8" w:rsidRPr="00944EC7" w:rsidRDefault="006E24F8" w:rsidP="00983327">
            <w:pPr>
              <w:pStyle w:val="BodyText"/>
              <w:spacing w:before="20" w:after="40" w:line="240" w:lineRule="auto"/>
              <w:rPr>
                <w:sz w:val="17"/>
                <w:szCs w:val="17"/>
              </w:rPr>
            </w:pPr>
            <w:r w:rsidRPr="00944EC7">
              <w:rPr>
                <w:sz w:val="17"/>
                <w:szCs w:val="17"/>
              </w:rPr>
              <w:t>In contrast to APA, the GMRG thinks there is value from a compliance perspective in requiring transportation service providers to notify the AER when they publish or amend a standard OTSA. In the GMRG’s view, the prompt notification of these circumstances will assist the AER in monitoring service providers’ compliance with their obligations concerning standard OTSAs. No amendments have therefore been made to this requirement.</w:t>
            </w:r>
          </w:p>
        </w:tc>
      </w:tr>
      <w:tr w:rsidR="006E24F8" w:rsidRPr="00944EC7" w14:paraId="3AC861FF" w14:textId="77777777" w:rsidTr="00944EC7">
        <w:trPr>
          <w:cnfStyle w:val="000000010000" w:firstRow="0" w:lastRow="0" w:firstColumn="0" w:lastColumn="0" w:oddVBand="0" w:evenVBand="0" w:oddHBand="0" w:evenHBand="1" w:firstRowFirstColumn="0" w:firstRowLastColumn="0" w:lastRowFirstColumn="0" w:lastRowLastColumn="0"/>
          <w:trHeight w:val="1230"/>
        </w:trPr>
        <w:tc>
          <w:tcPr>
            <w:tcW w:w="1659" w:type="dxa"/>
            <w:vAlign w:val="center"/>
          </w:tcPr>
          <w:p w14:paraId="5C09B190"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633</w:t>
            </w:r>
          </w:p>
        </w:tc>
        <w:tc>
          <w:tcPr>
            <w:tcW w:w="5652" w:type="dxa"/>
            <w:vAlign w:val="center"/>
          </w:tcPr>
          <w:p w14:paraId="7AEDBEF8"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APA noted that it was unclear why old versions of standard OTSAs had to be maintained for three years and also stated that this could confuse shippers and lead to unnecessary requests for terms that are no longer available.</w:t>
            </w:r>
          </w:p>
        </w:tc>
        <w:tc>
          <w:tcPr>
            <w:tcW w:w="6439" w:type="dxa"/>
            <w:vAlign w:val="center"/>
          </w:tcPr>
          <w:p w14:paraId="0DC4323F" w14:textId="30553C0A" w:rsidR="006E24F8" w:rsidRPr="00944EC7" w:rsidRDefault="006E24F8" w:rsidP="00983327">
            <w:pPr>
              <w:pStyle w:val="BodyText"/>
              <w:spacing w:before="20" w:after="40" w:line="240" w:lineRule="auto"/>
              <w:rPr>
                <w:sz w:val="17"/>
                <w:szCs w:val="17"/>
              </w:rPr>
            </w:pPr>
            <w:r w:rsidRPr="00944EC7">
              <w:rPr>
                <w:sz w:val="17"/>
                <w:szCs w:val="17"/>
              </w:rPr>
              <w:t xml:space="preserve">To address the concerns raised by APA, the obligation to publish old standard OTSAs for up to three years has been amended. This rule now states that if a transportation service provider publishes a new version of a standard OTSA it must at the same time publish a version that shows the amendments made to the old version and continue to publish the old version until the new version is replaced.  </w:t>
            </w:r>
          </w:p>
        </w:tc>
      </w:tr>
      <w:tr w:rsidR="006E24F8" w:rsidRPr="00944EC7" w14:paraId="729BE7CB" w14:textId="77777777" w:rsidTr="00944EC7">
        <w:trPr>
          <w:trHeight w:val="1230"/>
        </w:trPr>
        <w:tc>
          <w:tcPr>
            <w:tcW w:w="1659" w:type="dxa"/>
            <w:vAlign w:val="center"/>
          </w:tcPr>
          <w:p w14:paraId="34643593"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r. 634 </w:t>
            </w:r>
          </w:p>
        </w:tc>
        <w:tc>
          <w:tcPr>
            <w:tcW w:w="5652" w:type="dxa"/>
            <w:vAlign w:val="center"/>
          </w:tcPr>
          <w:p w14:paraId="03681C40" w14:textId="185609E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noted that the </w:t>
            </w:r>
            <w:r w:rsidR="00983327" w:rsidRPr="00944EC7">
              <w:rPr>
                <w:rFonts w:cs="Arial"/>
                <w:sz w:val="17"/>
                <w:szCs w:val="17"/>
              </w:rPr>
              <w:t xml:space="preserve">standardisation </w:t>
            </w:r>
            <w:r w:rsidRPr="00944EC7">
              <w:rPr>
                <w:rFonts w:cs="Arial"/>
                <w:sz w:val="17"/>
                <w:szCs w:val="17"/>
              </w:rPr>
              <w:t xml:space="preserve">costs that service providers should be able to recover should include costs of compliance with Part 25.  </w:t>
            </w:r>
          </w:p>
          <w:p w14:paraId="4C10808A"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also raised some concerns about the requirement for charges to reflect the outcome of a workably competitive market and noted that the costs they seek to charge will be incurred in fulfilling a regulatory requirement and are not related to any benchmark arising from a competitive market.  </w:t>
            </w:r>
          </w:p>
        </w:tc>
        <w:tc>
          <w:tcPr>
            <w:tcW w:w="6439" w:type="dxa"/>
            <w:vAlign w:val="center"/>
          </w:tcPr>
          <w:p w14:paraId="30201E4D" w14:textId="661B422C" w:rsidR="006E24F8" w:rsidRPr="00944EC7" w:rsidRDefault="006E24F8" w:rsidP="00983327">
            <w:pPr>
              <w:pStyle w:val="BodyText"/>
              <w:spacing w:before="20" w:after="40" w:line="240" w:lineRule="auto"/>
              <w:rPr>
                <w:sz w:val="17"/>
                <w:szCs w:val="17"/>
              </w:rPr>
            </w:pPr>
            <w:r w:rsidRPr="00944EC7">
              <w:rPr>
                <w:sz w:val="17"/>
                <w:szCs w:val="17"/>
              </w:rPr>
              <w:t xml:space="preserve">The GMRG agrees with APA that the standardisation costs should include the costs of complying with Part 25. Rule 634 has been amended </w:t>
            </w:r>
            <w:r w:rsidR="00651779" w:rsidRPr="00944EC7">
              <w:rPr>
                <w:sz w:val="17"/>
                <w:szCs w:val="17"/>
              </w:rPr>
              <w:t>accordingly</w:t>
            </w:r>
            <w:r w:rsidRPr="00944EC7">
              <w:rPr>
                <w:sz w:val="17"/>
                <w:szCs w:val="17"/>
              </w:rPr>
              <w:t>.</w:t>
            </w:r>
          </w:p>
          <w:p w14:paraId="5B374697" w14:textId="77777777" w:rsidR="006E24F8" w:rsidRPr="00944EC7" w:rsidRDefault="006E24F8" w:rsidP="00983327">
            <w:pPr>
              <w:pStyle w:val="BodyText"/>
              <w:spacing w:before="20" w:after="40" w:line="240" w:lineRule="auto"/>
              <w:rPr>
                <w:sz w:val="17"/>
                <w:szCs w:val="17"/>
              </w:rPr>
            </w:pPr>
            <w:r w:rsidRPr="00944EC7">
              <w:rPr>
                <w:sz w:val="17"/>
                <w:szCs w:val="17"/>
              </w:rPr>
              <w:t xml:space="preserve">The GMRG does not, however, agree with the position that APA has taken on standardisation charges and remains of the view that when setting the charges used to recover standardisation costs, the charges should, insofar as practicable, reflect the outcomes of a workably competitive market. </w:t>
            </w:r>
          </w:p>
        </w:tc>
      </w:tr>
      <w:tr w:rsidR="006E24F8" w:rsidRPr="00944EC7" w14:paraId="187FA160" w14:textId="77777777" w:rsidTr="00944EC7">
        <w:trPr>
          <w:cnfStyle w:val="000000010000" w:firstRow="0" w:lastRow="0" w:firstColumn="0" w:lastColumn="0" w:oddVBand="0" w:evenVBand="0" w:oddHBand="0" w:evenHBand="1" w:firstRowFirstColumn="0" w:firstRowLastColumn="0" w:lastRowFirstColumn="0" w:lastRowLastColumn="0"/>
          <w:trHeight w:val="1230"/>
        </w:trPr>
        <w:tc>
          <w:tcPr>
            <w:tcW w:w="1659" w:type="dxa"/>
            <w:vAlign w:val="center"/>
          </w:tcPr>
          <w:p w14:paraId="621847E3"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lastRenderedPageBreak/>
              <w:t>r. 635</w:t>
            </w:r>
          </w:p>
        </w:tc>
        <w:tc>
          <w:tcPr>
            <w:tcW w:w="5652" w:type="dxa"/>
            <w:vAlign w:val="center"/>
          </w:tcPr>
          <w:p w14:paraId="588AB418" w14:textId="33A0FA18"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concerned about the time that facility operators would have </w:t>
            </w:r>
            <w:r w:rsidR="00651779" w:rsidRPr="00944EC7">
              <w:rPr>
                <w:rFonts w:cs="Arial"/>
                <w:sz w:val="17"/>
                <w:szCs w:val="17"/>
              </w:rPr>
              <w:t xml:space="preserve">to </w:t>
            </w:r>
            <w:r w:rsidRPr="00944EC7">
              <w:rPr>
                <w:rFonts w:cs="Arial"/>
                <w:sz w:val="17"/>
                <w:szCs w:val="17"/>
              </w:rPr>
              <w:t>prepare a compliant standard OTSA if required to do so by the AER and suggested that the term be extended from 10 business days to 20 business days.</w:t>
            </w:r>
          </w:p>
        </w:tc>
        <w:tc>
          <w:tcPr>
            <w:tcW w:w="6439" w:type="dxa"/>
            <w:vAlign w:val="center"/>
          </w:tcPr>
          <w:p w14:paraId="5C2BD462" w14:textId="77777777" w:rsidR="006E24F8" w:rsidRPr="00944EC7" w:rsidRDefault="006E24F8" w:rsidP="00983327">
            <w:pPr>
              <w:pStyle w:val="BodyText"/>
              <w:spacing w:before="20" w:after="40" w:line="240" w:lineRule="auto"/>
              <w:rPr>
                <w:sz w:val="17"/>
                <w:szCs w:val="17"/>
              </w:rPr>
            </w:pPr>
            <w:r w:rsidRPr="00944EC7">
              <w:rPr>
                <w:sz w:val="17"/>
                <w:szCs w:val="17"/>
              </w:rPr>
              <w:t xml:space="preserve">To address APA’s concerns, the period in r. 635 has been extended from 10 business days to 20 business days. </w:t>
            </w:r>
          </w:p>
        </w:tc>
      </w:tr>
      <w:tr w:rsidR="006E24F8" w:rsidRPr="00944EC7" w14:paraId="5421E6F9" w14:textId="77777777" w:rsidTr="00944EC7">
        <w:trPr>
          <w:trHeight w:val="989"/>
        </w:trPr>
        <w:tc>
          <w:tcPr>
            <w:tcW w:w="1659" w:type="dxa"/>
            <w:vMerge w:val="restart"/>
            <w:vAlign w:val="center"/>
          </w:tcPr>
          <w:p w14:paraId="735E9752"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636</w:t>
            </w:r>
          </w:p>
        </w:tc>
        <w:tc>
          <w:tcPr>
            <w:tcW w:w="5652" w:type="dxa"/>
            <w:tcBorders>
              <w:bottom w:val="single" w:sz="4" w:space="0" w:color="auto"/>
            </w:tcBorders>
            <w:vAlign w:val="center"/>
          </w:tcPr>
          <w:p w14:paraId="0EE00E84"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raised some concerns about the potential for an OTSA to be considered a service offering under Part 23 of the NGR, and therefore subject to the offer timing and related requirements in Parts 23 and Part 24 of the NGR. </w:t>
            </w:r>
          </w:p>
        </w:tc>
        <w:tc>
          <w:tcPr>
            <w:tcW w:w="6439" w:type="dxa"/>
            <w:tcBorders>
              <w:bottom w:val="single" w:sz="4" w:space="0" w:color="auto"/>
            </w:tcBorders>
            <w:vAlign w:val="center"/>
          </w:tcPr>
          <w:p w14:paraId="44999CD1" w14:textId="77777777" w:rsidR="006E24F8" w:rsidRPr="00944EC7" w:rsidRDefault="006E24F8" w:rsidP="00983327">
            <w:pPr>
              <w:pStyle w:val="BodyText"/>
              <w:spacing w:before="20" w:after="40" w:line="240" w:lineRule="auto"/>
              <w:rPr>
                <w:sz w:val="17"/>
                <w:szCs w:val="17"/>
              </w:rPr>
            </w:pPr>
            <w:r w:rsidRPr="00944EC7">
              <w:rPr>
                <w:sz w:val="17"/>
                <w:szCs w:val="17"/>
              </w:rPr>
              <w:t>The concerns raised by APA about the application of Part 23 were dealt with in the original drafting through the inclusion of r. 594, which expressly states that an access dispute about the terms and conditions of a standard OTSA is excluded from the operation of Part 23 of the NGR. In the GMRG’s view, this is sufficient to deal with the concerns raised by APA. No further amendments have therefore been made to this rule.</w:t>
            </w:r>
          </w:p>
        </w:tc>
      </w:tr>
      <w:tr w:rsidR="006E24F8" w:rsidRPr="00944EC7" w14:paraId="69D0199E" w14:textId="77777777" w:rsidTr="00944EC7">
        <w:trPr>
          <w:cnfStyle w:val="000000010000" w:firstRow="0" w:lastRow="0" w:firstColumn="0" w:lastColumn="0" w:oddVBand="0" w:evenVBand="0" w:oddHBand="0" w:evenHBand="1" w:firstRowFirstColumn="0" w:firstRowLastColumn="0" w:lastRowFirstColumn="0" w:lastRowLastColumn="0"/>
          <w:trHeight w:val="989"/>
        </w:trPr>
        <w:tc>
          <w:tcPr>
            <w:tcW w:w="1659" w:type="dxa"/>
            <w:vMerge/>
            <w:tcBorders>
              <w:bottom w:val="single" w:sz="4" w:space="0" w:color="auto"/>
            </w:tcBorders>
            <w:vAlign w:val="center"/>
          </w:tcPr>
          <w:p w14:paraId="33A6D19F" w14:textId="77777777" w:rsidR="006E24F8" w:rsidRPr="00944EC7" w:rsidRDefault="006E24F8" w:rsidP="00983327">
            <w:pPr>
              <w:pStyle w:val="BodyText"/>
              <w:spacing w:before="20" w:after="40" w:line="240" w:lineRule="auto"/>
              <w:rPr>
                <w:rFonts w:cs="Arial"/>
                <w:sz w:val="17"/>
                <w:szCs w:val="17"/>
              </w:rPr>
            </w:pPr>
          </w:p>
        </w:tc>
        <w:tc>
          <w:tcPr>
            <w:tcW w:w="5652" w:type="dxa"/>
            <w:tcBorders>
              <w:bottom w:val="single" w:sz="4" w:space="0" w:color="auto"/>
            </w:tcBorders>
            <w:shd w:val="clear" w:color="auto" w:fill="FFFFFF" w:themeFill="background1"/>
            <w:vAlign w:val="center"/>
          </w:tcPr>
          <w:p w14:paraId="21C4A192"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GLNG noted that rr. 636 to 640 imposed obligations on transportation service providers rather than on Part 24 facility operators and noted that this could result in obligations being imposed on exempt facilities.</w:t>
            </w:r>
          </w:p>
        </w:tc>
        <w:tc>
          <w:tcPr>
            <w:tcW w:w="6439" w:type="dxa"/>
            <w:tcBorders>
              <w:bottom w:val="single" w:sz="4" w:space="0" w:color="auto"/>
            </w:tcBorders>
            <w:shd w:val="clear" w:color="auto" w:fill="FFFFFF" w:themeFill="background1"/>
            <w:vAlign w:val="center"/>
          </w:tcPr>
          <w:p w14:paraId="0F772B98" w14:textId="32F88581" w:rsidR="006E24F8" w:rsidRPr="00944EC7" w:rsidRDefault="006E24F8" w:rsidP="00983327">
            <w:pPr>
              <w:pStyle w:val="BodyText"/>
              <w:spacing w:before="20" w:after="40" w:line="240" w:lineRule="auto"/>
              <w:rPr>
                <w:sz w:val="17"/>
                <w:szCs w:val="17"/>
              </w:rPr>
            </w:pPr>
            <w:r w:rsidRPr="00944EC7">
              <w:rPr>
                <w:sz w:val="17"/>
                <w:szCs w:val="17"/>
              </w:rPr>
              <w:t xml:space="preserve">The GMRG has considered the concerns raised by GLNG and while it agrees that the original drafting of rr. 636 to 640 was confusing, </w:t>
            </w:r>
            <w:r w:rsidR="00651779" w:rsidRPr="00944EC7">
              <w:rPr>
                <w:sz w:val="17"/>
                <w:szCs w:val="17"/>
              </w:rPr>
              <w:t xml:space="preserve">a number of these obligations are </w:t>
            </w:r>
            <w:r w:rsidRPr="00944EC7">
              <w:rPr>
                <w:sz w:val="17"/>
                <w:szCs w:val="17"/>
              </w:rPr>
              <w:t>intended to apply to both conditionally exempt facilities and Part 24 facilities. The obligations, for example, to give effect to bilateral trades and to amend facility agreements are intended to apply to conditionally exempt facilities as well as Part 24 facilit</w:t>
            </w:r>
            <w:r w:rsidR="00651779" w:rsidRPr="00944EC7">
              <w:rPr>
                <w:sz w:val="17"/>
                <w:szCs w:val="17"/>
              </w:rPr>
              <w:t>ies</w:t>
            </w:r>
            <w:r w:rsidRPr="00944EC7">
              <w:rPr>
                <w:sz w:val="17"/>
                <w:szCs w:val="17"/>
              </w:rPr>
              <w:t>. To make this clearer, rr. 636 to 640 have been amended to clarify whether they apply to Part 24 facilities only or to Part 24 facilities and conditionally exempt facilities.</w:t>
            </w:r>
          </w:p>
        </w:tc>
      </w:tr>
      <w:tr w:rsidR="006E24F8" w:rsidRPr="00944EC7" w14:paraId="762F0FA5" w14:textId="77777777" w:rsidTr="00944EC7">
        <w:trPr>
          <w:trHeight w:val="1319"/>
        </w:trPr>
        <w:tc>
          <w:tcPr>
            <w:tcW w:w="1659" w:type="dxa"/>
            <w:vMerge w:val="restart"/>
            <w:shd w:val="clear" w:color="auto" w:fill="E1E2E7" w:themeFill="background2"/>
            <w:vAlign w:val="center"/>
          </w:tcPr>
          <w:p w14:paraId="6F73B376"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637</w:t>
            </w:r>
          </w:p>
        </w:tc>
        <w:tc>
          <w:tcPr>
            <w:tcW w:w="5652" w:type="dxa"/>
            <w:shd w:val="clear" w:color="auto" w:fill="E1E2E7" w:themeFill="background2"/>
            <w:vAlign w:val="center"/>
          </w:tcPr>
          <w:p w14:paraId="44B8B9BE" w14:textId="45C380AA"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concerned that the reference in r. 637(1) to transportation service providers having 5 business days to prepare and offer to enter into a standard OTSA with a prospective shipper would not be </w:t>
            </w:r>
            <w:r w:rsidR="00651779" w:rsidRPr="00944EC7">
              <w:rPr>
                <w:rFonts w:cs="Arial"/>
                <w:sz w:val="17"/>
                <w:szCs w:val="17"/>
              </w:rPr>
              <w:t>sufficient</w:t>
            </w:r>
            <w:r w:rsidRPr="00944EC7">
              <w:rPr>
                <w:rFonts w:cs="Arial"/>
                <w:sz w:val="17"/>
                <w:szCs w:val="17"/>
              </w:rPr>
              <w:t xml:space="preserve">. </w:t>
            </w:r>
          </w:p>
        </w:tc>
        <w:tc>
          <w:tcPr>
            <w:tcW w:w="6439" w:type="dxa"/>
            <w:shd w:val="clear" w:color="auto" w:fill="E1E2E7" w:themeFill="background2"/>
            <w:vAlign w:val="center"/>
          </w:tcPr>
          <w:p w14:paraId="7DBA7BDF" w14:textId="77777777" w:rsidR="006E24F8" w:rsidRPr="00944EC7" w:rsidRDefault="006E24F8" w:rsidP="00983327">
            <w:pPr>
              <w:pStyle w:val="BodyText"/>
              <w:spacing w:before="20" w:after="40" w:line="240" w:lineRule="auto"/>
              <w:rPr>
                <w:sz w:val="17"/>
                <w:szCs w:val="17"/>
              </w:rPr>
            </w:pPr>
            <w:r w:rsidRPr="00944EC7">
              <w:rPr>
                <w:sz w:val="17"/>
                <w:szCs w:val="17"/>
              </w:rPr>
              <w:t>To address APA’s concerns, the time period in this rule has been extended to the longer of 20 business days and any period agreed with the relevant prospective secondary shipper to offer a standard OTSA to that shipper.</w:t>
            </w:r>
          </w:p>
        </w:tc>
      </w:tr>
      <w:tr w:rsidR="006E24F8" w:rsidRPr="00944EC7" w14:paraId="120FB70E" w14:textId="77777777" w:rsidTr="00944EC7">
        <w:trPr>
          <w:cnfStyle w:val="000000010000" w:firstRow="0" w:lastRow="0" w:firstColumn="0" w:lastColumn="0" w:oddVBand="0" w:evenVBand="0" w:oddHBand="0" w:evenHBand="1" w:firstRowFirstColumn="0" w:firstRowLastColumn="0" w:lastRowFirstColumn="0" w:lastRowLastColumn="0"/>
          <w:trHeight w:val="1319"/>
        </w:trPr>
        <w:tc>
          <w:tcPr>
            <w:tcW w:w="1659" w:type="dxa"/>
            <w:vMerge/>
            <w:vAlign w:val="center"/>
          </w:tcPr>
          <w:p w14:paraId="0678340A" w14:textId="77777777" w:rsidR="006E24F8" w:rsidRPr="00944EC7" w:rsidRDefault="006E24F8" w:rsidP="00983327">
            <w:pPr>
              <w:pStyle w:val="BodyText"/>
              <w:spacing w:before="20" w:after="40" w:line="240" w:lineRule="auto"/>
              <w:rPr>
                <w:rFonts w:cs="Arial"/>
                <w:sz w:val="17"/>
                <w:szCs w:val="17"/>
              </w:rPr>
            </w:pPr>
          </w:p>
        </w:tc>
        <w:tc>
          <w:tcPr>
            <w:tcW w:w="5652" w:type="dxa"/>
          </w:tcPr>
          <w:p w14:paraId="4C712A4A"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of the view that the list of reasons in r. 637(4) for a transportation service provider to decline to make an offer to enter into a standard OTSA should be extended to include the following situations: </w:t>
            </w:r>
          </w:p>
          <w:p w14:paraId="2C703DBD" w14:textId="77777777" w:rsidR="006E24F8" w:rsidRPr="00944EC7" w:rsidRDefault="006E24F8" w:rsidP="00983327">
            <w:pPr>
              <w:pStyle w:val="TableBullet1"/>
              <w:rPr>
                <w:sz w:val="17"/>
                <w:szCs w:val="17"/>
              </w:rPr>
            </w:pPr>
            <w:r w:rsidRPr="00944EC7">
              <w:rPr>
                <w:sz w:val="17"/>
                <w:szCs w:val="17"/>
              </w:rPr>
              <w:t>a contract previously entered into between the parties was terminated for breach; and</w:t>
            </w:r>
          </w:p>
          <w:p w14:paraId="68FD41DE" w14:textId="77777777" w:rsidR="006E24F8" w:rsidRPr="00944EC7" w:rsidRDefault="006E24F8" w:rsidP="00983327">
            <w:pPr>
              <w:pStyle w:val="TableBullet1"/>
              <w:rPr>
                <w:sz w:val="17"/>
                <w:szCs w:val="17"/>
              </w:rPr>
            </w:pPr>
            <w:r w:rsidRPr="00944EC7">
              <w:rPr>
                <w:sz w:val="17"/>
                <w:szCs w:val="17"/>
              </w:rPr>
              <w:t xml:space="preserve">the prospective secondary shipper had exhausted a liability cap under a contract with the transportation service provider. </w:t>
            </w:r>
          </w:p>
        </w:tc>
        <w:tc>
          <w:tcPr>
            <w:tcW w:w="6439" w:type="dxa"/>
            <w:vAlign w:val="center"/>
          </w:tcPr>
          <w:p w14:paraId="6651D1F9" w14:textId="4CEEFBA9" w:rsidR="006E24F8" w:rsidRPr="00944EC7" w:rsidRDefault="006E24F8" w:rsidP="00651779">
            <w:pPr>
              <w:pStyle w:val="BodyText"/>
              <w:spacing w:before="20" w:after="40" w:line="240" w:lineRule="auto"/>
              <w:rPr>
                <w:sz w:val="17"/>
                <w:szCs w:val="17"/>
              </w:rPr>
            </w:pPr>
            <w:r w:rsidRPr="00944EC7">
              <w:rPr>
                <w:sz w:val="17"/>
                <w:szCs w:val="17"/>
              </w:rPr>
              <w:t xml:space="preserve">To address </w:t>
            </w:r>
            <w:r w:rsidR="00651779" w:rsidRPr="00944EC7">
              <w:rPr>
                <w:sz w:val="17"/>
                <w:szCs w:val="17"/>
              </w:rPr>
              <w:t xml:space="preserve">the first of APA’s </w:t>
            </w:r>
            <w:r w:rsidRPr="00944EC7">
              <w:rPr>
                <w:sz w:val="17"/>
                <w:szCs w:val="17"/>
              </w:rPr>
              <w:t>concerns, r. 637(4)(c) has been extended so that it applies to all facility agreements not just OTSAs</w:t>
            </w:r>
            <w:r w:rsidR="00651779" w:rsidRPr="00944EC7">
              <w:rPr>
                <w:sz w:val="17"/>
                <w:szCs w:val="17"/>
              </w:rPr>
              <w:t xml:space="preserve">. To address the second concern, </w:t>
            </w:r>
            <w:r w:rsidR="00651779" w:rsidRPr="00944EC7">
              <w:rPr>
                <w:sz w:val="17"/>
                <w:szCs w:val="17"/>
              </w:rPr>
              <w:br/>
            </w:r>
            <w:r w:rsidRPr="00944EC7">
              <w:rPr>
                <w:sz w:val="17"/>
                <w:szCs w:val="17"/>
              </w:rPr>
              <w:t xml:space="preserve">r. 637(4)(d) has been amended to allow transportation service providers to decline to offer a prospective secondary shipper a standard OTSA where: </w:t>
            </w:r>
          </w:p>
          <w:p w14:paraId="6BF13185" w14:textId="77777777" w:rsidR="006E24F8" w:rsidRPr="00944EC7" w:rsidRDefault="006E24F8" w:rsidP="00651779">
            <w:pPr>
              <w:pStyle w:val="TableBullet1"/>
              <w:rPr>
                <w:sz w:val="17"/>
                <w:szCs w:val="17"/>
              </w:rPr>
            </w:pPr>
            <w:r w:rsidRPr="00944EC7">
              <w:rPr>
                <w:sz w:val="17"/>
                <w:szCs w:val="17"/>
              </w:rPr>
              <w:t xml:space="preserve">the facility operator and the person making the request are parties to a facility agreement under which a liability cap in favour of the shipper has been reached or exceeded; and </w:t>
            </w:r>
          </w:p>
          <w:p w14:paraId="1F05A305" w14:textId="77777777" w:rsidR="006E24F8" w:rsidRPr="00944EC7" w:rsidRDefault="006E24F8" w:rsidP="00651779">
            <w:pPr>
              <w:pStyle w:val="TableBullet1"/>
              <w:rPr>
                <w:sz w:val="17"/>
                <w:szCs w:val="17"/>
              </w:rPr>
            </w:pPr>
            <w:r w:rsidRPr="00944EC7">
              <w:rPr>
                <w:sz w:val="17"/>
                <w:szCs w:val="17"/>
              </w:rPr>
              <w:t xml:space="preserve">the shipper has failed to discharge its liability up to that cap. </w:t>
            </w:r>
          </w:p>
          <w:p w14:paraId="364BB947" w14:textId="77777777" w:rsidR="006E24F8" w:rsidRPr="00944EC7" w:rsidRDefault="006E24F8" w:rsidP="00983327">
            <w:pPr>
              <w:pStyle w:val="BodyText"/>
              <w:spacing w:before="20" w:after="40" w:line="240" w:lineRule="auto"/>
              <w:rPr>
                <w:sz w:val="17"/>
                <w:szCs w:val="17"/>
              </w:rPr>
            </w:pPr>
            <w:r w:rsidRPr="00944EC7">
              <w:rPr>
                <w:sz w:val="17"/>
                <w:szCs w:val="17"/>
              </w:rPr>
              <w:t>However, as liability caps are ‘reset’ upon entering into a new standard OTSA, the GMRG has not amended the rules to give service providers a broad right to decline to offer OTSAs where the secondary shipper has exhausted a liability cap under a previous agreement with the service provider.</w:t>
            </w:r>
          </w:p>
        </w:tc>
      </w:tr>
      <w:tr w:rsidR="006E24F8" w:rsidRPr="00944EC7" w14:paraId="0C55F5CE" w14:textId="77777777" w:rsidTr="00944EC7">
        <w:trPr>
          <w:trHeight w:val="188"/>
        </w:trPr>
        <w:tc>
          <w:tcPr>
            <w:tcW w:w="1659" w:type="dxa"/>
            <w:vMerge/>
            <w:tcBorders>
              <w:bottom w:val="single" w:sz="4" w:space="0" w:color="auto"/>
            </w:tcBorders>
            <w:shd w:val="clear" w:color="auto" w:fill="E1E2E7" w:themeFill="background2"/>
            <w:vAlign w:val="center"/>
          </w:tcPr>
          <w:p w14:paraId="7FEE5AE4" w14:textId="77777777" w:rsidR="006E24F8" w:rsidRPr="00944EC7" w:rsidRDefault="006E24F8" w:rsidP="00983327">
            <w:pPr>
              <w:pStyle w:val="BodyText"/>
              <w:spacing w:before="20" w:after="40" w:line="240" w:lineRule="auto"/>
              <w:rPr>
                <w:rFonts w:cs="Arial"/>
                <w:sz w:val="17"/>
                <w:szCs w:val="17"/>
              </w:rPr>
            </w:pPr>
          </w:p>
        </w:tc>
        <w:tc>
          <w:tcPr>
            <w:tcW w:w="5652" w:type="dxa"/>
            <w:tcBorders>
              <w:bottom w:val="single" w:sz="4" w:space="0" w:color="auto"/>
            </w:tcBorders>
            <w:shd w:val="clear" w:color="auto" w:fill="E1E2E7" w:themeFill="background2"/>
          </w:tcPr>
          <w:p w14:paraId="7621CF9E"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of the view that when considering whether to reverse a transportation service provider’s decision to decline to make an offer, the </w:t>
            </w:r>
            <w:r w:rsidRPr="00944EC7">
              <w:rPr>
                <w:rFonts w:cs="Arial"/>
                <w:sz w:val="17"/>
                <w:szCs w:val="17"/>
              </w:rPr>
              <w:lastRenderedPageBreak/>
              <w:t xml:space="preserve">AER should be required to discuss the matter with the transportation service provider. </w:t>
            </w:r>
          </w:p>
        </w:tc>
        <w:tc>
          <w:tcPr>
            <w:tcW w:w="6439" w:type="dxa"/>
            <w:tcBorders>
              <w:bottom w:val="single" w:sz="4" w:space="0" w:color="auto"/>
            </w:tcBorders>
            <w:shd w:val="clear" w:color="auto" w:fill="E1E2E7" w:themeFill="background2"/>
            <w:vAlign w:val="center"/>
          </w:tcPr>
          <w:p w14:paraId="0A26C4BB" w14:textId="77777777" w:rsidR="006E24F8" w:rsidRPr="00944EC7" w:rsidRDefault="006E24F8" w:rsidP="00983327">
            <w:pPr>
              <w:pStyle w:val="BodyText"/>
              <w:spacing w:before="20" w:after="40" w:line="240" w:lineRule="auto"/>
              <w:rPr>
                <w:sz w:val="17"/>
                <w:szCs w:val="17"/>
              </w:rPr>
            </w:pPr>
            <w:r w:rsidRPr="00944EC7">
              <w:rPr>
                <w:sz w:val="17"/>
                <w:szCs w:val="17"/>
              </w:rPr>
              <w:lastRenderedPageBreak/>
              <w:t xml:space="preserve">To address APA’s concerns, r. 637(6) has been amended to require the AER to consult with the relevant transportation service provider before making a decision </w:t>
            </w:r>
            <w:r w:rsidRPr="00944EC7">
              <w:rPr>
                <w:sz w:val="17"/>
                <w:szCs w:val="17"/>
              </w:rPr>
              <w:lastRenderedPageBreak/>
              <w:t>to reverse a transportation service provider’s decision not to offer a standard OTSA.</w:t>
            </w:r>
          </w:p>
        </w:tc>
      </w:tr>
      <w:tr w:rsidR="006E24F8" w:rsidRPr="00944EC7" w14:paraId="64FE99BF" w14:textId="77777777" w:rsidTr="00944EC7">
        <w:trPr>
          <w:cnfStyle w:val="000000010000" w:firstRow="0" w:lastRow="0" w:firstColumn="0" w:lastColumn="0" w:oddVBand="0" w:evenVBand="0" w:oddHBand="0" w:evenHBand="1" w:firstRowFirstColumn="0" w:firstRowLastColumn="0" w:lastRowFirstColumn="0" w:lastRowLastColumn="0"/>
          <w:trHeight w:val="582"/>
        </w:trPr>
        <w:tc>
          <w:tcPr>
            <w:tcW w:w="1659" w:type="dxa"/>
            <w:shd w:val="clear" w:color="auto" w:fill="FFFFFF" w:themeFill="background1"/>
            <w:vAlign w:val="center"/>
          </w:tcPr>
          <w:p w14:paraId="58C39855"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lastRenderedPageBreak/>
              <w:t>r. 643</w:t>
            </w:r>
          </w:p>
        </w:tc>
        <w:tc>
          <w:tcPr>
            <w:tcW w:w="5652" w:type="dxa"/>
            <w:shd w:val="clear" w:color="auto" w:fill="FFFFFF" w:themeFill="background1"/>
            <w:vAlign w:val="center"/>
          </w:tcPr>
          <w:p w14:paraId="62B7CD11"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of the view that a shipper’s right to add pipeline service points must be subject to technical and commercial considerations. APA also queried whether it is appropriate for shippers that have received prudent discounts to be able to exercise rights to add service points. </w:t>
            </w:r>
          </w:p>
        </w:tc>
        <w:tc>
          <w:tcPr>
            <w:tcW w:w="6439" w:type="dxa"/>
            <w:shd w:val="clear" w:color="auto" w:fill="FFFFFF" w:themeFill="background1"/>
            <w:vAlign w:val="center"/>
          </w:tcPr>
          <w:p w14:paraId="4042FD5C" w14:textId="77777777" w:rsidR="006E24F8" w:rsidRPr="00944EC7" w:rsidRDefault="006E24F8" w:rsidP="00983327">
            <w:pPr>
              <w:pStyle w:val="BodyText"/>
              <w:spacing w:before="20" w:after="40" w:line="240" w:lineRule="auto"/>
              <w:rPr>
                <w:sz w:val="17"/>
                <w:szCs w:val="17"/>
              </w:rPr>
            </w:pPr>
            <w:r w:rsidRPr="00944EC7">
              <w:rPr>
                <w:sz w:val="17"/>
                <w:szCs w:val="17"/>
              </w:rPr>
              <w:t xml:space="preserve">In the GMRG’s view, no amendments are required to r. 643, because this rule already provides for consideration to be given to the operational, technical and commercial considerations (see for example, rr. 643(5)(a), (5)(b) and (8)(c)). In the GMRG’s view, these considerations should also address APA’s concerns regarding prudent discounts. </w:t>
            </w:r>
          </w:p>
        </w:tc>
      </w:tr>
      <w:tr w:rsidR="006E24F8" w:rsidRPr="00944EC7" w14:paraId="0DBD98CD" w14:textId="77777777" w:rsidTr="00944EC7">
        <w:trPr>
          <w:trHeight w:val="70"/>
        </w:trPr>
        <w:tc>
          <w:tcPr>
            <w:tcW w:w="13750" w:type="dxa"/>
            <w:gridSpan w:val="3"/>
            <w:shd w:val="clear" w:color="auto" w:fill="65697F" w:themeFill="background2" w:themeFillShade="80"/>
            <w:vAlign w:val="center"/>
          </w:tcPr>
          <w:p w14:paraId="165D20BC" w14:textId="77777777" w:rsidR="006E24F8" w:rsidRPr="00944EC7" w:rsidRDefault="006E24F8" w:rsidP="00983327">
            <w:pPr>
              <w:pStyle w:val="BodyText"/>
              <w:spacing w:before="20" w:after="40" w:line="240" w:lineRule="auto"/>
              <w:jc w:val="center"/>
              <w:rPr>
                <w:b/>
                <w:color w:val="FFFFFF" w:themeColor="background1"/>
                <w:sz w:val="17"/>
                <w:szCs w:val="17"/>
              </w:rPr>
            </w:pPr>
            <w:r w:rsidRPr="00944EC7">
              <w:rPr>
                <w:b/>
                <w:color w:val="FFFFFF" w:themeColor="background1"/>
                <w:sz w:val="17"/>
                <w:szCs w:val="17"/>
              </w:rPr>
              <w:t>Regulations – Civil penalty and conduct provisions</w:t>
            </w:r>
          </w:p>
        </w:tc>
      </w:tr>
      <w:tr w:rsidR="006E24F8" w:rsidRPr="00944EC7" w14:paraId="280B4698" w14:textId="77777777" w:rsidTr="00944EC7">
        <w:trPr>
          <w:cnfStyle w:val="000000010000" w:firstRow="0" w:lastRow="0" w:firstColumn="0" w:lastColumn="0" w:oddVBand="0" w:evenVBand="0" w:oddHBand="0" w:evenHBand="1" w:firstRowFirstColumn="0" w:firstRowLastColumn="0" w:lastRowFirstColumn="0" w:lastRowLastColumn="0"/>
          <w:trHeight w:val="659"/>
        </w:trPr>
        <w:tc>
          <w:tcPr>
            <w:tcW w:w="1659" w:type="dxa"/>
            <w:vAlign w:val="center"/>
          </w:tcPr>
          <w:p w14:paraId="3D9BB568"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631</w:t>
            </w:r>
          </w:p>
        </w:tc>
        <w:tc>
          <w:tcPr>
            <w:tcW w:w="5652" w:type="dxa"/>
            <w:vAlign w:val="center"/>
          </w:tcPr>
          <w:p w14:paraId="198B34D2"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Jemena was concerned that there classifying r. 631(1) and r. 631(2) as a civil penalty would result in a double up of civil penalties.</w:t>
            </w:r>
          </w:p>
        </w:tc>
        <w:tc>
          <w:tcPr>
            <w:tcW w:w="6439" w:type="dxa"/>
            <w:vAlign w:val="center"/>
          </w:tcPr>
          <w:p w14:paraId="0C760E32" w14:textId="77777777" w:rsidR="006E24F8" w:rsidRPr="00944EC7" w:rsidRDefault="006E24F8" w:rsidP="00983327">
            <w:pPr>
              <w:pStyle w:val="BodyText"/>
              <w:spacing w:before="20" w:after="40" w:line="240" w:lineRule="auto"/>
              <w:rPr>
                <w:sz w:val="17"/>
                <w:szCs w:val="17"/>
              </w:rPr>
            </w:pPr>
            <w:r w:rsidRPr="00944EC7">
              <w:rPr>
                <w:sz w:val="17"/>
                <w:szCs w:val="17"/>
              </w:rPr>
              <w:t xml:space="preserve">To address the concerns raised by Jemena, the regulations have been amended to classify the obligation in s. 228B of NGL to publish a standard OTSA that complies with the NGR and the Code as a civil penalty and conduct provision rather than individual rules. </w:t>
            </w:r>
          </w:p>
        </w:tc>
      </w:tr>
      <w:tr w:rsidR="006E24F8" w:rsidRPr="00944EC7" w14:paraId="2511006D" w14:textId="77777777" w:rsidTr="00944EC7">
        <w:trPr>
          <w:trHeight w:val="70"/>
        </w:trPr>
        <w:tc>
          <w:tcPr>
            <w:tcW w:w="1659" w:type="dxa"/>
            <w:vAlign w:val="center"/>
          </w:tcPr>
          <w:p w14:paraId="539FF20F"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632(2)</w:t>
            </w:r>
          </w:p>
        </w:tc>
        <w:tc>
          <w:tcPr>
            <w:tcW w:w="5652" w:type="dxa"/>
            <w:vAlign w:val="center"/>
          </w:tcPr>
          <w:p w14:paraId="3A16162C"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of the view that this provision should not be classified as a civil penalty and conduct provision because it believes the obligation is subjective. </w:t>
            </w:r>
          </w:p>
        </w:tc>
        <w:tc>
          <w:tcPr>
            <w:tcW w:w="6439" w:type="dxa"/>
            <w:vAlign w:val="center"/>
          </w:tcPr>
          <w:p w14:paraId="7C5D5EF6" w14:textId="77777777" w:rsidR="006E24F8" w:rsidRPr="00944EC7" w:rsidRDefault="006E24F8" w:rsidP="00983327">
            <w:pPr>
              <w:pStyle w:val="TableBodyText"/>
              <w:spacing w:line="240" w:lineRule="auto"/>
              <w:rPr>
                <w:sz w:val="17"/>
                <w:szCs w:val="17"/>
              </w:rPr>
            </w:pPr>
            <w:r w:rsidRPr="00944EC7">
              <w:rPr>
                <w:sz w:val="17"/>
                <w:szCs w:val="17"/>
              </w:rPr>
              <w:t xml:space="preserve">The GMRG disagrees with APA’s view that the requirement for standard OTSAs to comply with the Code and NGR is subjective and should not therefore be classified as a civil penalty or conduct provision. In the GMRG’s view, the requirement for standard OTSAs to comply with these requirements is critical to the success of the reform package. It remains therefore of the view that this requirement should be classified as a civil penalty and conduct provision. Rather than requiring this through the NGR, the regulations have been amended to classify the obligation in s. 228B of the NGL to publish a standard OTSA that complies with the NGR and the Code as a civil penalty and conduct provision. </w:t>
            </w:r>
          </w:p>
        </w:tc>
      </w:tr>
      <w:tr w:rsidR="006E24F8" w:rsidRPr="00944EC7" w14:paraId="13D0F1AD" w14:textId="77777777" w:rsidTr="00944EC7">
        <w:trPr>
          <w:cnfStyle w:val="000000010000" w:firstRow="0" w:lastRow="0" w:firstColumn="0" w:lastColumn="0" w:oddVBand="0" w:evenVBand="0" w:oddHBand="0" w:evenHBand="1" w:firstRowFirstColumn="0" w:firstRowLastColumn="0" w:lastRowFirstColumn="0" w:lastRowLastColumn="0"/>
          <w:trHeight w:val="70"/>
        </w:trPr>
        <w:tc>
          <w:tcPr>
            <w:tcW w:w="1659" w:type="dxa"/>
            <w:vAlign w:val="center"/>
          </w:tcPr>
          <w:p w14:paraId="184A0F38"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632(3)</w:t>
            </w:r>
          </w:p>
        </w:tc>
        <w:tc>
          <w:tcPr>
            <w:tcW w:w="5652" w:type="dxa"/>
            <w:vAlign w:val="center"/>
          </w:tcPr>
          <w:p w14:paraId="6C36A4F8" w14:textId="07395A70" w:rsidR="006E24F8" w:rsidRPr="00944EC7" w:rsidRDefault="006E24F8" w:rsidP="00983327">
            <w:pPr>
              <w:pStyle w:val="BodyText"/>
              <w:spacing w:before="20" w:after="40" w:line="240" w:lineRule="auto"/>
              <w:rPr>
                <w:rFonts w:cs="Arial"/>
                <w:sz w:val="17"/>
                <w:szCs w:val="17"/>
              </w:rPr>
            </w:pPr>
            <w:r w:rsidRPr="00944EC7">
              <w:rPr>
                <w:rFonts w:cs="Arial"/>
                <w:sz w:val="17"/>
                <w:szCs w:val="17"/>
              </w:rPr>
              <w:t>Jemena was concerned that classifying this provision and r. 634 as a civil penalty would result in a double up of civil penalties.</w:t>
            </w:r>
          </w:p>
        </w:tc>
        <w:tc>
          <w:tcPr>
            <w:tcW w:w="6439" w:type="dxa"/>
            <w:vAlign w:val="center"/>
          </w:tcPr>
          <w:p w14:paraId="07639ED4" w14:textId="77777777" w:rsidR="006E24F8" w:rsidRPr="00944EC7" w:rsidRDefault="006E24F8" w:rsidP="00983327">
            <w:pPr>
              <w:pStyle w:val="TableBodyText"/>
              <w:spacing w:line="240" w:lineRule="auto"/>
              <w:rPr>
                <w:sz w:val="17"/>
                <w:szCs w:val="17"/>
              </w:rPr>
            </w:pPr>
            <w:r w:rsidRPr="00944EC7">
              <w:rPr>
                <w:sz w:val="17"/>
                <w:szCs w:val="17"/>
              </w:rPr>
              <w:t>To address the concerns raised by Jemena, r. 632(3) is no longer classified as a civil penalty provision.</w:t>
            </w:r>
          </w:p>
        </w:tc>
      </w:tr>
      <w:tr w:rsidR="006E24F8" w:rsidRPr="00944EC7" w14:paraId="56F60407" w14:textId="77777777" w:rsidTr="00944EC7">
        <w:trPr>
          <w:trHeight w:val="70"/>
        </w:trPr>
        <w:tc>
          <w:tcPr>
            <w:tcW w:w="1659" w:type="dxa"/>
            <w:vAlign w:val="center"/>
          </w:tcPr>
          <w:p w14:paraId="51D43856"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634(2)-(7)</w:t>
            </w:r>
          </w:p>
        </w:tc>
        <w:tc>
          <w:tcPr>
            <w:tcW w:w="5652" w:type="dxa"/>
            <w:vAlign w:val="center"/>
          </w:tcPr>
          <w:p w14:paraId="558227D0"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APA and Palisade were of the view that a number of provisions in r. 634 should not be classified as civil penalty and conduct provisions because they believe they are subjective.</w:t>
            </w:r>
          </w:p>
        </w:tc>
        <w:tc>
          <w:tcPr>
            <w:tcW w:w="6439" w:type="dxa"/>
            <w:vAlign w:val="center"/>
          </w:tcPr>
          <w:p w14:paraId="7D3E37F7" w14:textId="77777777" w:rsidR="006E24F8" w:rsidRPr="00944EC7" w:rsidRDefault="006E24F8" w:rsidP="00983327">
            <w:pPr>
              <w:pStyle w:val="TableBodyText"/>
              <w:spacing w:line="240" w:lineRule="auto"/>
              <w:rPr>
                <w:sz w:val="17"/>
                <w:szCs w:val="17"/>
              </w:rPr>
            </w:pPr>
            <w:r w:rsidRPr="00944EC7">
              <w:rPr>
                <w:sz w:val="17"/>
                <w:szCs w:val="17"/>
              </w:rPr>
              <w:t xml:space="preserve">The GMRG disagrees with APA and Palisade’s view that the cost recovery principles in r. 634 are subjective and should not therefore be classified as a civil penalty or conduct provision. Some refinements to the regulations have nevertheless been made to clarify those principles that are civil penalty and conduct provisions. </w:t>
            </w:r>
          </w:p>
        </w:tc>
      </w:tr>
      <w:tr w:rsidR="006E24F8" w:rsidRPr="00944EC7" w14:paraId="1C211E1E" w14:textId="77777777" w:rsidTr="00944EC7">
        <w:trPr>
          <w:cnfStyle w:val="000000010000" w:firstRow="0" w:lastRow="0" w:firstColumn="0" w:lastColumn="0" w:oddVBand="0" w:evenVBand="0" w:oddHBand="0" w:evenHBand="1" w:firstRowFirstColumn="0" w:firstRowLastColumn="0" w:lastRowFirstColumn="0" w:lastRowLastColumn="0"/>
          <w:trHeight w:val="70"/>
        </w:trPr>
        <w:tc>
          <w:tcPr>
            <w:tcW w:w="1659" w:type="dxa"/>
            <w:vAlign w:val="center"/>
          </w:tcPr>
          <w:p w14:paraId="37055FC7"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639</w:t>
            </w:r>
          </w:p>
        </w:tc>
        <w:tc>
          <w:tcPr>
            <w:tcW w:w="5652" w:type="dxa"/>
            <w:vAlign w:val="center"/>
          </w:tcPr>
          <w:p w14:paraId="643829F6"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Jemena was concerned that this provision could require it to provide a service for free for an unlimited time or face civil penalty.</w:t>
            </w:r>
          </w:p>
        </w:tc>
        <w:tc>
          <w:tcPr>
            <w:tcW w:w="6439" w:type="dxa"/>
            <w:vAlign w:val="center"/>
          </w:tcPr>
          <w:p w14:paraId="59AEA5F2" w14:textId="77777777" w:rsidR="006E24F8" w:rsidRPr="00944EC7" w:rsidRDefault="006E24F8" w:rsidP="00983327">
            <w:pPr>
              <w:pStyle w:val="TableBodyText"/>
              <w:spacing w:line="240" w:lineRule="auto"/>
              <w:rPr>
                <w:sz w:val="17"/>
                <w:szCs w:val="17"/>
              </w:rPr>
            </w:pPr>
            <w:r w:rsidRPr="00944EC7">
              <w:rPr>
                <w:sz w:val="17"/>
                <w:szCs w:val="17"/>
              </w:rPr>
              <w:t xml:space="preserve">While the GMRG has considered Jemena’s concerns, it remains of the view that if a primary facility agreement has been suspended, any capacity trades that have been entered into should remain on foot for the duration of the trade and the service provider should recover any charges it is owed from the primary capacity holder. The GMRG does not therefore consider it necessary to amend the classification of this rule as a civil penalty provision. </w:t>
            </w:r>
          </w:p>
        </w:tc>
      </w:tr>
      <w:tr w:rsidR="006E24F8" w:rsidRPr="00944EC7" w14:paraId="03AD77EA" w14:textId="77777777" w:rsidTr="00944EC7">
        <w:trPr>
          <w:trHeight w:val="70"/>
        </w:trPr>
        <w:tc>
          <w:tcPr>
            <w:tcW w:w="1659" w:type="dxa"/>
            <w:vAlign w:val="center"/>
          </w:tcPr>
          <w:p w14:paraId="3D8D1946"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r. 640(1)</w:t>
            </w:r>
          </w:p>
        </w:tc>
        <w:tc>
          <w:tcPr>
            <w:tcW w:w="5652" w:type="dxa"/>
            <w:vAlign w:val="center"/>
          </w:tcPr>
          <w:p w14:paraId="690F6AFE"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Palisade was of the view that this provision should not be classified as a civil penalty and conduct provision because in its view the obligation is subjective.</w:t>
            </w:r>
          </w:p>
        </w:tc>
        <w:tc>
          <w:tcPr>
            <w:tcW w:w="6439" w:type="dxa"/>
            <w:vAlign w:val="center"/>
          </w:tcPr>
          <w:p w14:paraId="0F8886F1" w14:textId="77777777" w:rsidR="006E24F8" w:rsidRPr="00944EC7" w:rsidRDefault="006E24F8" w:rsidP="00983327">
            <w:pPr>
              <w:pStyle w:val="TableBodyText"/>
              <w:spacing w:line="240" w:lineRule="auto"/>
              <w:rPr>
                <w:sz w:val="17"/>
                <w:szCs w:val="17"/>
              </w:rPr>
            </w:pPr>
            <w:r w:rsidRPr="00944EC7">
              <w:rPr>
                <w:sz w:val="17"/>
                <w:szCs w:val="17"/>
              </w:rPr>
              <w:t xml:space="preserve">The GMRG disagrees with Palisade that the obligation for a transportation service provider to amend a facility agreement within a specified time is subjective. No amendments have therefore been made to this aspect of the regulations. </w:t>
            </w:r>
          </w:p>
        </w:tc>
      </w:tr>
      <w:tr w:rsidR="006E24F8" w:rsidRPr="00944EC7" w14:paraId="4CED28C2" w14:textId="77777777" w:rsidTr="00944EC7">
        <w:trPr>
          <w:cnfStyle w:val="000000010000" w:firstRow="0" w:lastRow="0" w:firstColumn="0" w:lastColumn="0" w:oddVBand="0" w:evenVBand="0" w:oddHBand="0" w:evenHBand="1" w:firstRowFirstColumn="0" w:firstRowLastColumn="0" w:lastRowFirstColumn="0" w:lastRowLastColumn="0"/>
          <w:trHeight w:val="70"/>
        </w:trPr>
        <w:tc>
          <w:tcPr>
            <w:tcW w:w="13750" w:type="dxa"/>
            <w:gridSpan w:val="3"/>
            <w:shd w:val="clear" w:color="auto" w:fill="65697F" w:themeFill="background2" w:themeFillShade="80"/>
            <w:vAlign w:val="center"/>
          </w:tcPr>
          <w:p w14:paraId="30DDED81" w14:textId="77777777" w:rsidR="006E24F8" w:rsidRPr="00944EC7" w:rsidRDefault="006E24F8" w:rsidP="00983327">
            <w:pPr>
              <w:pStyle w:val="BodyText"/>
              <w:keepNext/>
              <w:spacing w:before="20" w:after="40" w:line="240" w:lineRule="auto"/>
              <w:jc w:val="center"/>
              <w:rPr>
                <w:b/>
                <w:color w:val="FFFFFF" w:themeColor="background1"/>
                <w:sz w:val="17"/>
                <w:szCs w:val="17"/>
              </w:rPr>
            </w:pPr>
            <w:r w:rsidRPr="00944EC7">
              <w:rPr>
                <w:b/>
                <w:color w:val="FFFFFF" w:themeColor="background1"/>
                <w:sz w:val="17"/>
                <w:szCs w:val="17"/>
              </w:rPr>
              <w:lastRenderedPageBreak/>
              <w:t>Operational Transportation Service Code</w:t>
            </w:r>
          </w:p>
        </w:tc>
      </w:tr>
      <w:tr w:rsidR="006E24F8" w:rsidRPr="00944EC7" w14:paraId="64E9D141" w14:textId="77777777" w:rsidTr="00944EC7">
        <w:trPr>
          <w:trHeight w:val="1230"/>
        </w:trPr>
        <w:tc>
          <w:tcPr>
            <w:tcW w:w="1659" w:type="dxa"/>
            <w:vAlign w:val="center"/>
          </w:tcPr>
          <w:p w14:paraId="41416B79"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Part 3, clause 2</w:t>
            </w:r>
          </w:p>
        </w:tc>
        <w:tc>
          <w:tcPr>
            <w:tcW w:w="5652" w:type="dxa"/>
            <w:vAlign w:val="center"/>
          </w:tcPr>
          <w:p w14:paraId="05C4E85D"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APA noted that under the draft Code, the provision of services is assumed to commence on the execution date but that often there are a number of things that occur between execution and service commencement date. APA therefore suggested the inclusion of a ‘Services Effective Date’ concept in the Code.</w:t>
            </w:r>
          </w:p>
        </w:tc>
        <w:tc>
          <w:tcPr>
            <w:tcW w:w="6439" w:type="dxa"/>
            <w:vAlign w:val="center"/>
          </w:tcPr>
          <w:p w14:paraId="6E12DE5F" w14:textId="77777777" w:rsidR="006E24F8" w:rsidRPr="00944EC7" w:rsidRDefault="006E24F8" w:rsidP="00983327">
            <w:pPr>
              <w:pStyle w:val="BodyText"/>
              <w:spacing w:before="20" w:after="40" w:line="240" w:lineRule="auto"/>
              <w:rPr>
                <w:sz w:val="17"/>
                <w:szCs w:val="17"/>
              </w:rPr>
            </w:pPr>
            <w:r w:rsidRPr="00944EC7">
              <w:rPr>
                <w:sz w:val="17"/>
                <w:szCs w:val="17"/>
              </w:rPr>
              <w:t>To address APA’s concerns, the Code has been amended to provide for the agreement to commences on the ‘Commencement Date’, which is the day commencing on the fifteenth Business Day after the execution of this Agreement or such other date specified by the parties.</w:t>
            </w:r>
          </w:p>
        </w:tc>
      </w:tr>
      <w:tr w:rsidR="006E24F8" w:rsidRPr="00944EC7" w14:paraId="76186245" w14:textId="77777777" w:rsidTr="00944EC7">
        <w:trPr>
          <w:cnfStyle w:val="000000010000" w:firstRow="0" w:lastRow="0" w:firstColumn="0" w:lastColumn="0" w:oddVBand="0" w:evenVBand="0" w:oddHBand="0" w:evenHBand="1" w:firstRowFirstColumn="0" w:firstRowLastColumn="0" w:lastRowFirstColumn="0" w:lastRowLastColumn="0"/>
          <w:trHeight w:val="1230"/>
        </w:trPr>
        <w:tc>
          <w:tcPr>
            <w:tcW w:w="1659" w:type="dxa"/>
            <w:vAlign w:val="center"/>
          </w:tcPr>
          <w:p w14:paraId="790D966F"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Part 3, clause 4.7</w:t>
            </w:r>
          </w:p>
        </w:tc>
        <w:tc>
          <w:tcPr>
            <w:tcW w:w="5652" w:type="dxa"/>
            <w:vAlign w:val="center"/>
          </w:tcPr>
          <w:p w14:paraId="195108C7"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Epic noted that the requirement in clause 4.7(e) of the Code for a service provider to notify shipper as soon as practicable whether and to what extent it accepts or rejects a renomination for a service is inconsistent with their current practice, which is to schedule renominations at set interval times.</w:t>
            </w:r>
          </w:p>
        </w:tc>
        <w:tc>
          <w:tcPr>
            <w:tcW w:w="6439" w:type="dxa"/>
            <w:vAlign w:val="center"/>
          </w:tcPr>
          <w:p w14:paraId="54CA75DC" w14:textId="77777777" w:rsidR="006E24F8" w:rsidRPr="00944EC7" w:rsidRDefault="006E24F8" w:rsidP="00983327">
            <w:pPr>
              <w:pStyle w:val="BodyText"/>
              <w:spacing w:before="20" w:after="40" w:line="240" w:lineRule="auto"/>
              <w:rPr>
                <w:sz w:val="17"/>
                <w:szCs w:val="17"/>
              </w:rPr>
            </w:pPr>
            <w:r w:rsidRPr="00944EC7">
              <w:rPr>
                <w:sz w:val="17"/>
                <w:szCs w:val="17"/>
              </w:rPr>
              <w:t xml:space="preserve">To address Epic’s concerns, the Code has been amended to require a transportation service provider to notify a shipper as soon as practicable (or by such interval (if any) as specified in the Facility Specific Terms) whether and to what extent it accepts a renomination. </w:t>
            </w:r>
          </w:p>
        </w:tc>
      </w:tr>
      <w:tr w:rsidR="006E24F8" w:rsidRPr="00944EC7" w14:paraId="4A28E95E" w14:textId="77777777" w:rsidTr="00944EC7">
        <w:trPr>
          <w:trHeight w:val="1290"/>
        </w:trPr>
        <w:tc>
          <w:tcPr>
            <w:tcW w:w="1659" w:type="dxa"/>
            <w:vAlign w:val="center"/>
          </w:tcPr>
          <w:p w14:paraId="207ED9BE"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Part 3, clauses 7.1-7.2</w:t>
            </w:r>
          </w:p>
        </w:tc>
        <w:tc>
          <w:tcPr>
            <w:tcW w:w="5652" w:type="dxa"/>
            <w:vAlign w:val="center"/>
          </w:tcPr>
          <w:p w14:paraId="3D741E6C"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Epic raised two general concerns with clause 7 of the Code:</w:t>
            </w:r>
          </w:p>
          <w:p w14:paraId="2ABFEB41" w14:textId="50A763E8" w:rsidR="006E24F8" w:rsidRPr="00944EC7" w:rsidRDefault="006E24F8" w:rsidP="00983327">
            <w:pPr>
              <w:pStyle w:val="TableBullet1"/>
              <w:rPr>
                <w:sz w:val="17"/>
                <w:szCs w:val="17"/>
              </w:rPr>
            </w:pPr>
            <w:r w:rsidRPr="00944EC7">
              <w:rPr>
                <w:sz w:val="17"/>
                <w:szCs w:val="17"/>
              </w:rPr>
              <w:t>The first concern relate</w:t>
            </w:r>
            <w:r w:rsidR="00651779" w:rsidRPr="00944EC7">
              <w:rPr>
                <w:sz w:val="17"/>
                <w:szCs w:val="17"/>
              </w:rPr>
              <w:t>s</w:t>
            </w:r>
            <w:r w:rsidRPr="00944EC7">
              <w:rPr>
                <w:sz w:val="17"/>
                <w:szCs w:val="17"/>
              </w:rPr>
              <w:t xml:space="preserve"> to the general curtailment provisions in clause 7.1. Epic was of the view that this clause should allow non-firm services to be interrupted in the specified priority order for any reason where there is insufficient capacity to satisfy all nominations</w:t>
            </w:r>
            <w:r w:rsidR="00651779" w:rsidRPr="00944EC7">
              <w:rPr>
                <w:sz w:val="17"/>
                <w:szCs w:val="17"/>
              </w:rPr>
              <w:t>.</w:t>
            </w:r>
          </w:p>
          <w:p w14:paraId="1FB0E42C" w14:textId="77777777" w:rsidR="006E24F8" w:rsidRPr="00944EC7" w:rsidRDefault="006E24F8" w:rsidP="00983327">
            <w:pPr>
              <w:pStyle w:val="TableBullet1"/>
              <w:rPr>
                <w:sz w:val="17"/>
                <w:szCs w:val="17"/>
              </w:rPr>
            </w:pPr>
            <w:r w:rsidRPr="00944EC7">
              <w:rPr>
                <w:sz w:val="17"/>
                <w:szCs w:val="17"/>
              </w:rPr>
              <w:t xml:space="preserve">The second concern relates to the liability associated with general curtailments in clause 7.2. Epic was of the view that this created unnecessary ambiguity by imposing a special provision as to the treatment of one particular type of breach of the agreement whilst remaining silent about others. </w:t>
            </w:r>
          </w:p>
        </w:tc>
        <w:tc>
          <w:tcPr>
            <w:tcW w:w="6439" w:type="dxa"/>
            <w:vAlign w:val="center"/>
          </w:tcPr>
          <w:p w14:paraId="602E315E" w14:textId="77777777" w:rsidR="006E24F8" w:rsidRPr="00944EC7" w:rsidRDefault="006E24F8" w:rsidP="00983327">
            <w:pPr>
              <w:pStyle w:val="BodyText"/>
              <w:spacing w:before="20" w:after="40" w:line="240" w:lineRule="auto"/>
              <w:rPr>
                <w:sz w:val="17"/>
                <w:szCs w:val="17"/>
              </w:rPr>
            </w:pPr>
            <w:r w:rsidRPr="00944EC7">
              <w:rPr>
                <w:sz w:val="17"/>
                <w:szCs w:val="17"/>
              </w:rPr>
              <w:t>The GMRG has considered the concerns raised by Epic, but does not consider any amendments are required because:</w:t>
            </w:r>
          </w:p>
          <w:p w14:paraId="6728C4A1" w14:textId="77777777" w:rsidR="006E24F8" w:rsidRPr="00944EC7" w:rsidRDefault="006E24F8" w:rsidP="00983327">
            <w:pPr>
              <w:pStyle w:val="TableBullet1"/>
              <w:rPr>
                <w:sz w:val="17"/>
                <w:szCs w:val="17"/>
              </w:rPr>
            </w:pPr>
            <w:r w:rsidRPr="00944EC7">
              <w:rPr>
                <w:sz w:val="17"/>
                <w:szCs w:val="17"/>
              </w:rPr>
              <w:t xml:space="preserve">Clause 7.1(i) already allows service providers to curtail capacity where there is insufficient capacity. </w:t>
            </w:r>
          </w:p>
          <w:p w14:paraId="220C3A65" w14:textId="77777777" w:rsidR="006E24F8" w:rsidRPr="00944EC7" w:rsidRDefault="006E24F8" w:rsidP="00983327">
            <w:pPr>
              <w:pStyle w:val="TableBullet1"/>
              <w:rPr>
                <w:sz w:val="17"/>
                <w:szCs w:val="17"/>
              </w:rPr>
            </w:pPr>
            <w:r w:rsidRPr="00944EC7">
              <w:rPr>
                <w:sz w:val="17"/>
                <w:szCs w:val="17"/>
              </w:rPr>
              <w:t>In the GMRG’s view, if a provision is included in the Code expressly allowing curtailment when the service provider has not acted reasonably and prudently, a further provision should be included setting out the liability position for curtailment in those circumstances.</w:t>
            </w:r>
          </w:p>
        </w:tc>
      </w:tr>
      <w:tr w:rsidR="006E24F8" w:rsidRPr="00944EC7" w14:paraId="2E109CB5" w14:textId="77777777" w:rsidTr="00944EC7">
        <w:trPr>
          <w:cnfStyle w:val="000000010000" w:firstRow="0" w:lastRow="0" w:firstColumn="0" w:lastColumn="0" w:oddVBand="0" w:evenVBand="0" w:oddHBand="0" w:evenHBand="1" w:firstRowFirstColumn="0" w:firstRowLastColumn="0" w:lastRowFirstColumn="0" w:lastRowLastColumn="0"/>
          <w:trHeight w:val="1230"/>
        </w:trPr>
        <w:tc>
          <w:tcPr>
            <w:tcW w:w="1659" w:type="dxa"/>
            <w:vAlign w:val="center"/>
          </w:tcPr>
          <w:p w14:paraId="1E8D893A"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Part 3, clause 10.5</w:t>
            </w:r>
          </w:p>
        </w:tc>
        <w:tc>
          <w:tcPr>
            <w:tcW w:w="5652" w:type="dxa"/>
            <w:vAlign w:val="center"/>
          </w:tcPr>
          <w:p w14:paraId="36D633E3"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of the view that the $20 m liability cap for off-specification gas in clause 10.5 were too low and did not provide adequate incentive for shippers to put safeguards in place to prevent such an event occurring. APA therefore suggested the cap be removed. </w:t>
            </w:r>
          </w:p>
        </w:tc>
        <w:tc>
          <w:tcPr>
            <w:tcW w:w="6439" w:type="dxa"/>
            <w:vAlign w:val="center"/>
          </w:tcPr>
          <w:p w14:paraId="52915FAF" w14:textId="3AD528CE" w:rsidR="006E24F8" w:rsidRPr="00944EC7" w:rsidRDefault="006E24F8" w:rsidP="00983327">
            <w:pPr>
              <w:pStyle w:val="BodyText"/>
              <w:spacing w:before="20" w:after="40" w:line="240" w:lineRule="auto"/>
              <w:rPr>
                <w:sz w:val="17"/>
                <w:szCs w:val="17"/>
              </w:rPr>
            </w:pPr>
            <w:r w:rsidRPr="00944EC7">
              <w:rPr>
                <w:sz w:val="17"/>
                <w:szCs w:val="17"/>
              </w:rPr>
              <w:t>Contrary to APA’s view, the GMRG is of the view that the $20 m liability cap for off-specification gas appropriately balances the interests of shippers and service providers and will provide shippers a strong incentive to put in place safeguards to manage off-specification events</w:t>
            </w:r>
            <w:r w:rsidR="00651779" w:rsidRPr="00944EC7">
              <w:rPr>
                <w:sz w:val="17"/>
                <w:szCs w:val="17"/>
              </w:rPr>
              <w:t xml:space="preserve"> to the extent they can</w:t>
            </w:r>
            <w:r w:rsidRPr="00944EC7">
              <w:rPr>
                <w:sz w:val="17"/>
                <w:szCs w:val="17"/>
              </w:rPr>
              <w:t>. The GMRG also notes that if the Code was amended as APA suggested then there is a danger that fewer shippers (particularly smaller and medium sized shippers) would participate in the capacity trading platform and day-ahead auction, which would limit the effectiveness of the reforms. No amendments have therefore be made to this clause.</w:t>
            </w:r>
          </w:p>
        </w:tc>
      </w:tr>
      <w:tr w:rsidR="006E24F8" w:rsidRPr="00944EC7" w14:paraId="076A6C3C" w14:textId="77777777" w:rsidTr="00944EC7">
        <w:trPr>
          <w:trHeight w:val="1230"/>
        </w:trPr>
        <w:tc>
          <w:tcPr>
            <w:tcW w:w="1659" w:type="dxa"/>
            <w:vAlign w:val="center"/>
          </w:tcPr>
          <w:p w14:paraId="4E58A751"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Part 3, clause 28</w:t>
            </w:r>
          </w:p>
        </w:tc>
        <w:tc>
          <w:tcPr>
            <w:tcW w:w="5652" w:type="dxa"/>
            <w:vAlign w:val="center"/>
          </w:tcPr>
          <w:p w14:paraId="3A17A6EB" w14:textId="77777777" w:rsidR="006E24F8" w:rsidRPr="00944EC7" w:rsidRDefault="006E24F8" w:rsidP="00983327">
            <w:pPr>
              <w:pStyle w:val="BodyText"/>
              <w:spacing w:before="20" w:after="40" w:line="240" w:lineRule="auto"/>
              <w:rPr>
                <w:rFonts w:cs="Arial"/>
                <w:sz w:val="17"/>
                <w:szCs w:val="17"/>
              </w:rPr>
            </w:pPr>
            <w:r w:rsidRPr="00944EC7">
              <w:rPr>
                <w:rFonts w:cs="Arial"/>
                <w:sz w:val="17"/>
                <w:szCs w:val="17"/>
              </w:rPr>
              <w:t xml:space="preserve">APA was of the view that service providers should not be required to give effect to a bilateral trade if the counterparty to the trade is in breach of its facility agreement. </w:t>
            </w:r>
          </w:p>
        </w:tc>
        <w:tc>
          <w:tcPr>
            <w:tcW w:w="6439" w:type="dxa"/>
            <w:vAlign w:val="center"/>
          </w:tcPr>
          <w:p w14:paraId="386B4CB4" w14:textId="77777777" w:rsidR="006E24F8" w:rsidRPr="00944EC7" w:rsidRDefault="006E24F8" w:rsidP="00983327">
            <w:pPr>
              <w:pStyle w:val="BodyText"/>
              <w:spacing w:before="20" w:after="40" w:line="240" w:lineRule="auto"/>
              <w:rPr>
                <w:sz w:val="17"/>
                <w:szCs w:val="17"/>
              </w:rPr>
            </w:pPr>
            <w:r w:rsidRPr="00944EC7">
              <w:rPr>
                <w:sz w:val="17"/>
                <w:szCs w:val="17"/>
              </w:rPr>
              <w:t xml:space="preserve">The GMRG agrees that this is a reasonable ground for service providers refusing to give effect to a bilateral trade. Clause 28.2 of the Code has been amended accordingly. </w:t>
            </w:r>
          </w:p>
        </w:tc>
      </w:tr>
    </w:tbl>
    <w:p w14:paraId="18C70148" w14:textId="77777777" w:rsidR="006E24F8" w:rsidRDefault="006E24F8" w:rsidP="006E24F8">
      <w:pPr>
        <w:pStyle w:val="BodyText"/>
      </w:pPr>
    </w:p>
    <w:p w14:paraId="2588E593" w14:textId="77777777" w:rsidR="006E24F8" w:rsidRDefault="006E24F8" w:rsidP="006E24F8">
      <w:pPr>
        <w:pStyle w:val="BodyText"/>
        <w:sectPr w:rsidR="006E24F8" w:rsidSect="00CD7096">
          <w:pgSz w:w="16839" w:h="11907" w:orient="landscape" w:code="9"/>
          <w:pgMar w:top="1701" w:right="1418" w:bottom="851" w:left="1701" w:header="425" w:footer="397" w:gutter="0"/>
          <w:cols w:space="708"/>
          <w:docGrid w:linePitch="360"/>
        </w:sectPr>
      </w:pPr>
    </w:p>
    <w:p w14:paraId="0FDBF7A5" w14:textId="4B53A063" w:rsidR="006E24F8" w:rsidRDefault="006E24F8" w:rsidP="006E24F8">
      <w:pPr>
        <w:pStyle w:val="Caption"/>
        <w:spacing w:before="0" w:after="0"/>
      </w:pPr>
      <w:r w:rsidRPr="00BD7ADE">
        <w:lastRenderedPageBreak/>
        <w:t xml:space="preserve">Table </w:t>
      </w:r>
      <w:r>
        <w:rPr>
          <w:noProof/>
        </w:rPr>
        <w:t>A.16</w:t>
      </w:r>
      <w:r w:rsidRPr="00BD7ADE">
        <w:t xml:space="preserve">: </w:t>
      </w:r>
      <w:r>
        <w:t xml:space="preserve">Capacity trading platform and day-ahead auction: </w:t>
      </w:r>
      <w:r w:rsidRPr="00BD7ADE">
        <w:t xml:space="preserve">Feedback on </w:t>
      </w:r>
      <w:r>
        <w:t xml:space="preserve">draft amendment to the </w:t>
      </w:r>
      <w:r w:rsidRPr="00BD7ADE">
        <w:t>NGL, NGR</w:t>
      </w:r>
      <w:r>
        <w:t xml:space="preserve"> and Regulations</w:t>
      </w:r>
    </w:p>
    <w:tbl>
      <w:tblPr>
        <w:tblStyle w:val="TableGrid"/>
        <w:tblW w:w="5011" w:type="pct"/>
        <w:tblLook w:val="04A0" w:firstRow="1" w:lastRow="0" w:firstColumn="1" w:lastColumn="0" w:noHBand="0" w:noVBand="1"/>
        <w:tblCaption w:val="Response to issues raised about arbitration"/>
        <w:tblDescription w:val="Table of stakeholder concerns and GMRG response"/>
      </w:tblPr>
      <w:tblGrid>
        <w:gridCol w:w="1135"/>
        <w:gridCol w:w="6029"/>
        <w:gridCol w:w="6586"/>
      </w:tblGrid>
      <w:tr w:rsidR="006E24F8" w:rsidRPr="00A90ED5" w14:paraId="240B7D53" w14:textId="77777777" w:rsidTr="00944EC7">
        <w:trPr>
          <w:cnfStyle w:val="100000000000" w:firstRow="1" w:lastRow="0" w:firstColumn="0" w:lastColumn="0" w:oddVBand="0" w:evenVBand="0" w:oddHBand="0" w:evenHBand="0" w:firstRowFirstColumn="0" w:firstRowLastColumn="0" w:lastRowFirstColumn="0" w:lastRowLastColumn="0"/>
          <w:trHeight w:val="70"/>
          <w:tblHeader/>
        </w:trPr>
        <w:tc>
          <w:tcPr>
            <w:tcW w:w="1135" w:type="dxa"/>
            <w:tcBorders>
              <w:bottom w:val="single" w:sz="4" w:space="0" w:color="auto"/>
            </w:tcBorders>
            <w:shd w:val="clear" w:color="auto" w:fill="0099CC"/>
          </w:tcPr>
          <w:p w14:paraId="04B8341C" w14:textId="77777777" w:rsidR="006E24F8" w:rsidRPr="00A90ED5" w:rsidRDefault="006E24F8" w:rsidP="00983327">
            <w:pPr>
              <w:pStyle w:val="BodyText"/>
              <w:spacing w:before="20" w:after="60" w:line="240" w:lineRule="auto"/>
              <w:rPr>
                <w:rFonts w:asciiTheme="majorHAnsi" w:hAnsiTheme="majorHAnsi" w:cstheme="majorHAnsi"/>
                <w:sz w:val="17"/>
                <w:szCs w:val="17"/>
              </w:rPr>
            </w:pPr>
            <w:r w:rsidRPr="00A90ED5">
              <w:rPr>
                <w:rFonts w:asciiTheme="majorHAnsi" w:hAnsiTheme="majorHAnsi" w:cstheme="majorHAnsi"/>
                <w:sz w:val="17"/>
                <w:szCs w:val="17"/>
              </w:rPr>
              <w:t>Provision</w:t>
            </w:r>
          </w:p>
        </w:tc>
        <w:tc>
          <w:tcPr>
            <w:tcW w:w="6029" w:type="dxa"/>
            <w:tcBorders>
              <w:bottom w:val="single" w:sz="4" w:space="0" w:color="auto"/>
            </w:tcBorders>
            <w:shd w:val="clear" w:color="auto" w:fill="0099CC"/>
          </w:tcPr>
          <w:p w14:paraId="29B3CE5F" w14:textId="77777777" w:rsidR="006E24F8" w:rsidRPr="00A90ED5" w:rsidRDefault="006E24F8" w:rsidP="00983327">
            <w:pPr>
              <w:pStyle w:val="BodyText"/>
              <w:spacing w:before="20" w:after="60" w:line="240" w:lineRule="auto"/>
              <w:rPr>
                <w:rFonts w:asciiTheme="majorHAnsi" w:hAnsiTheme="majorHAnsi" w:cstheme="majorHAnsi"/>
                <w:sz w:val="17"/>
                <w:szCs w:val="17"/>
              </w:rPr>
            </w:pPr>
            <w:r w:rsidRPr="00A90ED5">
              <w:rPr>
                <w:rFonts w:asciiTheme="majorHAnsi" w:hAnsiTheme="majorHAnsi" w:cstheme="majorHAnsi"/>
                <w:sz w:val="17"/>
                <w:szCs w:val="17"/>
              </w:rPr>
              <w:t>Stakeholder concern</w:t>
            </w:r>
          </w:p>
        </w:tc>
        <w:tc>
          <w:tcPr>
            <w:tcW w:w="6586" w:type="dxa"/>
            <w:tcBorders>
              <w:bottom w:val="single" w:sz="4" w:space="0" w:color="auto"/>
            </w:tcBorders>
            <w:shd w:val="clear" w:color="auto" w:fill="0099CC"/>
          </w:tcPr>
          <w:p w14:paraId="7200CED4" w14:textId="77777777" w:rsidR="006E24F8" w:rsidRPr="00A90ED5" w:rsidRDefault="006E24F8" w:rsidP="00983327">
            <w:pPr>
              <w:pStyle w:val="BodyText"/>
              <w:spacing w:before="20" w:after="60" w:line="240" w:lineRule="auto"/>
              <w:rPr>
                <w:rFonts w:asciiTheme="majorHAnsi" w:hAnsiTheme="majorHAnsi" w:cstheme="majorHAnsi"/>
                <w:sz w:val="17"/>
                <w:szCs w:val="17"/>
              </w:rPr>
            </w:pPr>
            <w:r w:rsidRPr="00A90ED5">
              <w:rPr>
                <w:rFonts w:asciiTheme="majorHAnsi" w:hAnsiTheme="majorHAnsi" w:cstheme="majorHAnsi"/>
                <w:sz w:val="17"/>
                <w:szCs w:val="17"/>
              </w:rPr>
              <w:t>GMRG response</w:t>
            </w:r>
          </w:p>
        </w:tc>
      </w:tr>
      <w:tr w:rsidR="006E24F8" w:rsidRPr="00A90ED5" w14:paraId="3B92B978" w14:textId="77777777" w:rsidTr="00944EC7">
        <w:trPr>
          <w:trHeight w:val="70"/>
        </w:trPr>
        <w:tc>
          <w:tcPr>
            <w:tcW w:w="13750" w:type="dxa"/>
            <w:gridSpan w:val="3"/>
            <w:shd w:val="clear" w:color="auto" w:fill="65697F" w:themeFill="background2" w:themeFillShade="80"/>
            <w:vAlign w:val="center"/>
          </w:tcPr>
          <w:p w14:paraId="67D3989D" w14:textId="77777777" w:rsidR="006E24F8" w:rsidRPr="00A90ED5" w:rsidRDefault="006E24F8" w:rsidP="00983327">
            <w:pPr>
              <w:pStyle w:val="BodyText"/>
              <w:spacing w:before="20" w:after="40" w:line="240" w:lineRule="auto"/>
              <w:jc w:val="center"/>
              <w:rPr>
                <w:rFonts w:asciiTheme="majorHAnsi" w:hAnsiTheme="majorHAnsi" w:cstheme="majorHAnsi"/>
                <w:b/>
                <w:color w:val="FFFFFF" w:themeColor="background1"/>
                <w:sz w:val="17"/>
                <w:szCs w:val="17"/>
              </w:rPr>
            </w:pPr>
            <w:r w:rsidRPr="00A90ED5">
              <w:rPr>
                <w:rFonts w:asciiTheme="majorHAnsi" w:hAnsiTheme="majorHAnsi" w:cstheme="majorHAnsi"/>
                <w:b/>
                <w:color w:val="FFFFFF" w:themeColor="background1"/>
                <w:sz w:val="17"/>
                <w:szCs w:val="17"/>
              </w:rPr>
              <w:t>NGL</w:t>
            </w:r>
          </w:p>
        </w:tc>
      </w:tr>
      <w:tr w:rsidR="006E24F8" w:rsidRPr="00A90ED5" w14:paraId="0DD33317" w14:textId="77777777" w:rsidTr="00944EC7">
        <w:trPr>
          <w:cnfStyle w:val="000000010000" w:firstRow="0" w:lastRow="0" w:firstColumn="0" w:lastColumn="0" w:oddVBand="0" w:evenVBand="0" w:oddHBand="0" w:evenHBand="1" w:firstRowFirstColumn="0" w:firstRowLastColumn="0" w:lastRowFirstColumn="0" w:lastRowLastColumn="0"/>
          <w:trHeight w:val="1230"/>
        </w:trPr>
        <w:tc>
          <w:tcPr>
            <w:tcW w:w="1135" w:type="dxa"/>
            <w:vAlign w:val="center"/>
          </w:tcPr>
          <w:p w14:paraId="06E202CB"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General</w:t>
            </w:r>
          </w:p>
        </w:tc>
        <w:tc>
          <w:tcPr>
            <w:tcW w:w="6029" w:type="dxa"/>
            <w:vAlign w:val="center"/>
          </w:tcPr>
          <w:p w14:paraId="2791E330" w14:textId="68D2D144"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 xml:space="preserve">APA and Jemena </w:t>
            </w:r>
            <w:r w:rsidR="00651779">
              <w:rPr>
                <w:rFonts w:asciiTheme="majorHAnsi" w:hAnsiTheme="majorHAnsi" w:cstheme="majorHAnsi"/>
                <w:sz w:val="17"/>
                <w:szCs w:val="17"/>
              </w:rPr>
              <w:t xml:space="preserve">were of the view </w:t>
            </w:r>
            <w:r w:rsidRPr="00A90ED5">
              <w:rPr>
                <w:rFonts w:asciiTheme="majorHAnsi" w:hAnsiTheme="majorHAnsi" w:cstheme="majorHAnsi"/>
                <w:sz w:val="17"/>
                <w:szCs w:val="17"/>
              </w:rPr>
              <w:t>that the proposed amendments to the NGL do not go far enough to ensure that service providers do not breach their existing contractual obligations when applying the auction priorities and scheduling requirements set out in Part 25 of the NGR. To address this issue, APA suggested a provision be included in the NGL to give service providers relief from contractual liability to the extent the failure was due to an obligation imposed under the NGR.</w:t>
            </w:r>
          </w:p>
        </w:tc>
        <w:tc>
          <w:tcPr>
            <w:tcW w:w="6586" w:type="dxa"/>
            <w:vAlign w:val="center"/>
          </w:tcPr>
          <w:p w14:paraId="22C5802E"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 xml:space="preserve">To address the concerns raised by APA and Jemena, a transitional immunity provision has been included in the savings and transitional section of the NGL. </w:t>
            </w:r>
          </w:p>
        </w:tc>
      </w:tr>
      <w:tr w:rsidR="006E24F8" w:rsidRPr="00A90ED5" w14:paraId="41F4635B" w14:textId="77777777" w:rsidTr="00944EC7">
        <w:trPr>
          <w:trHeight w:val="708"/>
        </w:trPr>
        <w:tc>
          <w:tcPr>
            <w:tcW w:w="1135" w:type="dxa"/>
            <w:vAlign w:val="center"/>
          </w:tcPr>
          <w:p w14:paraId="7A5BACAE"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 xml:space="preserve">s. 2(1) </w:t>
            </w:r>
          </w:p>
        </w:tc>
        <w:tc>
          <w:tcPr>
            <w:tcW w:w="6029" w:type="dxa"/>
            <w:vAlign w:val="center"/>
          </w:tcPr>
          <w:p w14:paraId="29FC7950"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APA, Palisade and APGA noted the definition of capacity auction and transportation services in the NGL do not limit the scope of the auction to a day-ahead auction of transportation and compression services.</w:t>
            </w:r>
          </w:p>
        </w:tc>
        <w:tc>
          <w:tcPr>
            <w:tcW w:w="6586" w:type="dxa"/>
            <w:vAlign w:val="center"/>
          </w:tcPr>
          <w:p w14:paraId="55C6AD54"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The definitions of capacity auction and transportation services in the NGL were drafted to provide some flexibility to accommodate changes in the scope of the auction over time through amendments to the Regulations and the NGR. While this flexibility has been provided for in the NGL, the provisions in Part 25 of the NGR make it clear that the auction is a day-ahead auction and only relates to pipeline and compression services. Any proposed changes to the scope of the auction would therefore need to be subject to a Regulation and/or rule change, which would require an assessment of whether the proposed change is consistent with the NGO. The approach employed in this context is consistent with the way other markets have been implemented in the NGL. No changes have therefore been made to the NGL to address this issue.</w:t>
            </w:r>
          </w:p>
        </w:tc>
      </w:tr>
      <w:tr w:rsidR="006E24F8" w:rsidRPr="00A90ED5" w14:paraId="1F2BBC1C" w14:textId="77777777" w:rsidTr="00944EC7">
        <w:trPr>
          <w:cnfStyle w:val="000000010000" w:firstRow="0" w:lastRow="0" w:firstColumn="0" w:lastColumn="0" w:oddVBand="0" w:evenVBand="0" w:oddHBand="0" w:evenHBand="1" w:firstRowFirstColumn="0" w:firstRowLastColumn="0" w:lastRowFirstColumn="0" w:lastRowLastColumn="0"/>
          <w:trHeight w:val="753"/>
        </w:trPr>
        <w:tc>
          <w:tcPr>
            <w:tcW w:w="1135" w:type="dxa"/>
            <w:vAlign w:val="center"/>
          </w:tcPr>
          <w:p w14:paraId="57946CDA"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s. 74(1)</w:t>
            </w:r>
          </w:p>
        </w:tc>
        <w:tc>
          <w:tcPr>
            <w:tcW w:w="6029" w:type="dxa"/>
            <w:vAlign w:val="center"/>
          </w:tcPr>
          <w:p w14:paraId="7420DC61"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APA expressed some concern about the potential for the term auction to be read broadly in this section and suggested that the rule making power in s. 74(1)(aab) be limited to rules relating to the AEMO’s capacity auction functions and the activities of transportation service providers and transportation facility users in connection with a capacity auction conducted by AEMO.</w:t>
            </w:r>
          </w:p>
        </w:tc>
        <w:tc>
          <w:tcPr>
            <w:tcW w:w="6586" w:type="dxa"/>
            <w:vAlign w:val="center"/>
          </w:tcPr>
          <w:p w14:paraId="2BB378BD"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To address the concerns raised by APA, the definition of capacity auction in s. 2 has been amended to make it clear that it only refers to a capacity auction conducted by AEMO.</w:t>
            </w:r>
          </w:p>
        </w:tc>
      </w:tr>
      <w:tr w:rsidR="006E24F8" w:rsidRPr="00A90ED5" w14:paraId="18C3E1D2" w14:textId="77777777" w:rsidTr="00944EC7">
        <w:trPr>
          <w:trHeight w:val="412"/>
        </w:trPr>
        <w:tc>
          <w:tcPr>
            <w:tcW w:w="1135" w:type="dxa"/>
            <w:vAlign w:val="center"/>
          </w:tcPr>
          <w:p w14:paraId="6BDC42A7"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s. 91BRM</w:t>
            </w:r>
          </w:p>
        </w:tc>
        <w:tc>
          <w:tcPr>
            <w:tcW w:w="6029" w:type="dxa"/>
            <w:vAlign w:val="center"/>
          </w:tcPr>
          <w:p w14:paraId="7BF6019E"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APA and Origin questioned the inclusion of s. 91BRM(2) in the NGL, which allowed AEMO to trade transportation capacity to the extent necessary or desirable for the efficient operation of the capacity auction.</w:t>
            </w:r>
          </w:p>
        </w:tc>
        <w:tc>
          <w:tcPr>
            <w:tcW w:w="6586" w:type="dxa"/>
            <w:vAlign w:val="center"/>
          </w:tcPr>
          <w:p w14:paraId="27A8FB78"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While this provision was modelled on similar provisions for the GSH, STTM and DWGM, the GMRG has confirmed that AEMO does not require this power. This provision has therefore been removed from the NGL.</w:t>
            </w:r>
          </w:p>
        </w:tc>
      </w:tr>
      <w:tr w:rsidR="006E24F8" w:rsidRPr="00A90ED5" w14:paraId="480094BB" w14:textId="77777777" w:rsidTr="00944EC7">
        <w:trPr>
          <w:cnfStyle w:val="000000010000" w:firstRow="0" w:lastRow="0" w:firstColumn="0" w:lastColumn="0" w:oddVBand="0" w:evenVBand="0" w:oddHBand="0" w:evenHBand="1" w:firstRowFirstColumn="0" w:firstRowLastColumn="0" w:lastRowFirstColumn="0" w:lastRowLastColumn="0"/>
          <w:trHeight w:val="215"/>
        </w:trPr>
        <w:tc>
          <w:tcPr>
            <w:tcW w:w="1135" w:type="dxa"/>
            <w:vAlign w:val="center"/>
          </w:tcPr>
          <w:p w14:paraId="2DBAE3BF"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s. 228K</w:t>
            </w:r>
          </w:p>
        </w:tc>
        <w:tc>
          <w:tcPr>
            <w:tcW w:w="6029" w:type="dxa"/>
            <w:vAlign w:val="center"/>
          </w:tcPr>
          <w:p w14:paraId="75BFE189" w14:textId="77777777" w:rsidR="006E24F8" w:rsidRDefault="006E24F8" w:rsidP="00983327">
            <w:pPr>
              <w:pStyle w:val="BodyText"/>
              <w:spacing w:before="20" w:after="20" w:line="240" w:lineRule="auto"/>
              <w:rPr>
                <w:rFonts w:asciiTheme="majorHAnsi" w:hAnsiTheme="majorHAnsi" w:cstheme="majorHAnsi"/>
                <w:sz w:val="17"/>
                <w:szCs w:val="17"/>
              </w:rPr>
            </w:pPr>
            <w:r w:rsidRPr="00A90ED5">
              <w:rPr>
                <w:rFonts w:asciiTheme="majorHAnsi" w:hAnsiTheme="majorHAnsi" w:cstheme="majorHAnsi"/>
                <w:sz w:val="17"/>
                <w:szCs w:val="17"/>
              </w:rPr>
              <w:t>APA and Jemena questioned the inclusion of s. 228K, which states that a service provider must not engage in price discrimination when providing operational transportation services unless it is conducive to efficient service provision.</w:t>
            </w:r>
          </w:p>
          <w:p w14:paraId="5D3C4C17"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Pr>
                <w:rFonts w:cs="Arial"/>
              </w:rPr>
              <w:t>The ECA also questioned whether the test for what constitutes price discrimination should be an objective test rather than subjective test.</w:t>
            </w:r>
          </w:p>
        </w:tc>
        <w:tc>
          <w:tcPr>
            <w:tcW w:w="6586" w:type="dxa"/>
            <w:vAlign w:val="center"/>
          </w:tcPr>
          <w:p w14:paraId="6D3FE9FE" w14:textId="77777777" w:rsidR="006E24F8" w:rsidRPr="00A90ED5" w:rsidRDefault="006E24F8" w:rsidP="00983327">
            <w:pPr>
              <w:pStyle w:val="BodyText"/>
              <w:spacing w:before="20" w:after="20" w:line="240" w:lineRule="auto"/>
              <w:rPr>
                <w:rFonts w:asciiTheme="majorHAnsi" w:hAnsiTheme="majorHAnsi" w:cstheme="majorHAnsi"/>
                <w:sz w:val="17"/>
                <w:szCs w:val="17"/>
              </w:rPr>
            </w:pPr>
            <w:r>
              <w:rPr>
                <w:rFonts w:asciiTheme="majorHAnsi" w:hAnsiTheme="majorHAnsi" w:cstheme="majorHAnsi"/>
                <w:sz w:val="17"/>
                <w:szCs w:val="17"/>
              </w:rPr>
              <w:t xml:space="preserve">Section 228K </w:t>
            </w:r>
            <w:r w:rsidRPr="00A90ED5">
              <w:rPr>
                <w:rFonts w:asciiTheme="majorHAnsi" w:hAnsiTheme="majorHAnsi" w:cstheme="majorHAnsi"/>
                <w:sz w:val="17"/>
                <w:szCs w:val="17"/>
              </w:rPr>
              <w:t>is modelled on s. 136 of the NGL and is, in the GMRG’ view, appropriate to employ in this context given the potential for inefficient price discrimination to affect the operation of the capacity trading platform and auction.</w:t>
            </w:r>
            <w:r>
              <w:rPr>
                <w:rFonts w:asciiTheme="majorHAnsi" w:hAnsiTheme="majorHAnsi" w:cstheme="majorHAnsi"/>
                <w:sz w:val="17"/>
                <w:szCs w:val="17"/>
              </w:rPr>
              <w:t xml:space="preserve"> In the GMRG’s view, this test is an objective test. No amendments have therefore been made to the drafting of this section.</w:t>
            </w:r>
          </w:p>
        </w:tc>
      </w:tr>
      <w:tr w:rsidR="006E24F8" w:rsidRPr="00A90ED5" w14:paraId="6E37192F" w14:textId="77777777" w:rsidTr="00944EC7">
        <w:trPr>
          <w:trHeight w:val="334"/>
        </w:trPr>
        <w:tc>
          <w:tcPr>
            <w:tcW w:w="13750" w:type="dxa"/>
            <w:gridSpan w:val="3"/>
            <w:shd w:val="clear" w:color="auto" w:fill="65697F" w:themeFill="background2" w:themeFillShade="80"/>
            <w:vAlign w:val="center"/>
          </w:tcPr>
          <w:p w14:paraId="5956B3A8" w14:textId="77777777" w:rsidR="006E24F8" w:rsidRPr="00A90ED5" w:rsidRDefault="006E24F8" w:rsidP="00983327">
            <w:pPr>
              <w:pStyle w:val="BodyText"/>
              <w:spacing w:before="20" w:after="40" w:line="240" w:lineRule="auto"/>
              <w:jc w:val="center"/>
              <w:rPr>
                <w:rFonts w:asciiTheme="majorHAnsi" w:hAnsiTheme="majorHAnsi" w:cstheme="majorHAnsi"/>
                <w:b/>
                <w:color w:val="FFFFFF" w:themeColor="background1"/>
                <w:sz w:val="17"/>
                <w:szCs w:val="17"/>
              </w:rPr>
            </w:pPr>
            <w:r w:rsidRPr="00A90ED5">
              <w:rPr>
                <w:rFonts w:asciiTheme="majorHAnsi" w:hAnsiTheme="majorHAnsi" w:cstheme="majorHAnsi"/>
                <w:b/>
                <w:color w:val="FFFFFF" w:themeColor="background1"/>
                <w:sz w:val="17"/>
                <w:szCs w:val="17"/>
              </w:rPr>
              <w:t>Part 22 of the NGR</w:t>
            </w:r>
          </w:p>
        </w:tc>
      </w:tr>
      <w:tr w:rsidR="006E24F8" w:rsidRPr="00A90ED5" w14:paraId="2C60CD5E" w14:textId="77777777" w:rsidTr="00944EC7">
        <w:trPr>
          <w:cnfStyle w:val="000000010000" w:firstRow="0" w:lastRow="0" w:firstColumn="0" w:lastColumn="0" w:oddVBand="0" w:evenVBand="0" w:oddHBand="0" w:evenHBand="1" w:firstRowFirstColumn="0" w:firstRowLastColumn="0" w:lastRowFirstColumn="0" w:lastRowLastColumn="0"/>
          <w:trHeight w:val="337"/>
        </w:trPr>
        <w:tc>
          <w:tcPr>
            <w:tcW w:w="1135" w:type="dxa"/>
            <w:vAlign w:val="center"/>
          </w:tcPr>
          <w:p w14:paraId="52CE0228"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 536A and r. 639</w:t>
            </w:r>
          </w:p>
        </w:tc>
        <w:tc>
          <w:tcPr>
            <w:tcW w:w="6029" w:type="dxa"/>
            <w:vAlign w:val="center"/>
          </w:tcPr>
          <w:p w14:paraId="44358987"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APA raised some concerns about the requirement for AEMO to determine the price to be paid to service providers during the service continuity period.</w:t>
            </w:r>
          </w:p>
        </w:tc>
        <w:tc>
          <w:tcPr>
            <w:tcW w:w="6586" w:type="dxa"/>
            <w:vAlign w:val="center"/>
          </w:tcPr>
          <w:p w14:paraId="54E9E771"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Rule 639 has been amended to make it clear that if a primary service agreement is terminated, then the price to be paid to service providers during the service continuity period will be based on the price at which the capacity was sold by the primary capacity holder through the GSH.</w:t>
            </w:r>
          </w:p>
        </w:tc>
      </w:tr>
      <w:tr w:rsidR="006E24F8" w:rsidRPr="00A90ED5" w14:paraId="3331C1B7" w14:textId="77777777" w:rsidTr="00944EC7">
        <w:trPr>
          <w:trHeight w:val="334"/>
        </w:trPr>
        <w:tc>
          <w:tcPr>
            <w:tcW w:w="13750" w:type="dxa"/>
            <w:gridSpan w:val="3"/>
            <w:shd w:val="clear" w:color="auto" w:fill="65697F" w:themeFill="background2" w:themeFillShade="80"/>
            <w:vAlign w:val="center"/>
          </w:tcPr>
          <w:p w14:paraId="18B35788" w14:textId="77777777" w:rsidR="006E24F8" w:rsidRPr="00A90ED5" w:rsidRDefault="006E24F8" w:rsidP="00983327">
            <w:pPr>
              <w:pStyle w:val="BodyText"/>
              <w:keepNext/>
              <w:spacing w:before="20" w:after="40" w:line="240" w:lineRule="auto"/>
              <w:jc w:val="center"/>
              <w:rPr>
                <w:rFonts w:asciiTheme="majorHAnsi" w:hAnsiTheme="majorHAnsi" w:cstheme="majorHAnsi"/>
                <w:b/>
                <w:color w:val="FFFFFF" w:themeColor="background1"/>
                <w:sz w:val="17"/>
                <w:szCs w:val="17"/>
              </w:rPr>
            </w:pPr>
            <w:r w:rsidRPr="00A90ED5">
              <w:rPr>
                <w:rFonts w:asciiTheme="majorHAnsi" w:hAnsiTheme="majorHAnsi" w:cstheme="majorHAnsi"/>
                <w:b/>
                <w:color w:val="FFFFFF" w:themeColor="background1"/>
                <w:sz w:val="17"/>
                <w:szCs w:val="17"/>
              </w:rPr>
              <w:lastRenderedPageBreak/>
              <w:t>Part 25 of the NGR</w:t>
            </w:r>
          </w:p>
        </w:tc>
      </w:tr>
      <w:tr w:rsidR="006E24F8" w:rsidRPr="00A90ED5" w14:paraId="30710E07" w14:textId="77777777" w:rsidTr="00944EC7">
        <w:trPr>
          <w:cnfStyle w:val="000000010000" w:firstRow="0" w:lastRow="0" w:firstColumn="0" w:lastColumn="0" w:oddVBand="0" w:evenVBand="0" w:oddHBand="0" w:evenHBand="1" w:firstRowFirstColumn="0" w:firstRowLastColumn="0" w:lastRowFirstColumn="0" w:lastRowLastColumn="0"/>
          <w:trHeight w:val="337"/>
        </w:trPr>
        <w:tc>
          <w:tcPr>
            <w:tcW w:w="1135" w:type="dxa"/>
            <w:vAlign w:val="center"/>
          </w:tcPr>
          <w:p w14:paraId="16E163FF"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 xml:space="preserve">r. 647 </w:t>
            </w:r>
          </w:p>
        </w:tc>
        <w:tc>
          <w:tcPr>
            <w:tcW w:w="6029" w:type="dxa"/>
            <w:vAlign w:val="center"/>
          </w:tcPr>
          <w:p w14:paraId="5FC5F14C"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APA and Origin noted that the definition of operational capacity in r. 647 does not make it clear that the operational capacity is to be determined by the service provider. Origin also noted that service providers should be responsible for determining whether there is a capacity shortfall under r. 651.</w:t>
            </w:r>
          </w:p>
        </w:tc>
        <w:tc>
          <w:tcPr>
            <w:tcW w:w="6586" w:type="dxa"/>
            <w:vAlign w:val="center"/>
          </w:tcPr>
          <w:p w14:paraId="47C6CB46" w14:textId="10E07ACC"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 xml:space="preserve">Rather than amending the definition of operational capacity in r. 647, </w:t>
            </w:r>
            <w:r w:rsidR="00651779">
              <w:rPr>
                <w:rFonts w:asciiTheme="majorHAnsi" w:hAnsiTheme="majorHAnsi" w:cstheme="majorHAnsi"/>
                <w:sz w:val="17"/>
                <w:szCs w:val="17"/>
              </w:rPr>
              <w:t xml:space="preserve">rr. </w:t>
            </w:r>
            <w:r w:rsidRPr="00A90ED5">
              <w:rPr>
                <w:rFonts w:asciiTheme="majorHAnsi" w:hAnsiTheme="majorHAnsi" w:cstheme="majorHAnsi"/>
                <w:sz w:val="17"/>
                <w:szCs w:val="17"/>
              </w:rPr>
              <w:t>651 and 653 have been amended to make it clear that service providers are responsible for determining the operational capacity used in the calculation of auction quantity limits and auction priorities.</w:t>
            </w:r>
          </w:p>
        </w:tc>
      </w:tr>
      <w:tr w:rsidR="006E24F8" w:rsidRPr="00A90ED5" w14:paraId="36A39563" w14:textId="77777777" w:rsidTr="00944EC7">
        <w:trPr>
          <w:trHeight w:val="1230"/>
        </w:trPr>
        <w:tc>
          <w:tcPr>
            <w:tcW w:w="1135" w:type="dxa"/>
            <w:vAlign w:val="center"/>
          </w:tcPr>
          <w:p w14:paraId="7C33F4F6"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 648</w:t>
            </w:r>
          </w:p>
        </w:tc>
        <w:tc>
          <w:tcPr>
            <w:tcW w:w="6029" w:type="dxa"/>
            <w:vAlign w:val="center"/>
          </w:tcPr>
          <w:p w14:paraId="70497A13"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In bilateral discussions with one shipper, concerns were raised about the potential for a pipeline to make a small investment to make a pipeline bi-directional pipeline to avoid releasing any backhaul services in the auction.</w:t>
            </w:r>
          </w:p>
        </w:tc>
        <w:tc>
          <w:tcPr>
            <w:tcW w:w="6586" w:type="dxa"/>
            <w:vAlign w:val="center"/>
          </w:tcPr>
          <w:p w14:paraId="4DDD1CB8"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The GMRG agrees there is a risk that if a service provider modifies the pipeline to allow it to flow in both directions but does not enter into a contract for the provision of services in both directions, then capacity that would otherwise have be released through the auction on a backhaul basis will not be released (i.e. because there is no contracted but un-nominated capacity that can be released in this direction). To address this risk, the definition of bi-directional pipeline has been amended to require the service provider to have contracts in both directions to be considered a bi-directional pipeline during the term of those contracts.</w:t>
            </w:r>
          </w:p>
        </w:tc>
      </w:tr>
      <w:tr w:rsidR="006E24F8" w:rsidRPr="00A90ED5" w14:paraId="69A0F360" w14:textId="77777777" w:rsidTr="00944EC7">
        <w:trPr>
          <w:cnfStyle w:val="000000010000" w:firstRow="0" w:lastRow="0" w:firstColumn="0" w:lastColumn="0" w:oddVBand="0" w:evenVBand="0" w:oddHBand="0" w:evenHBand="1" w:firstRowFirstColumn="0" w:firstRowLastColumn="0" w:lastRowFirstColumn="0" w:lastRowLastColumn="0"/>
          <w:trHeight w:val="1230"/>
        </w:trPr>
        <w:tc>
          <w:tcPr>
            <w:tcW w:w="1135" w:type="dxa"/>
            <w:vAlign w:val="center"/>
          </w:tcPr>
          <w:p w14:paraId="3CA6C8F0"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 651</w:t>
            </w:r>
          </w:p>
        </w:tc>
        <w:tc>
          <w:tcPr>
            <w:tcW w:w="6029" w:type="dxa"/>
            <w:vAlign w:val="center"/>
          </w:tcPr>
          <w:p w14:paraId="65776E16"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APA noted the potential for r. 651(d) to allow shippers to submit renominations in excess of their contracted capacity. APA also noted that firm park services should rank ahead of the auction service if the firm park service also provides for the transportation of gas.</w:t>
            </w:r>
          </w:p>
        </w:tc>
        <w:tc>
          <w:tcPr>
            <w:tcW w:w="6586" w:type="dxa"/>
            <w:vAlign w:val="center"/>
          </w:tcPr>
          <w:p w14:paraId="31C72619"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 xml:space="preserve">While the concern that APA has raised about renominations is dealt with in the Code, the definitions and auction service priority principles in Part 25 of the NGR have been amended to make it clear that a renomination cannot exceed a shipper’s reserved capacity. </w:t>
            </w:r>
          </w:p>
          <w:p w14:paraId="400D5A55" w14:textId="262138A3"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 xml:space="preserve">In relation to firm park services, it is worth noting that the auction does not require park capacity to be released into the auction. Service providers </w:t>
            </w:r>
            <w:r w:rsidR="002F1417">
              <w:rPr>
                <w:rFonts w:asciiTheme="majorHAnsi" w:hAnsiTheme="majorHAnsi" w:cstheme="majorHAnsi"/>
                <w:sz w:val="17"/>
                <w:szCs w:val="17"/>
              </w:rPr>
              <w:t>will</w:t>
            </w:r>
            <w:r w:rsidRPr="00A90ED5">
              <w:rPr>
                <w:rFonts w:asciiTheme="majorHAnsi" w:hAnsiTheme="majorHAnsi" w:cstheme="majorHAnsi"/>
                <w:sz w:val="17"/>
                <w:szCs w:val="17"/>
              </w:rPr>
              <w:t xml:space="preserve"> therefore be able to accommodate any renominations by shippers with a firm park service without curtailing the auction. In those cases where a park service is sold on a bundled basis with a firm </w:t>
            </w:r>
            <w:r>
              <w:rPr>
                <w:rFonts w:asciiTheme="majorHAnsi" w:hAnsiTheme="majorHAnsi" w:cstheme="majorHAnsi"/>
                <w:sz w:val="17"/>
                <w:szCs w:val="17"/>
              </w:rPr>
              <w:t>forward haul service</w:t>
            </w:r>
            <w:r w:rsidRPr="00A90ED5">
              <w:rPr>
                <w:rFonts w:asciiTheme="majorHAnsi" w:hAnsiTheme="majorHAnsi" w:cstheme="majorHAnsi"/>
                <w:sz w:val="17"/>
                <w:szCs w:val="17"/>
              </w:rPr>
              <w:t xml:space="preserve">, the NGR requires: </w:t>
            </w:r>
          </w:p>
          <w:p w14:paraId="5B4F5322" w14:textId="77777777" w:rsidR="006E24F8" w:rsidRPr="00A90ED5" w:rsidRDefault="006E24F8" w:rsidP="00983327">
            <w:pPr>
              <w:pStyle w:val="TableBullet1"/>
              <w:rPr>
                <w:rFonts w:asciiTheme="majorHAnsi" w:hAnsiTheme="majorHAnsi" w:cstheme="majorHAnsi"/>
                <w:sz w:val="17"/>
                <w:szCs w:val="17"/>
              </w:rPr>
            </w:pPr>
            <w:r w:rsidRPr="00A90ED5">
              <w:rPr>
                <w:rFonts w:asciiTheme="majorHAnsi" w:hAnsiTheme="majorHAnsi" w:cstheme="majorHAnsi"/>
                <w:sz w:val="17"/>
                <w:szCs w:val="17"/>
              </w:rPr>
              <w:t xml:space="preserve">the CBU capacity associated with the firm </w:t>
            </w:r>
            <w:r>
              <w:rPr>
                <w:rFonts w:asciiTheme="majorHAnsi" w:hAnsiTheme="majorHAnsi" w:cstheme="majorHAnsi"/>
                <w:sz w:val="17"/>
                <w:szCs w:val="17"/>
              </w:rPr>
              <w:t>forward haul</w:t>
            </w:r>
            <w:r w:rsidRPr="00A90ED5">
              <w:rPr>
                <w:rFonts w:asciiTheme="majorHAnsi" w:hAnsiTheme="majorHAnsi" w:cstheme="majorHAnsi"/>
                <w:sz w:val="17"/>
                <w:szCs w:val="17"/>
              </w:rPr>
              <w:t xml:space="preserve"> </w:t>
            </w:r>
            <w:r>
              <w:rPr>
                <w:rFonts w:asciiTheme="majorHAnsi" w:hAnsiTheme="majorHAnsi" w:cstheme="majorHAnsi"/>
                <w:sz w:val="17"/>
                <w:szCs w:val="17"/>
              </w:rPr>
              <w:t>service</w:t>
            </w:r>
            <w:r w:rsidRPr="00A90ED5">
              <w:rPr>
                <w:rFonts w:asciiTheme="majorHAnsi" w:hAnsiTheme="majorHAnsi" w:cstheme="majorHAnsi"/>
                <w:sz w:val="17"/>
                <w:szCs w:val="17"/>
              </w:rPr>
              <w:t xml:space="preserve"> to be released in the auction; and</w:t>
            </w:r>
          </w:p>
          <w:p w14:paraId="0D351A8B" w14:textId="77777777" w:rsidR="006E24F8" w:rsidRPr="00A90ED5" w:rsidRDefault="006E24F8" w:rsidP="00983327">
            <w:pPr>
              <w:pStyle w:val="TableBullet1"/>
              <w:rPr>
                <w:rFonts w:asciiTheme="majorHAnsi" w:hAnsiTheme="majorHAnsi" w:cstheme="majorHAnsi"/>
                <w:sz w:val="17"/>
                <w:szCs w:val="17"/>
              </w:rPr>
            </w:pPr>
            <w:r w:rsidRPr="00A90ED5">
              <w:rPr>
                <w:rFonts w:asciiTheme="majorHAnsi" w:hAnsiTheme="majorHAnsi" w:cstheme="majorHAnsi"/>
                <w:sz w:val="17"/>
                <w:szCs w:val="17"/>
              </w:rPr>
              <w:t>the service provider to treat the transportation component as a firm forward haul service for the purposes of the auction priority.</w:t>
            </w:r>
          </w:p>
          <w:p w14:paraId="4947FC25" w14:textId="77777777" w:rsidR="006E24F8" w:rsidRPr="00A90ED5" w:rsidRDefault="006E24F8" w:rsidP="00983327">
            <w:pPr>
              <w:pStyle w:val="TableBullet1"/>
              <w:numPr>
                <w:ilvl w:val="0"/>
                <w:numId w:val="0"/>
              </w:numPr>
              <w:ind w:left="85"/>
              <w:rPr>
                <w:rFonts w:asciiTheme="majorHAnsi" w:hAnsiTheme="majorHAnsi" w:cstheme="majorHAnsi"/>
                <w:sz w:val="17"/>
                <w:szCs w:val="17"/>
              </w:rPr>
            </w:pPr>
            <w:r w:rsidRPr="00A90ED5">
              <w:rPr>
                <w:rFonts w:asciiTheme="majorHAnsi" w:hAnsiTheme="majorHAnsi" w:cstheme="majorHAnsi"/>
                <w:sz w:val="17"/>
                <w:szCs w:val="17"/>
              </w:rPr>
              <w:t>It has not therefore been necessary to make any amendments to accommodate park services in the auction priority principles.</w:t>
            </w:r>
          </w:p>
        </w:tc>
      </w:tr>
      <w:tr w:rsidR="006E24F8" w:rsidRPr="00A90ED5" w14:paraId="71421C99" w14:textId="77777777" w:rsidTr="00944EC7">
        <w:trPr>
          <w:trHeight w:val="1230"/>
        </w:trPr>
        <w:tc>
          <w:tcPr>
            <w:tcW w:w="1135" w:type="dxa"/>
            <w:vAlign w:val="center"/>
          </w:tcPr>
          <w:p w14:paraId="5EA5A535"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 652</w:t>
            </w:r>
          </w:p>
        </w:tc>
        <w:tc>
          <w:tcPr>
            <w:tcW w:w="6029" w:type="dxa"/>
            <w:vAlign w:val="center"/>
          </w:tcPr>
          <w:p w14:paraId="13BFBB59"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 xml:space="preserve">Origin raised concerns about r. 652(12), which states that the auction results are to be treated as final and not subject to review. Origin noted that while this may be appropriate in some instances, it should be limited to cases where there has not been a manifest error. </w:t>
            </w:r>
          </w:p>
          <w:p w14:paraId="3D82F7AF"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 xml:space="preserve">APLNG also questioned the inclusion of r. 652(4)(b), which states that the auction should not change the scheduled direction of flows on a bi-directional pipeline. </w:t>
            </w:r>
          </w:p>
        </w:tc>
        <w:tc>
          <w:tcPr>
            <w:tcW w:w="6586" w:type="dxa"/>
            <w:vAlign w:val="center"/>
          </w:tcPr>
          <w:p w14:paraId="6464D0CF"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The GMRG understands the concerns raised by Origin, but notes that in contrast to other markets, there will be no participant compensation fund set up for the day-ahead auction. It will not be possible therefore to have recourse to this type of fund to compensate parties for any manifest errors in the auction results. No changes have therefore been made to this requirement.</w:t>
            </w:r>
          </w:p>
          <w:p w14:paraId="0AAB860B"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As to APLNG’s question, it is worth noting that because the auction will be conducted so late in the day, service providers will have little time to manage a change in pipeline direction. Rule 652(4)(b) has therefore been included to ensure the pipeline can be operated in a safe and reliable manner.</w:t>
            </w:r>
          </w:p>
        </w:tc>
      </w:tr>
      <w:tr w:rsidR="006E24F8" w:rsidRPr="00A90ED5" w14:paraId="790B55B0" w14:textId="77777777" w:rsidTr="00944EC7">
        <w:trPr>
          <w:cnfStyle w:val="000000010000" w:firstRow="0" w:lastRow="0" w:firstColumn="0" w:lastColumn="0" w:oddVBand="0" w:evenVBand="0" w:oddHBand="0" w:evenHBand="1" w:firstRowFirstColumn="0" w:firstRowLastColumn="0" w:lastRowFirstColumn="0" w:lastRowLastColumn="0"/>
          <w:trHeight w:val="64"/>
        </w:trPr>
        <w:tc>
          <w:tcPr>
            <w:tcW w:w="1135" w:type="dxa"/>
            <w:vAlign w:val="center"/>
          </w:tcPr>
          <w:p w14:paraId="10501A2A"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 653</w:t>
            </w:r>
          </w:p>
        </w:tc>
        <w:tc>
          <w:tcPr>
            <w:tcW w:w="6029" w:type="dxa"/>
            <w:vAlign w:val="center"/>
          </w:tcPr>
          <w:p w14:paraId="6C08650B"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 xml:space="preserve">APA noted that the auction quantity limits for compression services should refer to the CBU capacity of the compression service facility. </w:t>
            </w:r>
          </w:p>
        </w:tc>
        <w:tc>
          <w:tcPr>
            <w:tcW w:w="6586" w:type="dxa"/>
            <w:vAlign w:val="center"/>
          </w:tcPr>
          <w:p w14:paraId="19194225"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The GMRG agrees with APA and has amended r. 653 accordingly.</w:t>
            </w:r>
          </w:p>
        </w:tc>
      </w:tr>
      <w:tr w:rsidR="006E24F8" w:rsidRPr="00A90ED5" w14:paraId="5F143507" w14:textId="77777777" w:rsidTr="00944EC7">
        <w:trPr>
          <w:trHeight w:val="1230"/>
        </w:trPr>
        <w:tc>
          <w:tcPr>
            <w:tcW w:w="1135" w:type="dxa"/>
            <w:vAlign w:val="center"/>
          </w:tcPr>
          <w:p w14:paraId="42E32F62"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lastRenderedPageBreak/>
              <w:t>r. 665</w:t>
            </w:r>
          </w:p>
        </w:tc>
        <w:tc>
          <w:tcPr>
            <w:tcW w:w="6029" w:type="dxa"/>
            <w:vAlign w:val="center"/>
          </w:tcPr>
          <w:p w14:paraId="209D928D"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APA was of the view that any record keeping guidelines developed by the AER should be subject to the standard consultative procedure.</w:t>
            </w:r>
          </w:p>
        </w:tc>
        <w:tc>
          <w:tcPr>
            <w:tcW w:w="6586" w:type="dxa"/>
            <w:vAlign w:val="center"/>
          </w:tcPr>
          <w:p w14:paraId="580BFDCB" w14:textId="4FC622A4" w:rsidR="006E24F8" w:rsidRPr="00A90ED5" w:rsidRDefault="002F1417" w:rsidP="00983327">
            <w:pPr>
              <w:pStyle w:val="BodyT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The </w:t>
            </w:r>
            <w:r w:rsidR="006E24F8" w:rsidRPr="00A90ED5">
              <w:rPr>
                <w:rFonts w:asciiTheme="majorHAnsi" w:hAnsiTheme="majorHAnsi" w:cstheme="majorHAnsi"/>
                <w:sz w:val="17"/>
                <w:szCs w:val="17"/>
              </w:rPr>
              <w:t xml:space="preserve">GMRG notes that there will be insufficient time for the AER to employ the standard consultative procedure when developing the first guideline, which is why the transitional rules provide a waiver from this requirement. While the AER will not be required to employ the standard consultative procedures in this case, it will still be expected to consult with interested parties when developing the initial guideline. </w:t>
            </w:r>
          </w:p>
        </w:tc>
      </w:tr>
      <w:tr w:rsidR="006E24F8" w:rsidRPr="00A90ED5" w14:paraId="478FB7E7" w14:textId="77777777" w:rsidTr="00944EC7">
        <w:trPr>
          <w:cnfStyle w:val="000000010000" w:firstRow="0" w:lastRow="0" w:firstColumn="0" w:lastColumn="0" w:oddVBand="0" w:evenVBand="0" w:oddHBand="0" w:evenHBand="1" w:firstRowFirstColumn="0" w:firstRowLastColumn="0" w:lastRowFirstColumn="0" w:lastRowLastColumn="0"/>
          <w:trHeight w:val="298"/>
        </w:trPr>
        <w:tc>
          <w:tcPr>
            <w:tcW w:w="1135" w:type="dxa"/>
            <w:vAlign w:val="center"/>
          </w:tcPr>
          <w:p w14:paraId="2543370B"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 666</w:t>
            </w:r>
          </w:p>
        </w:tc>
        <w:tc>
          <w:tcPr>
            <w:tcW w:w="6029" w:type="dxa"/>
            <w:vAlign w:val="center"/>
          </w:tcPr>
          <w:p w14:paraId="1EA3713F"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APA suggested that the reference to a 10% change in nominations be amended to clarify that the change is measured against the nomination made by shippers prior to nomination cut-off time.</w:t>
            </w:r>
          </w:p>
          <w:p w14:paraId="7F3C45F7"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 xml:space="preserve">ERM also suggested that the requirement for shippers to maintain records of material renominations exclude nominations that have no effect on the capacity released in the auction or give rise to curtailment. The examples ERM cited include nominations to: in-pipe trading points; transfer gas from one account or service to another; and to give effect to imbalance transfers; </w:t>
            </w:r>
          </w:p>
        </w:tc>
        <w:tc>
          <w:tcPr>
            <w:tcW w:w="6586" w:type="dxa"/>
            <w:vAlign w:val="center"/>
          </w:tcPr>
          <w:p w14:paraId="46550AE4" w14:textId="77777777" w:rsidR="006E24F8" w:rsidRPr="00A90ED5" w:rsidRDefault="006E24F8" w:rsidP="00983327">
            <w:pPr>
              <w:pStyle w:val="TableBodyText"/>
              <w:rPr>
                <w:rFonts w:asciiTheme="majorHAnsi" w:hAnsiTheme="majorHAnsi" w:cstheme="majorHAnsi"/>
                <w:sz w:val="17"/>
                <w:szCs w:val="17"/>
              </w:rPr>
            </w:pPr>
            <w:r w:rsidRPr="00A90ED5">
              <w:rPr>
                <w:rFonts w:asciiTheme="majorHAnsi" w:hAnsiTheme="majorHAnsi" w:cstheme="majorHAnsi"/>
                <w:sz w:val="17"/>
                <w:szCs w:val="17"/>
              </w:rPr>
              <w:t>The GMRG agrees with the suggestions proposed by APA and ERM and has amended this rule accordingly.</w:t>
            </w:r>
          </w:p>
        </w:tc>
      </w:tr>
      <w:tr w:rsidR="006E24F8" w:rsidRPr="00A90ED5" w14:paraId="000E8C0C" w14:textId="77777777" w:rsidTr="00944EC7">
        <w:trPr>
          <w:trHeight w:val="440"/>
        </w:trPr>
        <w:tc>
          <w:tcPr>
            <w:tcW w:w="1135" w:type="dxa"/>
            <w:vAlign w:val="center"/>
          </w:tcPr>
          <w:p w14:paraId="6F8EE20C"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 673-674</w:t>
            </w:r>
          </w:p>
        </w:tc>
        <w:tc>
          <w:tcPr>
            <w:tcW w:w="6029" w:type="dxa"/>
            <w:vAlign w:val="center"/>
          </w:tcPr>
          <w:p w14:paraId="5782CAFD"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APA noted that if a shipper fails to pay AEMO and AEMO subsequently recovers an amount from that shipper (including through credit support), the amount should be paid to the service provider and include any interest payable on that amount.</w:t>
            </w:r>
          </w:p>
        </w:tc>
        <w:tc>
          <w:tcPr>
            <w:tcW w:w="6586" w:type="dxa"/>
            <w:vAlign w:val="center"/>
          </w:tcPr>
          <w:p w14:paraId="4FB223A7" w14:textId="11AEB3C8" w:rsidR="006E24F8" w:rsidRPr="00A90ED5" w:rsidRDefault="006E24F8" w:rsidP="00983327">
            <w:pPr>
              <w:pStyle w:val="TableBodyText"/>
              <w:rPr>
                <w:rFonts w:asciiTheme="majorHAnsi" w:hAnsiTheme="majorHAnsi" w:cstheme="majorHAnsi"/>
                <w:sz w:val="17"/>
                <w:szCs w:val="17"/>
              </w:rPr>
            </w:pPr>
            <w:r w:rsidRPr="00A90ED5">
              <w:rPr>
                <w:rFonts w:asciiTheme="majorHAnsi" w:hAnsiTheme="majorHAnsi" w:cstheme="majorHAnsi"/>
                <w:sz w:val="17"/>
                <w:szCs w:val="17"/>
              </w:rPr>
              <w:t xml:space="preserve">The GMRG agrees with APA’s suggestion and has amended </w:t>
            </w:r>
            <w:r w:rsidR="002F1417">
              <w:rPr>
                <w:rFonts w:asciiTheme="majorHAnsi" w:hAnsiTheme="majorHAnsi" w:cstheme="majorHAnsi"/>
                <w:sz w:val="17"/>
                <w:szCs w:val="17"/>
              </w:rPr>
              <w:t>rr.</w:t>
            </w:r>
            <w:r w:rsidRPr="00A90ED5">
              <w:rPr>
                <w:rFonts w:asciiTheme="majorHAnsi" w:hAnsiTheme="majorHAnsi" w:cstheme="majorHAnsi"/>
                <w:sz w:val="17"/>
                <w:szCs w:val="17"/>
              </w:rPr>
              <w:t xml:space="preserve"> 673-674 accordingly.</w:t>
            </w:r>
          </w:p>
        </w:tc>
      </w:tr>
      <w:tr w:rsidR="006E24F8" w:rsidRPr="00A90ED5" w14:paraId="1FBDA14A" w14:textId="77777777" w:rsidTr="00944EC7">
        <w:trPr>
          <w:cnfStyle w:val="000000010000" w:firstRow="0" w:lastRow="0" w:firstColumn="0" w:lastColumn="0" w:oddVBand="0" w:evenVBand="0" w:oddHBand="0" w:evenHBand="1" w:firstRowFirstColumn="0" w:firstRowLastColumn="0" w:lastRowFirstColumn="0" w:lastRowLastColumn="0"/>
          <w:trHeight w:val="440"/>
        </w:trPr>
        <w:tc>
          <w:tcPr>
            <w:tcW w:w="1135" w:type="dxa"/>
            <w:vAlign w:val="center"/>
          </w:tcPr>
          <w:p w14:paraId="491F5BAF"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Pr>
                <w:rFonts w:asciiTheme="majorHAnsi" w:hAnsiTheme="majorHAnsi" w:cstheme="majorHAnsi"/>
                <w:sz w:val="17"/>
                <w:szCs w:val="17"/>
              </w:rPr>
              <w:t>Sch. 5, Part 4, rules 3-4</w:t>
            </w:r>
          </w:p>
        </w:tc>
        <w:tc>
          <w:tcPr>
            <w:tcW w:w="6029" w:type="dxa"/>
            <w:vAlign w:val="center"/>
          </w:tcPr>
          <w:p w14:paraId="530D32AC" w14:textId="77777777" w:rsidR="006E24F8" w:rsidRDefault="006E24F8" w:rsidP="00983327">
            <w:pPr>
              <w:pStyle w:val="BodyT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Epic noted that there was some ambiguity in this rule about whether transitional services would be considered a ‘firm forward haul’ or a ‘firm compression service’ within the meaning of the r. 651(1) and therefore suggested this be clarified. </w:t>
            </w:r>
          </w:p>
          <w:p w14:paraId="3C5DDFC1"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Pr>
                <w:rFonts w:asciiTheme="majorHAnsi" w:hAnsiTheme="majorHAnsi" w:cstheme="majorHAnsi"/>
                <w:sz w:val="17"/>
                <w:szCs w:val="17"/>
              </w:rPr>
              <w:t>Epic was also of the view that the cut-off date used to determine whether a service constitutes a transitional firm service should be based on the date the legal and regulatory framework was released for consultation (i.e. 19 March 2018) rather than when the Energy Council agreed to the design of the auction.</w:t>
            </w:r>
          </w:p>
        </w:tc>
        <w:tc>
          <w:tcPr>
            <w:tcW w:w="6586" w:type="dxa"/>
            <w:vAlign w:val="center"/>
          </w:tcPr>
          <w:p w14:paraId="3F6EFBC6" w14:textId="0072E6CC" w:rsidR="006E24F8" w:rsidRPr="00A90ED5" w:rsidRDefault="002F1417" w:rsidP="002F1417">
            <w:pPr>
              <w:pStyle w:val="TableBodyText"/>
              <w:rPr>
                <w:rFonts w:asciiTheme="majorHAnsi" w:hAnsiTheme="majorHAnsi" w:cstheme="majorHAnsi"/>
                <w:sz w:val="17"/>
                <w:szCs w:val="17"/>
              </w:rPr>
            </w:pPr>
            <w:r>
              <w:rPr>
                <w:rFonts w:asciiTheme="majorHAnsi" w:hAnsiTheme="majorHAnsi" w:cstheme="majorHAnsi"/>
                <w:sz w:val="17"/>
                <w:szCs w:val="17"/>
              </w:rPr>
              <w:t xml:space="preserve">To address the concerns raised by Epic, </w:t>
            </w:r>
            <w:r w:rsidR="006E24F8">
              <w:rPr>
                <w:rFonts w:asciiTheme="majorHAnsi" w:hAnsiTheme="majorHAnsi" w:cstheme="majorHAnsi"/>
                <w:sz w:val="17"/>
                <w:szCs w:val="17"/>
              </w:rPr>
              <w:t xml:space="preserve">Schedule 5, Part 4, rule 3 has been amended to remove the ambiguity </w:t>
            </w:r>
            <w:r>
              <w:rPr>
                <w:rFonts w:asciiTheme="majorHAnsi" w:hAnsiTheme="majorHAnsi" w:cstheme="majorHAnsi"/>
                <w:sz w:val="17"/>
                <w:szCs w:val="17"/>
              </w:rPr>
              <w:t>regarding firm services</w:t>
            </w:r>
            <w:r w:rsidR="006E24F8">
              <w:rPr>
                <w:rFonts w:asciiTheme="majorHAnsi" w:hAnsiTheme="majorHAnsi" w:cstheme="majorHAnsi"/>
                <w:sz w:val="17"/>
                <w:szCs w:val="17"/>
              </w:rPr>
              <w:t xml:space="preserve">. </w:t>
            </w:r>
            <w:r>
              <w:rPr>
                <w:rFonts w:asciiTheme="majorHAnsi" w:hAnsiTheme="majorHAnsi" w:cstheme="majorHAnsi"/>
                <w:sz w:val="17"/>
                <w:szCs w:val="17"/>
              </w:rPr>
              <w:t xml:space="preserve"> </w:t>
            </w:r>
            <w:r w:rsidR="006E24F8">
              <w:rPr>
                <w:rFonts w:asciiTheme="majorHAnsi" w:hAnsiTheme="majorHAnsi" w:cstheme="majorHAnsi"/>
                <w:sz w:val="17"/>
                <w:szCs w:val="17"/>
              </w:rPr>
              <w:t>Rule 4 and the definitions used in Schedule 5, Part 4 of the transitional rules have also been amended to refer to a cut-off date of 19 March 2018 rather than 3 January 2018.</w:t>
            </w:r>
          </w:p>
        </w:tc>
      </w:tr>
      <w:tr w:rsidR="006E24F8" w:rsidRPr="00A90ED5" w14:paraId="08B460FB" w14:textId="77777777" w:rsidTr="00944EC7">
        <w:trPr>
          <w:trHeight w:val="70"/>
        </w:trPr>
        <w:tc>
          <w:tcPr>
            <w:tcW w:w="13750" w:type="dxa"/>
            <w:gridSpan w:val="3"/>
            <w:shd w:val="clear" w:color="auto" w:fill="65697F" w:themeFill="background2" w:themeFillShade="80"/>
            <w:vAlign w:val="center"/>
          </w:tcPr>
          <w:p w14:paraId="48E15CDD" w14:textId="77777777" w:rsidR="006E24F8" w:rsidRPr="00A90ED5" w:rsidRDefault="006E24F8" w:rsidP="00983327">
            <w:pPr>
              <w:pStyle w:val="BodyText"/>
              <w:spacing w:before="20" w:after="40" w:line="240" w:lineRule="auto"/>
              <w:jc w:val="center"/>
              <w:rPr>
                <w:rFonts w:asciiTheme="majorHAnsi" w:hAnsiTheme="majorHAnsi" w:cstheme="majorHAnsi"/>
                <w:b/>
                <w:color w:val="FFFFFF" w:themeColor="background1"/>
                <w:sz w:val="17"/>
                <w:szCs w:val="17"/>
              </w:rPr>
            </w:pPr>
            <w:r w:rsidRPr="00A90ED5">
              <w:rPr>
                <w:rFonts w:asciiTheme="majorHAnsi" w:hAnsiTheme="majorHAnsi" w:cstheme="majorHAnsi"/>
                <w:b/>
                <w:color w:val="FFFFFF" w:themeColor="background1"/>
                <w:sz w:val="17"/>
                <w:szCs w:val="17"/>
              </w:rPr>
              <w:t>Regulations – Civil penalty and conduct provisions</w:t>
            </w:r>
          </w:p>
        </w:tc>
      </w:tr>
      <w:tr w:rsidR="006E24F8" w:rsidRPr="00A90ED5" w14:paraId="4D7F9753" w14:textId="77777777" w:rsidTr="00944EC7">
        <w:trPr>
          <w:cnfStyle w:val="000000010000" w:firstRow="0" w:lastRow="0" w:firstColumn="0" w:lastColumn="0" w:oddVBand="0" w:evenVBand="0" w:oddHBand="0" w:evenHBand="1" w:firstRowFirstColumn="0" w:firstRowLastColumn="0" w:lastRowFirstColumn="0" w:lastRowLastColumn="0"/>
          <w:trHeight w:val="659"/>
        </w:trPr>
        <w:tc>
          <w:tcPr>
            <w:tcW w:w="1135" w:type="dxa"/>
            <w:vAlign w:val="center"/>
          </w:tcPr>
          <w:p w14:paraId="0AF936BB"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 650(2)</w:t>
            </w:r>
          </w:p>
        </w:tc>
        <w:tc>
          <w:tcPr>
            <w:tcW w:w="6029" w:type="dxa"/>
            <w:vAlign w:val="center"/>
          </w:tcPr>
          <w:p w14:paraId="15B56A98"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Epic was of the view that the requirement to give effect to the auction priority principles should not be a conduct provision where a breach is the result of a determination of services as transitional firm rights.</w:t>
            </w:r>
          </w:p>
        </w:tc>
        <w:tc>
          <w:tcPr>
            <w:tcW w:w="6586" w:type="dxa"/>
            <w:vAlign w:val="center"/>
          </w:tcPr>
          <w:p w14:paraId="6BC707B5"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The concern raised by Epic has been addressed by requiring the AER to oversee the classification of transitional firm rights. No change has therefore been made to the classification of this provision as a conduct provision.</w:t>
            </w:r>
          </w:p>
        </w:tc>
      </w:tr>
      <w:tr w:rsidR="006E24F8" w:rsidRPr="00A90ED5" w14:paraId="4F27593E" w14:textId="77777777" w:rsidTr="00944EC7">
        <w:trPr>
          <w:trHeight w:val="70"/>
        </w:trPr>
        <w:tc>
          <w:tcPr>
            <w:tcW w:w="1135" w:type="dxa"/>
            <w:vAlign w:val="center"/>
          </w:tcPr>
          <w:p w14:paraId="32DD2CA3"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r. 650(3)</w:t>
            </w:r>
          </w:p>
        </w:tc>
        <w:tc>
          <w:tcPr>
            <w:tcW w:w="6029" w:type="dxa"/>
            <w:vAlign w:val="center"/>
          </w:tcPr>
          <w:p w14:paraId="6A0628C0" w14:textId="77777777" w:rsidR="006E24F8" w:rsidRPr="00A90ED5" w:rsidRDefault="006E24F8" w:rsidP="00983327">
            <w:pPr>
              <w:pStyle w:val="BodyText"/>
              <w:spacing w:before="20" w:after="40" w:line="240" w:lineRule="auto"/>
              <w:rPr>
                <w:rFonts w:asciiTheme="majorHAnsi" w:hAnsiTheme="majorHAnsi" w:cstheme="majorHAnsi"/>
                <w:sz w:val="17"/>
                <w:szCs w:val="17"/>
              </w:rPr>
            </w:pPr>
            <w:r w:rsidRPr="00A90ED5">
              <w:rPr>
                <w:rFonts w:asciiTheme="majorHAnsi" w:hAnsiTheme="majorHAnsi" w:cstheme="majorHAnsi"/>
                <w:sz w:val="17"/>
                <w:szCs w:val="17"/>
              </w:rPr>
              <w:t>Jemena raised concerns about the potential to be subject to a civil penalty even though it may be unable to amend its primary facility agreements to give effect to the scheduling requirements in rule 650(3).</w:t>
            </w:r>
          </w:p>
        </w:tc>
        <w:tc>
          <w:tcPr>
            <w:tcW w:w="6586" w:type="dxa"/>
            <w:vAlign w:val="center"/>
          </w:tcPr>
          <w:p w14:paraId="09564F28" w14:textId="77777777" w:rsidR="006E24F8" w:rsidRPr="00A90ED5" w:rsidRDefault="006E24F8" w:rsidP="00983327">
            <w:pPr>
              <w:pStyle w:val="TableBodyText"/>
              <w:spacing w:line="240" w:lineRule="auto"/>
              <w:rPr>
                <w:rFonts w:asciiTheme="majorHAnsi" w:hAnsiTheme="majorHAnsi" w:cstheme="majorHAnsi"/>
                <w:sz w:val="17"/>
                <w:szCs w:val="17"/>
              </w:rPr>
            </w:pPr>
            <w:r w:rsidRPr="00A90ED5">
              <w:rPr>
                <w:rFonts w:asciiTheme="majorHAnsi" w:hAnsiTheme="majorHAnsi" w:cstheme="majorHAnsi"/>
                <w:sz w:val="17"/>
                <w:szCs w:val="17"/>
              </w:rPr>
              <w:t xml:space="preserve">The inclusion of the transitional immunity provision in the NGL that covers the priority principles and scheduling requirements is intended to address Jemena’s concern. No change has therefore been made to the classification of this rule as a civil penalty provision. </w:t>
            </w:r>
          </w:p>
        </w:tc>
      </w:tr>
    </w:tbl>
    <w:p w14:paraId="339783B4" w14:textId="77777777" w:rsidR="006E24F8" w:rsidRDefault="006E24F8" w:rsidP="006E24F8">
      <w:pPr>
        <w:pStyle w:val="BodyText"/>
        <w:sectPr w:rsidR="006E24F8" w:rsidSect="005321AA">
          <w:footerReference w:type="default" r:id="rId64"/>
          <w:pgSz w:w="16839" w:h="11907" w:orient="landscape" w:code="9"/>
          <w:pgMar w:top="1701" w:right="1418" w:bottom="851" w:left="1701" w:header="425" w:footer="397" w:gutter="0"/>
          <w:cols w:space="708"/>
          <w:docGrid w:linePitch="360"/>
        </w:sectPr>
      </w:pPr>
    </w:p>
    <w:p w14:paraId="56A4649C" w14:textId="328B0004" w:rsidR="006E24F8" w:rsidRDefault="006E24F8" w:rsidP="006E24F8">
      <w:pPr>
        <w:pStyle w:val="Caption"/>
        <w:spacing w:before="0" w:after="0"/>
      </w:pPr>
      <w:r w:rsidRPr="00BD7ADE">
        <w:lastRenderedPageBreak/>
        <w:t xml:space="preserve">Table </w:t>
      </w:r>
      <w:r>
        <w:rPr>
          <w:noProof/>
        </w:rPr>
        <w:t>A.17</w:t>
      </w:r>
      <w:r w:rsidRPr="00BD7ADE">
        <w:t xml:space="preserve">: </w:t>
      </w:r>
      <w:r>
        <w:t xml:space="preserve">Secondary capacity reporting framework: </w:t>
      </w:r>
      <w:r w:rsidRPr="00BD7ADE">
        <w:t xml:space="preserve">Feedback on </w:t>
      </w:r>
      <w:r>
        <w:t xml:space="preserve">draft amendments to the </w:t>
      </w:r>
      <w:r w:rsidRPr="00BD7ADE">
        <w:t>NGL</w:t>
      </w:r>
      <w:r>
        <w:t xml:space="preserve"> and </w:t>
      </w:r>
      <w:r w:rsidRPr="00BD7ADE">
        <w:t>NGR</w:t>
      </w:r>
      <w:r>
        <w:t xml:space="preserve"> </w:t>
      </w:r>
    </w:p>
    <w:tbl>
      <w:tblPr>
        <w:tblStyle w:val="TableGrid"/>
        <w:tblW w:w="5011" w:type="pct"/>
        <w:tblLook w:val="04A0" w:firstRow="1" w:lastRow="0" w:firstColumn="1" w:lastColumn="0" w:noHBand="0" w:noVBand="1"/>
        <w:tblCaption w:val="Response to issues raised about arbitration"/>
        <w:tblDescription w:val="Table of stakeholder concerns and GMRG response"/>
      </w:tblPr>
      <w:tblGrid>
        <w:gridCol w:w="993"/>
        <w:gridCol w:w="3827"/>
        <w:gridCol w:w="8930"/>
      </w:tblGrid>
      <w:tr w:rsidR="006E24F8" w:rsidRPr="00800870" w14:paraId="7F136CEE" w14:textId="77777777" w:rsidTr="00983327">
        <w:trPr>
          <w:cnfStyle w:val="100000000000" w:firstRow="1" w:lastRow="0" w:firstColumn="0" w:lastColumn="0" w:oddVBand="0" w:evenVBand="0" w:oddHBand="0" w:evenHBand="0" w:firstRowFirstColumn="0" w:firstRowLastColumn="0" w:lastRowFirstColumn="0" w:lastRowLastColumn="0"/>
          <w:trHeight w:val="70"/>
          <w:tblHeader/>
        </w:trPr>
        <w:tc>
          <w:tcPr>
            <w:tcW w:w="993" w:type="dxa"/>
            <w:tcBorders>
              <w:bottom w:val="single" w:sz="4" w:space="0" w:color="auto"/>
            </w:tcBorders>
            <w:shd w:val="clear" w:color="auto" w:fill="0099CC"/>
          </w:tcPr>
          <w:p w14:paraId="7BB494CD" w14:textId="77777777" w:rsidR="006E24F8" w:rsidRPr="00800870" w:rsidRDefault="006E24F8" w:rsidP="00983327">
            <w:pPr>
              <w:pStyle w:val="BodyText"/>
              <w:spacing w:before="20" w:after="20" w:line="240" w:lineRule="auto"/>
              <w:rPr>
                <w:rFonts w:cs="Arial"/>
                <w:sz w:val="17"/>
                <w:szCs w:val="17"/>
              </w:rPr>
            </w:pPr>
            <w:r w:rsidRPr="00800870">
              <w:rPr>
                <w:rFonts w:cs="Arial"/>
                <w:sz w:val="17"/>
                <w:szCs w:val="17"/>
              </w:rPr>
              <w:t>Provision</w:t>
            </w:r>
          </w:p>
        </w:tc>
        <w:tc>
          <w:tcPr>
            <w:tcW w:w="3827" w:type="dxa"/>
            <w:tcBorders>
              <w:bottom w:val="single" w:sz="4" w:space="0" w:color="auto"/>
            </w:tcBorders>
            <w:shd w:val="clear" w:color="auto" w:fill="0099CC"/>
          </w:tcPr>
          <w:p w14:paraId="59BD7E66" w14:textId="77777777" w:rsidR="006E24F8" w:rsidRPr="00800870" w:rsidRDefault="006E24F8" w:rsidP="00983327">
            <w:pPr>
              <w:pStyle w:val="BodyText"/>
              <w:spacing w:before="20" w:after="20" w:line="240" w:lineRule="auto"/>
              <w:rPr>
                <w:rFonts w:cs="Arial"/>
                <w:sz w:val="17"/>
                <w:szCs w:val="17"/>
              </w:rPr>
            </w:pPr>
            <w:r w:rsidRPr="00800870">
              <w:rPr>
                <w:rFonts w:cs="Arial"/>
                <w:sz w:val="17"/>
                <w:szCs w:val="17"/>
              </w:rPr>
              <w:t>Stakeholder concern</w:t>
            </w:r>
          </w:p>
        </w:tc>
        <w:tc>
          <w:tcPr>
            <w:tcW w:w="8930" w:type="dxa"/>
            <w:tcBorders>
              <w:bottom w:val="single" w:sz="4" w:space="0" w:color="auto"/>
            </w:tcBorders>
            <w:shd w:val="clear" w:color="auto" w:fill="0099CC"/>
          </w:tcPr>
          <w:p w14:paraId="55A6E7B2" w14:textId="77777777" w:rsidR="006E24F8" w:rsidRPr="00800870" w:rsidRDefault="006E24F8" w:rsidP="00983327">
            <w:pPr>
              <w:pStyle w:val="BodyText"/>
              <w:spacing w:before="20" w:after="20" w:line="240" w:lineRule="auto"/>
              <w:rPr>
                <w:rFonts w:cs="Arial"/>
                <w:sz w:val="17"/>
                <w:szCs w:val="17"/>
              </w:rPr>
            </w:pPr>
            <w:r w:rsidRPr="00800870">
              <w:rPr>
                <w:rFonts w:cs="Arial"/>
                <w:sz w:val="17"/>
                <w:szCs w:val="17"/>
              </w:rPr>
              <w:t>GMRG response</w:t>
            </w:r>
          </w:p>
        </w:tc>
      </w:tr>
      <w:tr w:rsidR="006E24F8" w:rsidRPr="00800870" w14:paraId="645CACE7" w14:textId="77777777" w:rsidTr="00983327">
        <w:trPr>
          <w:trHeight w:val="70"/>
        </w:trPr>
        <w:tc>
          <w:tcPr>
            <w:tcW w:w="13750" w:type="dxa"/>
            <w:gridSpan w:val="3"/>
            <w:tcBorders>
              <w:bottom w:val="single" w:sz="4" w:space="0" w:color="auto"/>
            </w:tcBorders>
            <w:shd w:val="clear" w:color="auto" w:fill="65697F" w:themeFill="background2" w:themeFillShade="80"/>
            <w:vAlign w:val="center"/>
          </w:tcPr>
          <w:p w14:paraId="2746DB6D" w14:textId="77777777" w:rsidR="006E24F8" w:rsidRPr="00800870" w:rsidRDefault="006E24F8" w:rsidP="00983327">
            <w:pPr>
              <w:pStyle w:val="BodyText"/>
              <w:spacing w:before="20" w:after="20" w:line="240" w:lineRule="auto"/>
              <w:jc w:val="center"/>
              <w:rPr>
                <w:b/>
                <w:color w:val="FFFFFF" w:themeColor="background1"/>
                <w:sz w:val="17"/>
                <w:szCs w:val="17"/>
              </w:rPr>
            </w:pPr>
            <w:r w:rsidRPr="00800870">
              <w:rPr>
                <w:b/>
                <w:color w:val="FFFFFF" w:themeColor="background1"/>
                <w:sz w:val="17"/>
                <w:szCs w:val="17"/>
              </w:rPr>
              <w:t>NGL</w:t>
            </w:r>
          </w:p>
        </w:tc>
      </w:tr>
      <w:tr w:rsidR="006E24F8" w:rsidRPr="00800870" w14:paraId="15B95AAA" w14:textId="77777777" w:rsidTr="00983327">
        <w:trPr>
          <w:cnfStyle w:val="000000010000" w:firstRow="0" w:lastRow="0" w:firstColumn="0" w:lastColumn="0" w:oddVBand="0" w:evenVBand="0" w:oddHBand="0" w:evenHBand="1" w:firstRowFirstColumn="0" w:firstRowLastColumn="0" w:lastRowFirstColumn="0" w:lastRowLastColumn="0"/>
          <w:trHeight w:val="1230"/>
        </w:trPr>
        <w:tc>
          <w:tcPr>
            <w:tcW w:w="993" w:type="dxa"/>
            <w:shd w:val="clear" w:color="auto" w:fill="FFFFFF" w:themeFill="background1"/>
            <w:vAlign w:val="center"/>
          </w:tcPr>
          <w:p w14:paraId="5261FE9F" w14:textId="77777777" w:rsidR="006E24F8" w:rsidRPr="00800870" w:rsidRDefault="006E24F8" w:rsidP="00983327">
            <w:pPr>
              <w:pStyle w:val="BodyText"/>
              <w:spacing w:before="40" w:after="40" w:line="240" w:lineRule="auto"/>
              <w:rPr>
                <w:rFonts w:cs="Arial"/>
                <w:sz w:val="17"/>
                <w:szCs w:val="17"/>
              </w:rPr>
            </w:pPr>
            <w:r w:rsidRPr="00800870">
              <w:rPr>
                <w:rFonts w:cs="Arial"/>
                <w:sz w:val="17"/>
                <w:szCs w:val="17"/>
              </w:rPr>
              <w:t>s. 223A</w:t>
            </w:r>
          </w:p>
        </w:tc>
        <w:tc>
          <w:tcPr>
            <w:tcW w:w="3827" w:type="dxa"/>
            <w:shd w:val="clear" w:color="auto" w:fill="FFFFFF" w:themeFill="background1"/>
            <w:vAlign w:val="center"/>
          </w:tcPr>
          <w:p w14:paraId="1471F866" w14:textId="77777777" w:rsidR="006E24F8" w:rsidRPr="00800870" w:rsidRDefault="006E24F8" w:rsidP="00983327">
            <w:pPr>
              <w:pStyle w:val="TableBodyText"/>
              <w:spacing w:before="40" w:after="40"/>
              <w:rPr>
                <w:sz w:val="17"/>
                <w:szCs w:val="17"/>
              </w:rPr>
            </w:pPr>
            <w:r w:rsidRPr="00800870">
              <w:rPr>
                <w:rFonts w:eastAsiaTheme="minorHAnsi"/>
                <w:sz w:val="17"/>
                <w:szCs w:val="17"/>
              </w:rPr>
              <w:t>The ECA suggested that s. 223A be supplemented with a prohibition on information that is false and misleading. The ECA also noted that this should not be limited to information that the parties know is false or misleading. Rather, it should apply to cases where the person should have ‘reasonably known the information is false or misleading’.</w:t>
            </w:r>
          </w:p>
        </w:tc>
        <w:tc>
          <w:tcPr>
            <w:tcW w:w="8930" w:type="dxa"/>
            <w:shd w:val="clear" w:color="auto" w:fill="FFFFFF" w:themeFill="background1"/>
            <w:vAlign w:val="center"/>
          </w:tcPr>
          <w:p w14:paraId="73532456" w14:textId="77777777" w:rsidR="006E24F8" w:rsidRPr="00800870" w:rsidRDefault="006E24F8" w:rsidP="00983327">
            <w:pPr>
              <w:pStyle w:val="NormalWeb"/>
              <w:spacing w:before="40" w:after="40"/>
              <w:rPr>
                <w:rFonts w:asciiTheme="majorHAnsi" w:hAnsiTheme="majorHAnsi" w:cstheme="majorHAnsi"/>
                <w:sz w:val="17"/>
                <w:szCs w:val="17"/>
                <w:lang w:val="en"/>
              </w:rPr>
            </w:pPr>
            <w:r w:rsidRPr="00800870">
              <w:rPr>
                <w:rFonts w:asciiTheme="majorHAnsi" w:hAnsiTheme="majorHAnsi" w:cstheme="majorHAnsi"/>
                <w:sz w:val="17"/>
                <w:szCs w:val="17"/>
              </w:rPr>
              <w:t>The GMRG has considered the concerns raised by the ECA about the potential for false and misleading information on capacity trades to be reported, but notes that s. 225 of the NGL, which applies to information provided to AEMO for publication on the Bulletin Board, already prohibits the provision of information known to be false or misleading.</w:t>
            </w:r>
            <w:r w:rsidRPr="00800870">
              <w:rPr>
                <w:rFonts w:asciiTheme="majorHAnsi" w:hAnsiTheme="majorHAnsi" w:cstheme="majorHAnsi"/>
                <w:sz w:val="17"/>
                <w:szCs w:val="17"/>
                <w:lang w:val="en"/>
              </w:rPr>
              <w:t xml:space="preserve"> The GMRG does not therefore consider it necessary to include an additional prohibition in s. 223A. </w:t>
            </w:r>
          </w:p>
          <w:p w14:paraId="57A5FBCA" w14:textId="77777777" w:rsidR="006E24F8" w:rsidRPr="00800870" w:rsidRDefault="006E24F8" w:rsidP="00983327">
            <w:pPr>
              <w:pStyle w:val="BodyText"/>
              <w:spacing w:before="40" w:after="40"/>
              <w:rPr>
                <w:sz w:val="17"/>
                <w:szCs w:val="17"/>
              </w:rPr>
            </w:pPr>
            <w:r w:rsidRPr="00800870">
              <w:rPr>
                <w:rFonts w:asciiTheme="majorHAnsi" w:hAnsiTheme="majorHAnsi" w:cstheme="majorHAnsi"/>
                <w:sz w:val="17"/>
                <w:szCs w:val="17"/>
                <w:lang w:val="en"/>
              </w:rPr>
              <w:t>In relation to the ECA’s proposal to extend the prohibition to information a person should have reasonably known to be false and misleading, the GMRG notes that the requirement to know the information is false or misleading is used throughout the NGL.</w:t>
            </w:r>
            <w:r w:rsidRPr="00800870">
              <w:rPr>
                <w:rStyle w:val="FootnoteReference"/>
                <w:rFonts w:asciiTheme="majorHAnsi" w:hAnsiTheme="majorHAnsi" w:cstheme="majorHAnsi"/>
                <w:sz w:val="17"/>
                <w:szCs w:val="17"/>
                <w:lang w:val="en"/>
              </w:rPr>
              <w:t xml:space="preserve"> </w:t>
            </w:r>
            <w:r w:rsidRPr="00800870">
              <w:rPr>
                <w:rStyle w:val="FootnoteReference"/>
                <w:rFonts w:asciiTheme="majorHAnsi" w:hAnsiTheme="majorHAnsi" w:cstheme="majorHAnsi"/>
                <w:sz w:val="17"/>
                <w:szCs w:val="17"/>
                <w:lang w:val="en"/>
              </w:rPr>
              <w:footnoteReference w:id="422"/>
            </w:r>
            <w:r w:rsidRPr="00800870">
              <w:rPr>
                <w:rFonts w:asciiTheme="majorHAnsi" w:hAnsiTheme="majorHAnsi" w:cstheme="majorHAnsi"/>
                <w:sz w:val="17"/>
                <w:szCs w:val="17"/>
                <w:lang w:val="en"/>
              </w:rPr>
              <w:t xml:space="preserve"> So while the GMRG does not necessarily disagree with the ECA, it does not consider it appropriate to change the requirement in this part of the NGL without a more fulsome consideration being given to the appropriateness of such a change across the NGL.</w:t>
            </w:r>
          </w:p>
        </w:tc>
      </w:tr>
      <w:tr w:rsidR="006E24F8" w:rsidRPr="00800870" w14:paraId="2E42B67B" w14:textId="77777777" w:rsidTr="00983327">
        <w:trPr>
          <w:trHeight w:val="60"/>
        </w:trPr>
        <w:tc>
          <w:tcPr>
            <w:tcW w:w="13750" w:type="dxa"/>
            <w:gridSpan w:val="3"/>
            <w:shd w:val="clear" w:color="auto" w:fill="65697F" w:themeFill="background2" w:themeFillShade="80"/>
            <w:vAlign w:val="center"/>
          </w:tcPr>
          <w:p w14:paraId="02D7DCEA" w14:textId="77777777" w:rsidR="006E24F8" w:rsidRPr="00800870" w:rsidRDefault="006E24F8" w:rsidP="00983327">
            <w:pPr>
              <w:pStyle w:val="BodyText"/>
              <w:spacing w:before="20" w:after="20" w:line="240" w:lineRule="auto"/>
              <w:jc w:val="center"/>
              <w:rPr>
                <w:b/>
                <w:color w:val="FFFFFF" w:themeColor="background1"/>
                <w:sz w:val="17"/>
                <w:szCs w:val="17"/>
              </w:rPr>
            </w:pPr>
            <w:r w:rsidRPr="00800870">
              <w:rPr>
                <w:b/>
                <w:color w:val="FFFFFF" w:themeColor="background1"/>
                <w:sz w:val="17"/>
                <w:szCs w:val="17"/>
              </w:rPr>
              <w:t>Part 18 of the NGR</w:t>
            </w:r>
          </w:p>
        </w:tc>
      </w:tr>
      <w:tr w:rsidR="006E24F8" w:rsidRPr="00800870" w14:paraId="77FC91F5" w14:textId="77777777" w:rsidTr="00983327">
        <w:trPr>
          <w:cnfStyle w:val="000000010000" w:firstRow="0" w:lastRow="0" w:firstColumn="0" w:lastColumn="0" w:oddVBand="0" w:evenVBand="0" w:oddHBand="0" w:evenHBand="1" w:firstRowFirstColumn="0" w:firstRowLastColumn="0" w:lastRowFirstColumn="0" w:lastRowLastColumn="0"/>
          <w:trHeight w:val="708"/>
        </w:trPr>
        <w:tc>
          <w:tcPr>
            <w:tcW w:w="993" w:type="dxa"/>
            <w:vAlign w:val="center"/>
          </w:tcPr>
          <w:p w14:paraId="505F4C60" w14:textId="77777777" w:rsidR="006E24F8" w:rsidRPr="00800870" w:rsidRDefault="006E24F8" w:rsidP="00983327">
            <w:pPr>
              <w:pStyle w:val="BodyText"/>
              <w:spacing w:before="40" w:after="40" w:line="240" w:lineRule="auto"/>
              <w:rPr>
                <w:rFonts w:cs="Arial"/>
                <w:sz w:val="17"/>
                <w:szCs w:val="17"/>
              </w:rPr>
            </w:pPr>
            <w:r w:rsidRPr="00800870">
              <w:rPr>
                <w:rFonts w:cs="Arial"/>
                <w:sz w:val="17"/>
                <w:szCs w:val="17"/>
              </w:rPr>
              <w:t>r. 190A</w:t>
            </w:r>
          </w:p>
        </w:tc>
        <w:tc>
          <w:tcPr>
            <w:tcW w:w="3827" w:type="dxa"/>
            <w:vAlign w:val="center"/>
          </w:tcPr>
          <w:p w14:paraId="7301D87D" w14:textId="77777777" w:rsidR="006E24F8" w:rsidRPr="00800870" w:rsidRDefault="006E24F8" w:rsidP="00983327">
            <w:pPr>
              <w:pStyle w:val="TableBodyText"/>
              <w:spacing w:before="40" w:after="40"/>
              <w:rPr>
                <w:sz w:val="17"/>
                <w:szCs w:val="17"/>
              </w:rPr>
            </w:pPr>
            <w:r w:rsidRPr="00800870">
              <w:rPr>
                <w:rFonts w:eastAsiaTheme="minorHAnsi"/>
                <w:sz w:val="17"/>
                <w:szCs w:val="17"/>
              </w:rPr>
              <w:t>Origin was of the view that the requirement to report bilateral capacity trades one business day after the ‘trade date’ was overly onerous and suggested the timeframe should be extended to at least two days.</w:t>
            </w:r>
          </w:p>
        </w:tc>
        <w:tc>
          <w:tcPr>
            <w:tcW w:w="8930" w:type="dxa"/>
            <w:vAlign w:val="center"/>
          </w:tcPr>
          <w:p w14:paraId="28DB168B" w14:textId="77777777" w:rsidR="006E24F8" w:rsidRPr="00800870" w:rsidRDefault="006E24F8" w:rsidP="00983327">
            <w:pPr>
              <w:pStyle w:val="TableBodyText"/>
              <w:spacing w:before="40" w:after="40"/>
              <w:rPr>
                <w:sz w:val="17"/>
                <w:szCs w:val="17"/>
              </w:rPr>
            </w:pPr>
            <w:r w:rsidRPr="00800870">
              <w:rPr>
                <w:sz w:val="17"/>
                <w:szCs w:val="17"/>
              </w:rPr>
              <w:t>The issue of when trades should be reported was considered during the development of the GMRG’s Final Recommendations on the Capacity Trading Reform Package (Standardisation, capacity trading platform and reporting framework for secondary trades),</w:t>
            </w:r>
            <w:r w:rsidRPr="00800870">
              <w:rPr>
                <w:rStyle w:val="FootnoteReference"/>
                <w:sz w:val="17"/>
                <w:szCs w:val="17"/>
              </w:rPr>
              <w:footnoteReference w:id="423"/>
            </w:r>
            <w:r w:rsidRPr="00800870">
              <w:rPr>
                <w:sz w:val="17"/>
                <w:szCs w:val="17"/>
              </w:rPr>
              <w:t xml:space="preserve"> which were agreed to by Ministers on 24 November 2017. As noted in the final recommendations, delaying the publication of information on bilateral trades will minimise the price discovery benefits. The GMRG does not therefore recommended any changes to the timing of the reporting obligation.</w:t>
            </w:r>
          </w:p>
        </w:tc>
      </w:tr>
      <w:tr w:rsidR="006E24F8" w:rsidRPr="00800870" w14:paraId="734749F5" w14:textId="77777777" w:rsidTr="00983327">
        <w:trPr>
          <w:trHeight w:val="60"/>
        </w:trPr>
        <w:tc>
          <w:tcPr>
            <w:tcW w:w="993" w:type="dxa"/>
          </w:tcPr>
          <w:p w14:paraId="2F785E70" w14:textId="77777777" w:rsidR="006E24F8" w:rsidRPr="00800870" w:rsidRDefault="006E24F8" w:rsidP="00983327">
            <w:pPr>
              <w:pStyle w:val="BodyText"/>
              <w:spacing w:before="40" w:after="40" w:line="240" w:lineRule="auto"/>
              <w:rPr>
                <w:rFonts w:cs="Arial"/>
                <w:sz w:val="17"/>
                <w:szCs w:val="17"/>
              </w:rPr>
            </w:pPr>
            <w:r w:rsidRPr="00800870">
              <w:rPr>
                <w:rFonts w:cs="Arial"/>
                <w:sz w:val="17"/>
                <w:szCs w:val="17"/>
              </w:rPr>
              <w:t>r. 195A</w:t>
            </w:r>
          </w:p>
        </w:tc>
        <w:tc>
          <w:tcPr>
            <w:tcW w:w="3827" w:type="dxa"/>
          </w:tcPr>
          <w:p w14:paraId="37CBC109" w14:textId="77777777" w:rsidR="006E24F8" w:rsidRPr="00800870" w:rsidRDefault="006E24F8" w:rsidP="00983327">
            <w:pPr>
              <w:pStyle w:val="TableBodyText"/>
              <w:spacing w:before="40" w:after="40"/>
              <w:rPr>
                <w:sz w:val="17"/>
                <w:szCs w:val="17"/>
              </w:rPr>
            </w:pPr>
            <w:r w:rsidRPr="00800870">
              <w:rPr>
                <w:sz w:val="17"/>
                <w:szCs w:val="17"/>
              </w:rPr>
              <w:t>Origin raised concerns about the potential for the publication of capacity trades to reveal commercially sensitive information that “could undermine a shipper’s position in the gas market, or a related market such as electricity”. Origin therefore suggested additional measures be included in the NGR to protect commercial-in-confidence information.</w:t>
            </w:r>
          </w:p>
        </w:tc>
        <w:tc>
          <w:tcPr>
            <w:tcW w:w="8930" w:type="dxa"/>
          </w:tcPr>
          <w:p w14:paraId="1EB941A6" w14:textId="77777777" w:rsidR="006E24F8" w:rsidRPr="00800870" w:rsidRDefault="006E24F8" w:rsidP="00983327">
            <w:pPr>
              <w:pStyle w:val="TableBodyText"/>
              <w:spacing w:before="40" w:after="40"/>
              <w:rPr>
                <w:sz w:val="17"/>
                <w:szCs w:val="17"/>
              </w:rPr>
            </w:pPr>
            <w:r w:rsidRPr="00800870">
              <w:rPr>
                <w:sz w:val="17"/>
                <w:szCs w:val="17"/>
              </w:rPr>
              <w:t>The issues raised by Origin about the protection of commercial in-confidence information were also considered in the development of GMRG’s Final Recommendations on the Capacity Trading Reform Package (Standardisation, capacity trading platform and reporting framework for secondary trades).</w:t>
            </w:r>
            <w:r w:rsidRPr="00800870">
              <w:rPr>
                <w:rStyle w:val="FootnoteReference"/>
                <w:sz w:val="17"/>
                <w:szCs w:val="17"/>
              </w:rPr>
              <w:t xml:space="preserve"> </w:t>
            </w:r>
            <w:r w:rsidRPr="00800870">
              <w:rPr>
                <w:rStyle w:val="FootnoteReference"/>
                <w:sz w:val="17"/>
                <w:szCs w:val="17"/>
              </w:rPr>
              <w:footnoteReference w:id="424"/>
            </w:r>
            <w:r w:rsidRPr="00800870">
              <w:rPr>
                <w:sz w:val="17"/>
                <w:szCs w:val="17"/>
              </w:rPr>
              <w:t xml:space="preserve">  As noted in these final recommendations the GMRG has, to the extent possible, sought to protect the anonymity of counterparties by requiring trades to be reported on a zonal or facility basis. </w:t>
            </w:r>
          </w:p>
          <w:p w14:paraId="44184CCE" w14:textId="77777777" w:rsidR="006E24F8" w:rsidRPr="00800870" w:rsidRDefault="006E24F8" w:rsidP="00983327">
            <w:pPr>
              <w:pStyle w:val="TableBodyText"/>
              <w:spacing w:before="40" w:after="40"/>
              <w:rPr>
                <w:sz w:val="17"/>
                <w:szCs w:val="17"/>
              </w:rPr>
            </w:pPr>
            <w:r w:rsidRPr="00800870">
              <w:rPr>
                <w:sz w:val="17"/>
                <w:szCs w:val="17"/>
              </w:rPr>
              <w:t xml:space="preserve">While the GMRG understands that there may still be some limited cases where it is possible to determine the identity of trading parties, in its view the anonymity of trading parties should not be protected at all costs because to do so would undermine the price discovery benefits associated with this transparency measure. It is also worth noting that while the publication of trades will result in some key information being made available to the market, the reporting framework will not require information on the actual use of the capacity to be published. Nor will it require the publication of information on the primary capacity held by the shipper. It would be difficult therefore for market participants to infer anything from the release of the proposed information, other than the fact that additional capacity has been acquired and the price at which it was acquired. </w:t>
            </w:r>
          </w:p>
        </w:tc>
      </w:tr>
    </w:tbl>
    <w:p w14:paraId="10ED3504" w14:textId="77777777" w:rsidR="006E24F8" w:rsidRDefault="006E24F8" w:rsidP="006E24F8">
      <w:pPr>
        <w:pStyle w:val="BodyText"/>
        <w:sectPr w:rsidR="006E24F8" w:rsidSect="004B4094">
          <w:footerReference w:type="default" r:id="rId65"/>
          <w:pgSz w:w="16839" w:h="11907" w:orient="landscape" w:code="9"/>
          <w:pgMar w:top="1701" w:right="1418" w:bottom="993" w:left="1701" w:header="425" w:footer="397" w:gutter="0"/>
          <w:cols w:space="708"/>
          <w:docGrid w:linePitch="360"/>
        </w:sectPr>
      </w:pPr>
    </w:p>
    <w:p w14:paraId="77179B6A" w14:textId="1D81ABE3" w:rsidR="006E24F8" w:rsidRDefault="006E24F8" w:rsidP="006E24F8">
      <w:pPr>
        <w:pStyle w:val="Caption"/>
        <w:spacing w:before="0" w:after="0"/>
      </w:pPr>
      <w:bookmarkStart w:id="198" w:name="Here"/>
      <w:bookmarkEnd w:id="198"/>
      <w:r w:rsidRPr="00BD7ADE">
        <w:lastRenderedPageBreak/>
        <w:t xml:space="preserve">Table </w:t>
      </w:r>
      <w:r>
        <w:rPr>
          <w:noProof/>
        </w:rPr>
        <w:t>A.18</w:t>
      </w:r>
      <w:r w:rsidRPr="00BD7ADE">
        <w:t xml:space="preserve">: </w:t>
      </w:r>
      <w:r>
        <w:t>Standard market timetable: F</w:t>
      </w:r>
      <w:r w:rsidRPr="00BD7ADE">
        <w:t xml:space="preserve">eedback on the </w:t>
      </w:r>
      <w:r>
        <w:t xml:space="preserve">draft amendments to the </w:t>
      </w:r>
      <w:r w:rsidRPr="00BD7ADE">
        <w:t>NGL and NGR</w:t>
      </w:r>
    </w:p>
    <w:tbl>
      <w:tblPr>
        <w:tblStyle w:val="TableGrid"/>
        <w:tblW w:w="5063" w:type="pct"/>
        <w:tblLook w:val="04A0" w:firstRow="1" w:lastRow="0" w:firstColumn="1" w:lastColumn="0" w:noHBand="0" w:noVBand="1"/>
        <w:tblCaption w:val="Response to issues raised about arbitration"/>
        <w:tblDescription w:val="Table of stakeholder concerns and GMRG response"/>
      </w:tblPr>
      <w:tblGrid>
        <w:gridCol w:w="1728"/>
        <w:gridCol w:w="5845"/>
        <w:gridCol w:w="6320"/>
      </w:tblGrid>
      <w:tr w:rsidR="006E24F8" w:rsidRPr="00FB77AC" w14:paraId="5F0E3234" w14:textId="77777777" w:rsidTr="00944EC7">
        <w:trPr>
          <w:cnfStyle w:val="100000000000" w:firstRow="1" w:lastRow="0" w:firstColumn="0" w:lastColumn="0" w:oddVBand="0" w:evenVBand="0" w:oddHBand="0" w:evenHBand="0" w:firstRowFirstColumn="0" w:firstRowLastColumn="0" w:lastRowFirstColumn="0" w:lastRowLastColumn="0"/>
          <w:trHeight w:val="70"/>
          <w:tblHeader/>
        </w:trPr>
        <w:tc>
          <w:tcPr>
            <w:tcW w:w="1727" w:type="dxa"/>
            <w:tcBorders>
              <w:bottom w:val="single" w:sz="4" w:space="0" w:color="auto"/>
            </w:tcBorders>
            <w:shd w:val="clear" w:color="auto" w:fill="0099CC"/>
          </w:tcPr>
          <w:p w14:paraId="5FB21DDA" w14:textId="77777777" w:rsidR="006E24F8" w:rsidRPr="00FB77AC" w:rsidRDefault="006E24F8" w:rsidP="00983327">
            <w:pPr>
              <w:pStyle w:val="BodyText"/>
              <w:spacing w:before="20" w:after="60" w:line="240" w:lineRule="auto"/>
              <w:rPr>
                <w:rFonts w:cs="Arial"/>
                <w:sz w:val="17"/>
                <w:szCs w:val="17"/>
              </w:rPr>
            </w:pPr>
            <w:r w:rsidRPr="00FB77AC">
              <w:rPr>
                <w:rFonts w:cs="Arial"/>
                <w:sz w:val="17"/>
                <w:szCs w:val="17"/>
              </w:rPr>
              <w:t>Provision</w:t>
            </w:r>
          </w:p>
        </w:tc>
        <w:tc>
          <w:tcPr>
            <w:tcW w:w="5845" w:type="dxa"/>
            <w:tcBorders>
              <w:bottom w:val="single" w:sz="4" w:space="0" w:color="auto"/>
            </w:tcBorders>
            <w:shd w:val="clear" w:color="auto" w:fill="0099CC"/>
          </w:tcPr>
          <w:p w14:paraId="4F302736" w14:textId="77777777" w:rsidR="006E24F8" w:rsidRPr="00FB77AC" w:rsidRDefault="006E24F8" w:rsidP="00983327">
            <w:pPr>
              <w:pStyle w:val="BodyText"/>
              <w:spacing w:before="20" w:after="60" w:line="240" w:lineRule="auto"/>
              <w:rPr>
                <w:rFonts w:cs="Arial"/>
                <w:sz w:val="17"/>
                <w:szCs w:val="17"/>
              </w:rPr>
            </w:pPr>
            <w:r w:rsidRPr="00FB77AC">
              <w:rPr>
                <w:rFonts w:cs="Arial"/>
                <w:sz w:val="17"/>
                <w:szCs w:val="17"/>
              </w:rPr>
              <w:t>Stakeholder concern</w:t>
            </w:r>
          </w:p>
        </w:tc>
        <w:tc>
          <w:tcPr>
            <w:tcW w:w="6320" w:type="dxa"/>
            <w:tcBorders>
              <w:bottom w:val="single" w:sz="4" w:space="0" w:color="auto"/>
            </w:tcBorders>
            <w:shd w:val="clear" w:color="auto" w:fill="0099CC"/>
          </w:tcPr>
          <w:p w14:paraId="055D157E" w14:textId="77777777" w:rsidR="006E24F8" w:rsidRPr="00FB77AC" w:rsidRDefault="006E24F8" w:rsidP="00983327">
            <w:pPr>
              <w:pStyle w:val="BodyText"/>
              <w:spacing w:before="20" w:after="60" w:line="240" w:lineRule="auto"/>
              <w:rPr>
                <w:rFonts w:cs="Arial"/>
                <w:sz w:val="17"/>
                <w:szCs w:val="17"/>
              </w:rPr>
            </w:pPr>
            <w:r w:rsidRPr="00FB77AC">
              <w:rPr>
                <w:rFonts w:cs="Arial"/>
                <w:sz w:val="17"/>
                <w:szCs w:val="17"/>
              </w:rPr>
              <w:t>GMRG response</w:t>
            </w:r>
          </w:p>
        </w:tc>
      </w:tr>
      <w:tr w:rsidR="006E24F8" w:rsidRPr="00FB77AC" w14:paraId="6CF00F07" w14:textId="77777777" w:rsidTr="00944EC7">
        <w:trPr>
          <w:trHeight w:val="70"/>
        </w:trPr>
        <w:tc>
          <w:tcPr>
            <w:tcW w:w="13892" w:type="dxa"/>
            <w:gridSpan w:val="3"/>
            <w:shd w:val="clear" w:color="auto" w:fill="65697F" w:themeFill="background2" w:themeFillShade="80"/>
            <w:vAlign w:val="center"/>
          </w:tcPr>
          <w:p w14:paraId="3EA8CDE8" w14:textId="77777777" w:rsidR="006E24F8" w:rsidRPr="00FB77AC" w:rsidRDefault="006E24F8" w:rsidP="00983327">
            <w:pPr>
              <w:pStyle w:val="BodyText"/>
              <w:spacing w:before="20" w:after="40" w:line="240" w:lineRule="auto"/>
              <w:jc w:val="center"/>
              <w:rPr>
                <w:b/>
                <w:color w:val="FFFFFF" w:themeColor="background1"/>
                <w:sz w:val="17"/>
                <w:szCs w:val="17"/>
              </w:rPr>
            </w:pPr>
            <w:r w:rsidRPr="00FB77AC">
              <w:rPr>
                <w:b/>
                <w:color w:val="FFFFFF" w:themeColor="background1"/>
                <w:sz w:val="17"/>
                <w:szCs w:val="17"/>
              </w:rPr>
              <w:t>NGL</w:t>
            </w:r>
          </w:p>
        </w:tc>
      </w:tr>
      <w:tr w:rsidR="006E24F8" w:rsidRPr="00FB77AC" w14:paraId="15B6A017" w14:textId="77777777" w:rsidTr="00944EC7">
        <w:trPr>
          <w:cnfStyle w:val="000000010000" w:firstRow="0" w:lastRow="0" w:firstColumn="0" w:lastColumn="0" w:oddVBand="0" w:evenVBand="0" w:oddHBand="0" w:evenHBand="1" w:firstRowFirstColumn="0" w:firstRowLastColumn="0" w:lastRowFirstColumn="0" w:lastRowLastColumn="0"/>
          <w:trHeight w:val="759"/>
        </w:trPr>
        <w:tc>
          <w:tcPr>
            <w:tcW w:w="1727" w:type="dxa"/>
            <w:vAlign w:val="center"/>
          </w:tcPr>
          <w:p w14:paraId="507D5FE6" w14:textId="77777777" w:rsidR="006E24F8" w:rsidRPr="00FB77AC" w:rsidRDefault="006E24F8" w:rsidP="00983327">
            <w:pPr>
              <w:pStyle w:val="BodyText"/>
              <w:spacing w:before="20" w:after="20" w:line="240" w:lineRule="auto"/>
              <w:rPr>
                <w:rFonts w:cs="Arial"/>
                <w:sz w:val="17"/>
                <w:szCs w:val="17"/>
              </w:rPr>
            </w:pPr>
            <w:r w:rsidRPr="00FB77AC">
              <w:rPr>
                <w:rFonts w:cs="Arial"/>
                <w:sz w:val="17"/>
                <w:szCs w:val="17"/>
              </w:rPr>
              <w:t>s. 83B</w:t>
            </w:r>
          </w:p>
        </w:tc>
        <w:tc>
          <w:tcPr>
            <w:tcW w:w="5845" w:type="dxa"/>
            <w:vAlign w:val="center"/>
          </w:tcPr>
          <w:p w14:paraId="74D4EB2B" w14:textId="77777777" w:rsidR="006E24F8" w:rsidRPr="00FB77AC" w:rsidRDefault="006E24F8" w:rsidP="00983327">
            <w:pPr>
              <w:pStyle w:val="BodyText"/>
              <w:spacing w:before="20" w:after="20" w:line="240" w:lineRule="auto"/>
              <w:rPr>
                <w:rFonts w:cs="Arial"/>
                <w:sz w:val="17"/>
                <w:szCs w:val="17"/>
              </w:rPr>
            </w:pPr>
            <w:r w:rsidRPr="00FB77AC">
              <w:rPr>
                <w:sz w:val="17"/>
                <w:szCs w:val="17"/>
              </w:rPr>
              <w:t>APA thought the reference to ‘the exchange of information about use of transportation services and deliveries and receipts of natural gas ’ in the NGL was broader than necessary to achieve the policy intent.</w:t>
            </w:r>
          </w:p>
        </w:tc>
        <w:tc>
          <w:tcPr>
            <w:tcW w:w="6320" w:type="dxa"/>
            <w:vAlign w:val="center"/>
          </w:tcPr>
          <w:p w14:paraId="274ED10D" w14:textId="77777777" w:rsidR="006E24F8" w:rsidRPr="00FB77AC" w:rsidRDefault="006E24F8" w:rsidP="00983327">
            <w:pPr>
              <w:pStyle w:val="BodyText"/>
              <w:spacing w:before="60" w:after="60"/>
              <w:rPr>
                <w:sz w:val="17"/>
                <w:szCs w:val="17"/>
              </w:rPr>
            </w:pPr>
            <w:r w:rsidRPr="00FB77AC">
              <w:rPr>
                <w:sz w:val="17"/>
                <w:szCs w:val="17"/>
              </w:rPr>
              <w:t xml:space="preserve">The GMRG agrees that there was some ambiguity in the </w:t>
            </w:r>
            <w:r>
              <w:rPr>
                <w:sz w:val="17"/>
                <w:szCs w:val="17"/>
              </w:rPr>
              <w:t>original drafting of s. 83B</w:t>
            </w:r>
            <w:r w:rsidRPr="00FB77AC">
              <w:rPr>
                <w:sz w:val="17"/>
                <w:szCs w:val="17"/>
              </w:rPr>
              <w:t xml:space="preserve">. </w:t>
            </w:r>
            <w:r>
              <w:rPr>
                <w:sz w:val="17"/>
                <w:szCs w:val="17"/>
              </w:rPr>
              <w:t xml:space="preserve">This section </w:t>
            </w:r>
            <w:r w:rsidRPr="00FB77AC">
              <w:rPr>
                <w:sz w:val="17"/>
                <w:szCs w:val="17"/>
              </w:rPr>
              <w:t xml:space="preserve">has therefore been amended to clarify that the standard market timetable may provide for the times for nominations and renominations for the use of transportation services and deliveries and receipts of natural gas. </w:t>
            </w:r>
          </w:p>
        </w:tc>
      </w:tr>
      <w:tr w:rsidR="006E24F8" w:rsidRPr="00FB77AC" w14:paraId="0B8CB3CE" w14:textId="77777777" w:rsidTr="00944EC7">
        <w:trPr>
          <w:trHeight w:val="663"/>
        </w:trPr>
        <w:tc>
          <w:tcPr>
            <w:tcW w:w="1727" w:type="dxa"/>
            <w:vAlign w:val="center"/>
          </w:tcPr>
          <w:p w14:paraId="1A2846F5" w14:textId="77777777" w:rsidR="006E24F8" w:rsidRPr="00FB77AC" w:rsidRDefault="006E24F8" w:rsidP="00983327">
            <w:pPr>
              <w:pStyle w:val="BodyText"/>
              <w:spacing w:before="20" w:after="20" w:line="240" w:lineRule="auto"/>
              <w:rPr>
                <w:rFonts w:cs="Arial"/>
                <w:sz w:val="17"/>
                <w:szCs w:val="17"/>
              </w:rPr>
            </w:pPr>
            <w:r w:rsidRPr="00FB77AC">
              <w:rPr>
                <w:rFonts w:cs="Arial"/>
                <w:sz w:val="17"/>
                <w:szCs w:val="17"/>
              </w:rPr>
              <w:t>s. 83D</w:t>
            </w:r>
          </w:p>
        </w:tc>
        <w:tc>
          <w:tcPr>
            <w:tcW w:w="5845" w:type="dxa"/>
            <w:vAlign w:val="center"/>
          </w:tcPr>
          <w:p w14:paraId="1636EC1D" w14:textId="77777777" w:rsidR="006E24F8" w:rsidRPr="00FB77AC" w:rsidRDefault="006E24F8" w:rsidP="00983327">
            <w:pPr>
              <w:pStyle w:val="TableBodyText"/>
              <w:rPr>
                <w:sz w:val="17"/>
                <w:szCs w:val="17"/>
              </w:rPr>
            </w:pPr>
            <w:r w:rsidRPr="00FB77AC">
              <w:rPr>
                <w:sz w:val="17"/>
                <w:szCs w:val="17"/>
              </w:rPr>
              <w:t>The ECA suggested that the reference to ‘implement the standard market timetable’ in this provision be clarified so that the provision can be effectively enforced.</w:t>
            </w:r>
          </w:p>
        </w:tc>
        <w:tc>
          <w:tcPr>
            <w:tcW w:w="6320" w:type="dxa"/>
            <w:vAlign w:val="center"/>
          </w:tcPr>
          <w:p w14:paraId="540CD679" w14:textId="77777777" w:rsidR="006E24F8" w:rsidRPr="00FB77AC" w:rsidRDefault="006E24F8" w:rsidP="00983327">
            <w:pPr>
              <w:pStyle w:val="TableBodyText"/>
              <w:rPr>
                <w:sz w:val="17"/>
                <w:szCs w:val="17"/>
              </w:rPr>
            </w:pPr>
            <w:r w:rsidRPr="00FB77AC">
              <w:rPr>
                <w:sz w:val="17"/>
                <w:szCs w:val="17"/>
              </w:rPr>
              <w:t>The GMRG agrees with the ECA that the term ‘implement’ is not as clear as it could be. Section 83D has therefore been amended by replacing the term ‘implement the standard market timetable’ with ‘use the standard market timetable’.</w:t>
            </w:r>
          </w:p>
        </w:tc>
      </w:tr>
      <w:tr w:rsidR="006E24F8" w:rsidRPr="00FB77AC" w14:paraId="71B0F2CA" w14:textId="77777777" w:rsidTr="00944EC7">
        <w:trPr>
          <w:cnfStyle w:val="000000010000" w:firstRow="0" w:lastRow="0" w:firstColumn="0" w:lastColumn="0" w:oddVBand="0" w:evenVBand="0" w:oddHBand="0" w:evenHBand="1" w:firstRowFirstColumn="0" w:firstRowLastColumn="0" w:lastRowFirstColumn="0" w:lastRowLastColumn="0"/>
          <w:trHeight w:val="70"/>
        </w:trPr>
        <w:tc>
          <w:tcPr>
            <w:tcW w:w="13892" w:type="dxa"/>
            <w:gridSpan w:val="3"/>
            <w:tcBorders>
              <w:bottom w:val="single" w:sz="4" w:space="0" w:color="auto"/>
            </w:tcBorders>
            <w:shd w:val="clear" w:color="auto" w:fill="65697F" w:themeFill="background2" w:themeFillShade="80"/>
            <w:vAlign w:val="center"/>
          </w:tcPr>
          <w:p w14:paraId="2FDAA321" w14:textId="77777777" w:rsidR="006E24F8" w:rsidRPr="00FB77AC" w:rsidRDefault="006E24F8" w:rsidP="00983327">
            <w:pPr>
              <w:pStyle w:val="BodyText"/>
              <w:spacing w:before="20" w:after="40" w:line="240" w:lineRule="auto"/>
              <w:jc w:val="center"/>
              <w:rPr>
                <w:b/>
                <w:color w:val="FFFFFF" w:themeColor="background1"/>
                <w:sz w:val="17"/>
                <w:szCs w:val="17"/>
              </w:rPr>
            </w:pPr>
            <w:r>
              <w:rPr>
                <w:b/>
                <w:color w:val="FFFFFF" w:themeColor="background1"/>
                <w:sz w:val="17"/>
                <w:szCs w:val="17"/>
              </w:rPr>
              <w:t xml:space="preserve">Part 26 of the </w:t>
            </w:r>
            <w:r w:rsidRPr="00FB77AC">
              <w:rPr>
                <w:b/>
                <w:color w:val="FFFFFF" w:themeColor="background1"/>
                <w:sz w:val="17"/>
                <w:szCs w:val="17"/>
              </w:rPr>
              <w:t>NGR</w:t>
            </w:r>
          </w:p>
        </w:tc>
      </w:tr>
      <w:tr w:rsidR="006E24F8" w:rsidRPr="00FB77AC" w14:paraId="4406E0D0" w14:textId="77777777" w:rsidTr="00944EC7">
        <w:trPr>
          <w:trHeight w:val="465"/>
        </w:trPr>
        <w:tc>
          <w:tcPr>
            <w:tcW w:w="1727" w:type="dxa"/>
            <w:shd w:val="clear" w:color="auto" w:fill="E1E2E7" w:themeFill="background2"/>
            <w:vAlign w:val="center"/>
          </w:tcPr>
          <w:p w14:paraId="2C5F2C5D" w14:textId="77777777" w:rsidR="006E24F8" w:rsidRPr="00FB77AC" w:rsidRDefault="006E24F8" w:rsidP="00983327">
            <w:pPr>
              <w:pStyle w:val="BodyText"/>
              <w:spacing w:before="20" w:after="20" w:line="240" w:lineRule="auto"/>
              <w:rPr>
                <w:rFonts w:cs="Arial"/>
                <w:sz w:val="17"/>
                <w:szCs w:val="17"/>
              </w:rPr>
            </w:pPr>
            <w:r w:rsidRPr="00FB77AC">
              <w:rPr>
                <w:rFonts w:cs="Arial"/>
                <w:sz w:val="17"/>
                <w:szCs w:val="17"/>
              </w:rPr>
              <w:t>r. 678</w:t>
            </w:r>
          </w:p>
        </w:tc>
        <w:tc>
          <w:tcPr>
            <w:tcW w:w="5845" w:type="dxa"/>
            <w:shd w:val="clear" w:color="auto" w:fill="E1E2E7" w:themeFill="background2"/>
            <w:vAlign w:val="center"/>
          </w:tcPr>
          <w:p w14:paraId="5A35C4B9" w14:textId="77777777" w:rsidR="006E24F8" w:rsidRPr="00FB77AC" w:rsidRDefault="006E24F8" w:rsidP="00983327">
            <w:pPr>
              <w:pStyle w:val="BodyText"/>
              <w:spacing w:before="20" w:after="20" w:line="240" w:lineRule="auto"/>
              <w:rPr>
                <w:rFonts w:cs="Arial"/>
                <w:sz w:val="17"/>
                <w:szCs w:val="17"/>
              </w:rPr>
            </w:pPr>
            <w:r w:rsidRPr="00FB77AC">
              <w:rPr>
                <w:sz w:val="17"/>
                <w:szCs w:val="17"/>
              </w:rPr>
              <w:t>Epic suggested that the standard market timetable provisions in the NGR specify the nomination cut</w:t>
            </w:r>
            <w:r>
              <w:rPr>
                <w:sz w:val="17"/>
                <w:szCs w:val="17"/>
              </w:rPr>
              <w:t>-</w:t>
            </w:r>
            <w:r w:rsidRPr="00FB77AC">
              <w:rPr>
                <w:sz w:val="17"/>
                <w:szCs w:val="17"/>
              </w:rPr>
              <w:t>off times for the auction services and for all other services.</w:t>
            </w:r>
          </w:p>
        </w:tc>
        <w:tc>
          <w:tcPr>
            <w:tcW w:w="6320" w:type="dxa"/>
            <w:shd w:val="clear" w:color="auto" w:fill="E1E2E7" w:themeFill="background2"/>
            <w:vAlign w:val="center"/>
          </w:tcPr>
          <w:p w14:paraId="5BC8DE59" w14:textId="77777777" w:rsidR="006E24F8" w:rsidRPr="00FB77AC" w:rsidRDefault="006E24F8" w:rsidP="00983327">
            <w:pPr>
              <w:pStyle w:val="BodyText"/>
              <w:spacing w:before="20" w:after="20" w:line="240" w:lineRule="auto"/>
              <w:rPr>
                <w:sz w:val="17"/>
                <w:szCs w:val="17"/>
              </w:rPr>
            </w:pPr>
            <w:r w:rsidRPr="00FB77AC">
              <w:rPr>
                <w:sz w:val="17"/>
                <w:szCs w:val="17"/>
              </w:rPr>
              <w:t>The GMRG agrees with Epic’s suggestion and has amended Part 26 to specify the auction service nomination cut-off time (6.45 pm on gas day D-1) for facilities that are subject to the auction.</w:t>
            </w:r>
          </w:p>
        </w:tc>
      </w:tr>
    </w:tbl>
    <w:p w14:paraId="56EB554A" w14:textId="77777777" w:rsidR="006E24F8" w:rsidRDefault="006E24F8" w:rsidP="006E24F8">
      <w:pPr>
        <w:pStyle w:val="BodyText"/>
      </w:pPr>
    </w:p>
    <w:p w14:paraId="1D33EDE6" w14:textId="77777777" w:rsidR="006E24F8" w:rsidRDefault="006E24F8" w:rsidP="006E24F8">
      <w:pPr>
        <w:pStyle w:val="BodyText"/>
        <w:spacing w:before="120" w:line="252" w:lineRule="auto"/>
      </w:pPr>
    </w:p>
    <w:p w14:paraId="79EDBD83" w14:textId="77777777" w:rsidR="006E24F8" w:rsidRPr="00FB77AC" w:rsidRDefault="006E24F8" w:rsidP="00FB77AC">
      <w:pPr>
        <w:pStyle w:val="BodyText"/>
        <w:rPr>
          <w:sz w:val="2"/>
          <w:szCs w:val="2"/>
        </w:rPr>
      </w:pPr>
    </w:p>
    <w:sectPr w:rsidR="006E24F8" w:rsidRPr="00FB77AC" w:rsidSect="006E24F8">
      <w:pgSz w:w="16839" w:h="11907" w:orient="landscape" w:code="9"/>
      <w:pgMar w:top="1701" w:right="1418" w:bottom="993" w:left="1701" w:header="425"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AF7085" w14:textId="77777777" w:rsidR="00854EF5" w:rsidRDefault="00854EF5" w:rsidP="00256624">
      <w:r>
        <w:separator/>
      </w:r>
    </w:p>
    <w:p w14:paraId="7F7C8916" w14:textId="77777777" w:rsidR="00854EF5" w:rsidRDefault="00854EF5"/>
  </w:endnote>
  <w:endnote w:type="continuationSeparator" w:id="0">
    <w:p w14:paraId="1B45E793" w14:textId="77777777" w:rsidR="00854EF5" w:rsidRDefault="00854EF5" w:rsidP="00256624">
      <w:r>
        <w:continuationSeparator/>
      </w:r>
    </w:p>
    <w:p w14:paraId="63D1A234" w14:textId="77777777" w:rsidR="00854EF5" w:rsidRDefault="00854E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ook Antiqua">
    <w:altName w:val="Book Antiqua"/>
    <w:panose1 w:val="02040602050305030304"/>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Gotham Light">
    <w:altName w:val="Calibri"/>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4D"/>
    <w:family w:val="auto"/>
    <w:notTrueType/>
    <w:pitch w:val="default"/>
    <w:sig w:usb0="00000003" w:usb1="00000000" w:usb2="00000000" w:usb3="00000000" w:csb0="00000001" w:csb1="00000000"/>
  </w:font>
  <w:font w:name="Myriad Pro">
    <w:altName w:val="Segoe UI"/>
    <w:panose1 w:val="020B0503030403020204"/>
    <w:charset w:val="00"/>
    <w:family w:val="swiss"/>
    <w:notTrueType/>
    <w:pitch w:val="variable"/>
    <w:sig w:usb0="20000287"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Arial Bold">
    <w:altName w:val="Arial"/>
    <w:panose1 w:val="020B0704020202020204"/>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3BC43D" w14:textId="77777777" w:rsidR="00854EF5" w:rsidRDefault="00854EF5">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458C6C" w14:textId="77777777" w:rsidR="00854EF5" w:rsidRDefault="00854EF5" w:rsidP="00C0654C">
    <w:pPr>
      <w:pStyle w:val="Footer"/>
      <w:pBdr>
        <w:top w:val="single" w:sz="4" w:space="1" w:color="0099CC"/>
      </w:pBdr>
      <w:spacing w:before="240" w:line="80" w:lineRule="exact"/>
    </w:pPr>
  </w:p>
  <w:p w14:paraId="1E28B7BF" w14:textId="77777777" w:rsidR="00854EF5" w:rsidRDefault="00854EF5" w:rsidP="004B3D51">
    <w:pPr>
      <w:pStyle w:val="Footer"/>
    </w:pPr>
    <w:r>
      <w:fldChar w:fldCharType="begin"/>
    </w:r>
    <w:r>
      <w:instrText xml:space="preserve"> PAGE   \* MERGEFORMAT </w:instrText>
    </w:r>
    <w:r>
      <w:fldChar w:fldCharType="separate"/>
    </w:r>
    <w:r w:rsidR="00A6605E">
      <w:rPr>
        <w:noProof/>
      </w:rPr>
      <w:t>11</w:t>
    </w:r>
    <w:r>
      <w:rPr>
        <w:noProof/>
      </w:rPr>
      <w:fldChar w:fldCharType="end"/>
    </w:r>
  </w:p>
  <w:p w14:paraId="1B1DC9D2" w14:textId="77777777" w:rsidR="00854EF5" w:rsidRDefault="00854EF5"/>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3363B8" w14:textId="77777777" w:rsidR="00854EF5" w:rsidRDefault="00854EF5" w:rsidP="00C0654C">
    <w:pPr>
      <w:pStyle w:val="Footer"/>
      <w:pBdr>
        <w:top w:val="single" w:sz="4" w:space="1" w:color="0099CC"/>
      </w:pBdr>
      <w:spacing w:before="240" w:line="80" w:lineRule="exact"/>
    </w:pPr>
  </w:p>
  <w:p w14:paraId="26855AFE" w14:textId="77777777" w:rsidR="00854EF5" w:rsidRDefault="00854EF5" w:rsidP="001B5338">
    <w:pPr>
      <w:pStyle w:val="Footer"/>
    </w:pPr>
    <w:r>
      <w:fldChar w:fldCharType="begin"/>
    </w:r>
    <w:r>
      <w:instrText xml:space="preserve"> PAGE   \* MERGEFORMAT </w:instrText>
    </w:r>
    <w:r>
      <w:fldChar w:fldCharType="separate"/>
    </w:r>
    <w:r w:rsidR="00A6605E">
      <w:rPr>
        <w:noProof/>
      </w:rPr>
      <w:t>13</w:t>
    </w:r>
    <w:r>
      <w:rPr>
        <w:noProof/>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D482C3" w14:textId="77777777" w:rsidR="00854EF5" w:rsidRDefault="00854EF5" w:rsidP="00C0654C">
    <w:pPr>
      <w:pStyle w:val="Footer"/>
      <w:pBdr>
        <w:top w:val="single" w:sz="4" w:space="1" w:color="0099CC"/>
      </w:pBdr>
      <w:spacing w:before="240" w:line="80" w:lineRule="exact"/>
    </w:pPr>
  </w:p>
  <w:p w14:paraId="5DA970DE" w14:textId="77777777" w:rsidR="00854EF5" w:rsidRDefault="00854EF5" w:rsidP="001B5338">
    <w:pPr>
      <w:pStyle w:val="Footer"/>
    </w:pPr>
    <w:r>
      <w:fldChar w:fldCharType="begin"/>
    </w:r>
    <w:r>
      <w:instrText xml:space="preserve"> PAGE   \* MERGEFORMAT </w:instrText>
    </w:r>
    <w:r>
      <w:fldChar w:fldCharType="separate"/>
    </w:r>
    <w:r w:rsidR="00A6605E">
      <w:rPr>
        <w:noProof/>
      </w:rPr>
      <w:t>15</w:t>
    </w:r>
    <w:r>
      <w:rPr>
        <w:noProof/>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34E261" w14:textId="77777777" w:rsidR="00854EF5" w:rsidRDefault="00854EF5" w:rsidP="00C0654C">
    <w:pPr>
      <w:pStyle w:val="Footer"/>
      <w:pBdr>
        <w:top w:val="single" w:sz="4" w:space="1" w:color="0099CC"/>
      </w:pBdr>
      <w:spacing w:before="240" w:line="80" w:lineRule="exact"/>
    </w:pPr>
  </w:p>
  <w:p w14:paraId="59DDA4A3" w14:textId="77777777" w:rsidR="00854EF5" w:rsidRDefault="00854EF5" w:rsidP="004B3D51">
    <w:pPr>
      <w:pStyle w:val="Footer"/>
    </w:pPr>
    <w:r>
      <w:fldChar w:fldCharType="begin"/>
    </w:r>
    <w:r>
      <w:instrText xml:space="preserve"> PAGE   \* MERGEFORMAT </w:instrText>
    </w:r>
    <w:r>
      <w:fldChar w:fldCharType="separate"/>
    </w:r>
    <w:r w:rsidR="00A6605E">
      <w:rPr>
        <w:noProof/>
      </w:rPr>
      <w:t>22</w:t>
    </w:r>
    <w:r>
      <w:rPr>
        <w:noProof/>
      </w:rPr>
      <w:fldChar w:fldCharType="end"/>
    </w:r>
  </w:p>
  <w:p w14:paraId="2701F5BB" w14:textId="77777777" w:rsidR="00854EF5" w:rsidRDefault="00854EF5"/>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66467E" w14:textId="77777777" w:rsidR="00854EF5" w:rsidRDefault="00854EF5" w:rsidP="00887CBF">
    <w:pPr>
      <w:pStyle w:val="Footer"/>
      <w:pBdr>
        <w:top w:val="single" w:sz="4" w:space="1" w:color="0099CC"/>
      </w:pBdr>
      <w:spacing w:line="80" w:lineRule="exact"/>
    </w:pPr>
  </w:p>
  <w:p w14:paraId="76AB13A8" w14:textId="77777777" w:rsidR="00854EF5" w:rsidRDefault="00854EF5" w:rsidP="004B3D51">
    <w:pPr>
      <w:pStyle w:val="Footer"/>
      <w:rPr>
        <w:noProof/>
      </w:rPr>
    </w:pPr>
    <w:r>
      <w:fldChar w:fldCharType="begin"/>
    </w:r>
    <w:r>
      <w:instrText xml:space="preserve"> PAGE   \* MERGEFORMAT </w:instrText>
    </w:r>
    <w:r>
      <w:fldChar w:fldCharType="separate"/>
    </w:r>
    <w:r w:rsidR="00A6605E">
      <w:rPr>
        <w:noProof/>
      </w:rPr>
      <w:t>27</w:t>
    </w:r>
    <w:r>
      <w:rPr>
        <w:noProof/>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1F5DA5" w14:textId="77777777" w:rsidR="00854EF5" w:rsidRDefault="00854EF5" w:rsidP="00873F54">
    <w:pPr>
      <w:pStyle w:val="Footer"/>
      <w:pBdr>
        <w:top w:val="single" w:sz="4" w:space="0" w:color="0099CC"/>
      </w:pBdr>
      <w:spacing w:before="240" w:line="80" w:lineRule="exact"/>
    </w:pPr>
  </w:p>
  <w:p w14:paraId="385883F8" w14:textId="77777777" w:rsidR="00854EF5" w:rsidRDefault="00854EF5" w:rsidP="00873F54">
    <w:pPr>
      <w:pStyle w:val="Footer"/>
    </w:pPr>
    <w:r>
      <w:fldChar w:fldCharType="begin"/>
    </w:r>
    <w:r>
      <w:instrText xml:space="preserve"> PAGE   \* MERGEFORMAT </w:instrText>
    </w:r>
    <w:r>
      <w:fldChar w:fldCharType="separate"/>
    </w:r>
    <w:r w:rsidR="00A6605E">
      <w:rPr>
        <w:noProof/>
      </w:rPr>
      <w:t>32</w:t>
    </w:r>
    <w:r>
      <w:rPr>
        <w:noProof/>
      </w:rPr>
      <w:fldChar w:fldCharType="end"/>
    </w:r>
  </w:p>
  <w:p w14:paraId="36CB92D7" w14:textId="77777777" w:rsidR="00854EF5" w:rsidRDefault="00854EF5" w:rsidP="00873F54"/>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6918F8" w14:textId="77777777" w:rsidR="00854EF5" w:rsidRDefault="00854EF5" w:rsidP="00887CBF">
    <w:pPr>
      <w:pStyle w:val="Footer"/>
      <w:pBdr>
        <w:top w:val="single" w:sz="4" w:space="1" w:color="0099CC"/>
      </w:pBdr>
      <w:spacing w:line="80" w:lineRule="exact"/>
    </w:pPr>
  </w:p>
  <w:p w14:paraId="0FEFAE73" w14:textId="77777777" w:rsidR="00854EF5" w:rsidRDefault="00854EF5" w:rsidP="004B3D51">
    <w:pPr>
      <w:pStyle w:val="Footer"/>
      <w:rPr>
        <w:noProof/>
      </w:rPr>
    </w:pPr>
    <w:r>
      <w:fldChar w:fldCharType="begin"/>
    </w:r>
    <w:r>
      <w:instrText xml:space="preserve"> PAGE   \* MERGEFORMAT </w:instrText>
    </w:r>
    <w:r>
      <w:fldChar w:fldCharType="separate"/>
    </w:r>
    <w:r w:rsidR="00A6605E">
      <w:rPr>
        <w:noProof/>
      </w:rPr>
      <w:t>61</w:t>
    </w:r>
    <w:r>
      <w:rPr>
        <w:noProof/>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9D1A35" w14:textId="77777777" w:rsidR="00854EF5" w:rsidRDefault="00854EF5" w:rsidP="00127572">
    <w:pPr>
      <w:pStyle w:val="Footer"/>
      <w:pBdr>
        <w:top w:val="single" w:sz="4" w:space="1" w:color="0099CC"/>
      </w:pBdr>
      <w:spacing w:before="240" w:line="80" w:lineRule="exact"/>
    </w:pPr>
  </w:p>
  <w:p w14:paraId="39033AD9" w14:textId="77777777" w:rsidR="00854EF5" w:rsidRDefault="00854EF5" w:rsidP="005415B7">
    <w:pPr>
      <w:pStyle w:val="Footer"/>
    </w:pPr>
    <w:r>
      <w:fldChar w:fldCharType="begin"/>
    </w:r>
    <w:r>
      <w:instrText xml:space="preserve"> PAGE   \* MERGEFORMAT </w:instrText>
    </w:r>
    <w:r>
      <w:fldChar w:fldCharType="separate"/>
    </w:r>
    <w:r w:rsidR="00A6605E">
      <w:rPr>
        <w:noProof/>
      </w:rPr>
      <w:t>66</w:t>
    </w:r>
    <w:r>
      <w:rPr>
        <w:noProof/>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B49A39" w14:textId="77777777" w:rsidR="00854EF5" w:rsidRPr="005F5D5C" w:rsidRDefault="00854EF5" w:rsidP="005F5D5C">
    <w:pPr>
      <w:pStyle w:val="Footer"/>
      <w:pBdr>
        <w:top w:val="single" w:sz="4" w:space="1" w:color="0099CC"/>
      </w:pBdr>
      <w:spacing w:line="240" w:lineRule="auto"/>
      <w:rPr>
        <w:sz w:val="2"/>
        <w:szCs w:val="2"/>
      </w:rPr>
    </w:pPr>
  </w:p>
  <w:p w14:paraId="288D4D08" w14:textId="77777777" w:rsidR="00854EF5" w:rsidRDefault="00854EF5" w:rsidP="009255CB">
    <w:pPr>
      <w:pStyle w:val="Footer"/>
      <w:spacing w:before="60"/>
    </w:pPr>
    <w:r>
      <w:fldChar w:fldCharType="begin"/>
    </w:r>
    <w:r>
      <w:instrText xml:space="preserve"> PAGE   \* MERGEFORMAT </w:instrText>
    </w:r>
    <w:r>
      <w:fldChar w:fldCharType="separate"/>
    </w:r>
    <w:r w:rsidR="00A6605E">
      <w:rPr>
        <w:noProof/>
      </w:rPr>
      <w:t>73</w:t>
    </w:r>
    <w:r>
      <w:rPr>
        <w:noProof/>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3F7323" w14:textId="77777777" w:rsidR="00854EF5" w:rsidRDefault="00854EF5" w:rsidP="00127572">
    <w:pPr>
      <w:pStyle w:val="Footer"/>
      <w:pBdr>
        <w:top w:val="single" w:sz="4" w:space="1" w:color="0099CC"/>
      </w:pBdr>
      <w:spacing w:before="240" w:line="80" w:lineRule="exact"/>
    </w:pPr>
  </w:p>
  <w:p w14:paraId="2830B37F" w14:textId="77777777" w:rsidR="00854EF5" w:rsidRDefault="00854EF5" w:rsidP="0039253E">
    <w:pPr>
      <w:pStyle w:val="Footer"/>
    </w:pPr>
    <w:r>
      <w:fldChar w:fldCharType="begin"/>
    </w:r>
    <w:r>
      <w:instrText xml:space="preserve"> PAGE   \* MERGEFORMAT </w:instrText>
    </w:r>
    <w:r>
      <w:fldChar w:fldCharType="separate"/>
    </w:r>
    <w:r w:rsidR="00A6605E">
      <w:rPr>
        <w:noProof/>
      </w:rPr>
      <w:t>83</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6232025"/>
      <w:docPartObj>
        <w:docPartGallery w:val="Page Numbers (Bottom of Page)"/>
        <w:docPartUnique/>
      </w:docPartObj>
    </w:sdtPr>
    <w:sdtEndPr>
      <w:rPr>
        <w:noProof/>
      </w:rPr>
    </w:sdtEndPr>
    <w:sdtContent>
      <w:p w14:paraId="44D0599A" w14:textId="77777777" w:rsidR="00854EF5" w:rsidRDefault="00854EF5" w:rsidP="00835BC4">
        <w:pPr>
          <w:pStyle w:val="Footer"/>
          <w:pBdr>
            <w:top w:val="single" w:sz="4" w:space="1" w:color="0099CC"/>
          </w:pBdr>
        </w:pPr>
        <w:r>
          <w:fldChar w:fldCharType="begin"/>
        </w:r>
        <w:r>
          <w:instrText xml:space="preserve"> PAGE   \* MERGEFORMAT </w:instrText>
        </w:r>
        <w:r>
          <w:fldChar w:fldCharType="separate"/>
        </w:r>
        <w:r>
          <w:rPr>
            <w:noProof/>
          </w:rPr>
          <w:t>i</w:t>
        </w:r>
        <w:r>
          <w:rPr>
            <w:noProof/>
          </w:rPr>
          <w:fldChar w:fldCharType="end"/>
        </w:r>
      </w:p>
    </w:sdtContent>
  </w:sdt>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812687" w14:textId="77777777" w:rsidR="00854EF5" w:rsidRDefault="00854EF5" w:rsidP="00127572">
    <w:pPr>
      <w:pStyle w:val="Footer"/>
      <w:pBdr>
        <w:top w:val="single" w:sz="4" w:space="1" w:color="0099CC"/>
      </w:pBdr>
      <w:spacing w:before="240" w:line="80" w:lineRule="exact"/>
    </w:pPr>
  </w:p>
  <w:p w14:paraId="1AAFF05F" w14:textId="77777777" w:rsidR="00854EF5" w:rsidRDefault="00854EF5" w:rsidP="0039253E">
    <w:pPr>
      <w:pStyle w:val="Footer"/>
    </w:pPr>
    <w:r>
      <w:fldChar w:fldCharType="begin"/>
    </w:r>
    <w:r>
      <w:instrText xml:space="preserve"> PAGE   \* MERGEFORMAT </w:instrText>
    </w:r>
    <w:r>
      <w:fldChar w:fldCharType="separate"/>
    </w:r>
    <w:r w:rsidR="00A6605E">
      <w:rPr>
        <w:noProof/>
      </w:rPr>
      <w:t>89</w:t>
    </w:r>
    <w:r>
      <w:rPr>
        <w:noProof/>
      </w:rP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8CE5A0" w14:textId="77777777" w:rsidR="00854EF5" w:rsidRDefault="00854EF5" w:rsidP="00127572">
    <w:pPr>
      <w:pStyle w:val="Footer"/>
      <w:pBdr>
        <w:top w:val="single" w:sz="4" w:space="1" w:color="0099CC"/>
      </w:pBdr>
      <w:spacing w:before="240" w:line="80" w:lineRule="exact"/>
    </w:pPr>
  </w:p>
  <w:p w14:paraId="3C520364" w14:textId="77777777" w:rsidR="00854EF5" w:rsidRDefault="00854EF5" w:rsidP="0039253E">
    <w:pPr>
      <w:pStyle w:val="Footer"/>
    </w:pPr>
    <w:r>
      <w:fldChar w:fldCharType="begin"/>
    </w:r>
    <w:r>
      <w:instrText xml:space="preserve"> PAGE   \* MERGEFORMAT </w:instrText>
    </w:r>
    <w:r>
      <w:fldChar w:fldCharType="separate"/>
    </w:r>
    <w:r w:rsidR="00A6605E">
      <w:rPr>
        <w:noProof/>
      </w:rPr>
      <w:t>92</w:t>
    </w:r>
    <w:r>
      <w:rPr>
        <w:noProof/>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78129B" w14:textId="77777777" w:rsidR="00854EF5" w:rsidRDefault="00854EF5" w:rsidP="00200CAD">
    <w:pPr>
      <w:pStyle w:val="Footer"/>
      <w:pBdr>
        <w:top w:val="single" w:sz="4" w:space="1" w:color="0099CC"/>
      </w:pBdr>
      <w:spacing w:line="80" w:lineRule="exact"/>
    </w:pPr>
  </w:p>
  <w:p w14:paraId="176E74CA" w14:textId="77777777" w:rsidR="00854EF5" w:rsidRPr="00E776BA" w:rsidRDefault="00854EF5" w:rsidP="00200CAD">
    <w:pPr>
      <w:pStyle w:val="Footer"/>
      <w:rPr>
        <w:rFonts w:asciiTheme="majorHAnsi" w:hAnsiTheme="majorHAnsi" w:cstheme="majorHAnsi"/>
      </w:rPr>
    </w:pPr>
    <w:r w:rsidRPr="00C16ACF">
      <w:rPr>
        <w:rFonts w:asciiTheme="majorHAnsi" w:hAnsiTheme="majorHAnsi" w:cstheme="majorHAnsi"/>
      </w:rPr>
      <w:fldChar w:fldCharType="begin"/>
    </w:r>
    <w:r w:rsidRPr="00C16ACF">
      <w:rPr>
        <w:rFonts w:asciiTheme="majorHAnsi" w:hAnsiTheme="majorHAnsi" w:cstheme="majorHAnsi"/>
      </w:rPr>
      <w:instrText xml:space="preserve"> PAGE  \* Arabic  \* MERGEFORMAT </w:instrText>
    </w:r>
    <w:r w:rsidRPr="00C16ACF">
      <w:rPr>
        <w:rFonts w:asciiTheme="majorHAnsi" w:hAnsiTheme="majorHAnsi" w:cstheme="majorHAnsi"/>
      </w:rPr>
      <w:fldChar w:fldCharType="separate"/>
    </w:r>
    <w:r w:rsidR="00A6605E">
      <w:rPr>
        <w:rFonts w:asciiTheme="majorHAnsi" w:hAnsiTheme="majorHAnsi" w:cstheme="majorHAnsi"/>
        <w:noProof/>
      </w:rPr>
      <w:t>101</w:t>
    </w:r>
    <w:r w:rsidRPr="00C16ACF">
      <w:rPr>
        <w:rFonts w:asciiTheme="majorHAnsi" w:hAnsiTheme="majorHAnsi" w:cstheme="majorHAnsi"/>
      </w:rP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3C01D4" w14:textId="77777777" w:rsidR="00854EF5" w:rsidRPr="00A36966" w:rsidRDefault="00854EF5" w:rsidP="00200CAD">
    <w:pPr>
      <w:rPr>
        <w:sz w:val="2"/>
        <w:szCs w:val="2"/>
      </w:rPr>
    </w:pPr>
  </w:p>
  <w:p w14:paraId="631F04B2" w14:textId="77777777" w:rsidR="00854EF5" w:rsidRDefault="00854EF5" w:rsidP="00200CAD">
    <w:pPr>
      <w:pStyle w:val="Footer"/>
      <w:pBdr>
        <w:top w:val="single" w:sz="4" w:space="1" w:color="0099CC"/>
      </w:pBdr>
      <w:spacing w:line="80" w:lineRule="exact"/>
    </w:pPr>
  </w:p>
  <w:p w14:paraId="380402F9" w14:textId="77777777" w:rsidR="00854EF5" w:rsidRPr="003A6B52" w:rsidRDefault="00854EF5" w:rsidP="00200CAD">
    <w:pPr>
      <w:pStyle w:val="Footer"/>
      <w:tabs>
        <w:tab w:val="left" w:pos="5592"/>
        <w:tab w:val="center" w:pos="7242"/>
      </w:tabs>
      <w:rPr>
        <w:rFonts w:asciiTheme="majorHAnsi" w:hAnsiTheme="majorHAnsi" w:cstheme="majorHAnsi"/>
      </w:rPr>
    </w:pPr>
    <w:r w:rsidRPr="003A6B52">
      <w:rPr>
        <w:rFonts w:asciiTheme="majorHAnsi" w:hAnsiTheme="majorHAnsi" w:cstheme="majorHAnsi"/>
      </w:rPr>
      <w:fldChar w:fldCharType="begin"/>
    </w:r>
    <w:r w:rsidRPr="003A6B52">
      <w:rPr>
        <w:rFonts w:asciiTheme="majorHAnsi" w:hAnsiTheme="majorHAnsi" w:cstheme="majorHAnsi"/>
      </w:rPr>
      <w:instrText xml:space="preserve"> PAGE   \* MERGEFORMAT </w:instrText>
    </w:r>
    <w:r w:rsidRPr="003A6B52">
      <w:rPr>
        <w:rFonts w:asciiTheme="majorHAnsi" w:hAnsiTheme="majorHAnsi" w:cstheme="majorHAnsi"/>
      </w:rPr>
      <w:fldChar w:fldCharType="separate"/>
    </w:r>
    <w:r>
      <w:rPr>
        <w:rFonts w:asciiTheme="majorHAnsi" w:hAnsiTheme="majorHAnsi" w:cstheme="majorHAnsi"/>
        <w:noProof/>
      </w:rPr>
      <w:t>1</w:t>
    </w:r>
    <w:r w:rsidRPr="003A6B52">
      <w:rPr>
        <w:rFonts w:asciiTheme="majorHAnsi" w:hAnsiTheme="majorHAnsi" w:cstheme="majorHAnsi"/>
        <w:noProof/>
      </w:rPr>
      <w:fldChar w:fldCharType="end"/>
    </w:r>
  </w:p>
  <w:p w14:paraId="0CF2C9ED" w14:textId="77777777" w:rsidR="00854EF5" w:rsidRDefault="00854EF5"/>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22AEA" w14:textId="77777777" w:rsidR="00854EF5" w:rsidRDefault="00854EF5" w:rsidP="00887CBF">
    <w:pPr>
      <w:pStyle w:val="Footer"/>
      <w:pBdr>
        <w:top w:val="single" w:sz="4" w:space="1" w:color="0099CC"/>
      </w:pBdr>
      <w:spacing w:line="80" w:lineRule="exact"/>
    </w:pPr>
  </w:p>
  <w:p w14:paraId="5404F28D" w14:textId="77777777" w:rsidR="00854EF5" w:rsidRDefault="00854EF5" w:rsidP="00BD7ADE">
    <w:pPr>
      <w:pStyle w:val="Footer"/>
      <w:rPr>
        <w:noProof/>
      </w:rPr>
    </w:pPr>
    <w:r>
      <w:fldChar w:fldCharType="begin"/>
    </w:r>
    <w:r>
      <w:instrText xml:space="preserve"> PAGE   \* MERGEFORMAT </w:instrText>
    </w:r>
    <w:r>
      <w:fldChar w:fldCharType="separate"/>
    </w:r>
    <w:r w:rsidR="00A6605E">
      <w:rPr>
        <w:noProof/>
      </w:rPr>
      <w:t>130</w:t>
    </w:r>
    <w:r>
      <w:rPr>
        <w:noProof/>
      </w:rPr>
      <w:fldChar w:fldCharType="end"/>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EA36F4" w14:textId="77777777" w:rsidR="00854EF5" w:rsidRDefault="00854EF5" w:rsidP="00887CBF">
    <w:pPr>
      <w:pStyle w:val="Footer"/>
      <w:pBdr>
        <w:top w:val="single" w:sz="4" w:space="1" w:color="0099CC"/>
      </w:pBdr>
      <w:spacing w:line="80" w:lineRule="exact"/>
    </w:pPr>
  </w:p>
  <w:p w14:paraId="244B0E8D" w14:textId="77777777" w:rsidR="00854EF5" w:rsidRDefault="00854EF5" w:rsidP="00BD7ADE">
    <w:pPr>
      <w:pStyle w:val="Footer"/>
      <w:rPr>
        <w:noProof/>
      </w:rPr>
    </w:pPr>
    <w:r>
      <w:fldChar w:fldCharType="begin"/>
    </w:r>
    <w:r>
      <w:instrText xml:space="preserve"> PAGE   \* MERGEFORMAT </w:instrText>
    </w:r>
    <w:r>
      <w:fldChar w:fldCharType="separate"/>
    </w:r>
    <w:r w:rsidR="00A6605E">
      <w:rPr>
        <w:noProof/>
      </w:rPr>
      <w:t>133</w:t>
    </w:r>
    <w:r>
      <w:rPr>
        <w:noProof/>
      </w:rPr>
      <w:fldChar w:fldCharType="end"/>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0D8597" w14:textId="77777777" w:rsidR="00854EF5" w:rsidRDefault="00854EF5" w:rsidP="00887CBF">
    <w:pPr>
      <w:pStyle w:val="Footer"/>
      <w:pBdr>
        <w:top w:val="single" w:sz="4" w:space="1" w:color="0099CC"/>
      </w:pBdr>
      <w:spacing w:line="80" w:lineRule="exact"/>
    </w:pPr>
  </w:p>
  <w:p w14:paraId="76CADE93" w14:textId="77777777" w:rsidR="00854EF5" w:rsidRDefault="00854EF5" w:rsidP="00BD7ADE">
    <w:pPr>
      <w:pStyle w:val="Footer"/>
      <w:rPr>
        <w:noProof/>
      </w:rPr>
    </w:pPr>
    <w:r>
      <w:fldChar w:fldCharType="begin"/>
    </w:r>
    <w:r>
      <w:instrText xml:space="preserve"> PAGE   \* MERGEFORMAT </w:instrText>
    </w:r>
    <w:r>
      <w:fldChar w:fldCharType="separate"/>
    </w:r>
    <w:r w:rsidR="00A6605E">
      <w:rPr>
        <w:noProof/>
      </w:rPr>
      <w:t>135</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9DE1CF" w14:textId="77777777" w:rsidR="00854EF5" w:rsidRDefault="00854EF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693D40" w14:textId="77777777" w:rsidR="00854EF5" w:rsidRDefault="00854EF5" w:rsidP="00C04CFF">
    <w:pPr>
      <w:pStyle w:val="Footer"/>
      <w:pBdr>
        <w:top w:val="single" w:sz="4" w:space="1" w:color="0099CC"/>
      </w:pBdr>
      <w:spacing w:line="80" w:lineRule="exact"/>
    </w:pPr>
  </w:p>
  <w:p w14:paraId="505F92E5" w14:textId="77777777" w:rsidR="00854EF5" w:rsidRPr="003B6692" w:rsidRDefault="00854EF5" w:rsidP="003B6692">
    <w:pPr>
      <w:pStyle w:val="Footer"/>
    </w:pPr>
    <w:r>
      <w:fldChar w:fldCharType="begin"/>
    </w:r>
    <w:r>
      <w:instrText xml:space="preserve"> PAGE   \* MERGEFORMAT </w:instrText>
    </w:r>
    <w:r>
      <w:fldChar w:fldCharType="separate"/>
    </w:r>
    <w:r w:rsidR="00A6605E">
      <w:rPr>
        <w:noProof/>
      </w:rPr>
      <w:t>ii</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94E90C" w14:textId="77777777" w:rsidR="00854EF5" w:rsidRDefault="00854EF5" w:rsidP="00986954">
    <w:pPr>
      <w:pStyle w:val="Footer"/>
      <w:pBdr>
        <w:top w:val="single" w:sz="4" w:space="1" w:color="0099CC"/>
      </w:pBdr>
      <w:spacing w:line="80" w:lineRule="exact"/>
    </w:pPr>
  </w:p>
  <w:p w14:paraId="24BD2B48" w14:textId="77777777" w:rsidR="00854EF5" w:rsidRPr="003B6692" w:rsidRDefault="00854EF5" w:rsidP="003B6692">
    <w:pPr>
      <w:pStyle w:val="Footer"/>
    </w:pPr>
    <w:r>
      <w:fldChar w:fldCharType="begin"/>
    </w:r>
    <w:r>
      <w:instrText xml:space="preserve"> PAGE   \* MERGEFORMAT </w:instrText>
    </w:r>
    <w:r>
      <w:fldChar w:fldCharType="separate"/>
    </w:r>
    <w:r w:rsidR="00A6605E">
      <w:rPr>
        <w:noProof/>
      </w:rPr>
      <w:t>vii</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600E6D" w14:textId="77777777" w:rsidR="00854EF5" w:rsidRDefault="00854EF5" w:rsidP="00C0654C">
    <w:pPr>
      <w:pStyle w:val="Footer"/>
      <w:pBdr>
        <w:top w:val="single" w:sz="4" w:space="1" w:color="0099CC"/>
      </w:pBdr>
      <w:spacing w:before="240" w:line="80" w:lineRule="exact"/>
    </w:pPr>
  </w:p>
  <w:p w14:paraId="2416546D" w14:textId="77777777" w:rsidR="00854EF5" w:rsidRDefault="00854EF5" w:rsidP="001B5338">
    <w:pPr>
      <w:pStyle w:val="Footer"/>
    </w:pPr>
    <w:r>
      <w:fldChar w:fldCharType="begin"/>
    </w:r>
    <w:r>
      <w:instrText xml:space="preserve"> PAGE   \* MERGEFORMAT </w:instrText>
    </w:r>
    <w:r>
      <w:fldChar w:fldCharType="separate"/>
    </w:r>
    <w:r w:rsidR="00A6605E">
      <w:rPr>
        <w:noProof/>
      </w:rPr>
      <w:t>3</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67A124" w14:textId="77777777" w:rsidR="00854EF5" w:rsidRDefault="00854EF5" w:rsidP="00C0654C">
    <w:pPr>
      <w:pStyle w:val="Footer"/>
      <w:pBdr>
        <w:top w:val="single" w:sz="4" w:space="1" w:color="0099CC"/>
      </w:pBdr>
      <w:spacing w:before="240" w:line="80" w:lineRule="exact"/>
    </w:pPr>
  </w:p>
  <w:p w14:paraId="599D9A59" w14:textId="77777777" w:rsidR="00854EF5" w:rsidRDefault="00854EF5" w:rsidP="001B5338">
    <w:pPr>
      <w:pStyle w:val="Footer"/>
    </w:pPr>
    <w:r>
      <w:fldChar w:fldCharType="begin"/>
    </w:r>
    <w:r>
      <w:instrText xml:space="preserve"> PAGE   \* MERGEFORMAT </w:instrText>
    </w:r>
    <w:r>
      <w:fldChar w:fldCharType="separate"/>
    </w:r>
    <w:r w:rsidR="00A6605E">
      <w:rPr>
        <w:noProof/>
      </w:rPr>
      <w:t>6</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1D613F" w14:textId="77777777" w:rsidR="00854EF5" w:rsidRDefault="00854EF5" w:rsidP="00C0654C">
    <w:pPr>
      <w:pStyle w:val="Footer"/>
      <w:pBdr>
        <w:top w:val="single" w:sz="4" w:space="1" w:color="0099CC"/>
      </w:pBdr>
      <w:spacing w:before="240" w:line="80" w:lineRule="exact"/>
    </w:pPr>
  </w:p>
  <w:p w14:paraId="5C286B8D" w14:textId="77777777" w:rsidR="00854EF5" w:rsidRDefault="00854EF5" w:rsidP="004B3D51">
    <w:pPr>
      <w:pStyle w:val="Footer"/>
    </w:pPr>
    <w:r>
      <w:fldChar w:fldCharType="begin"/>
    </w:r>
    <w:r>
      <w:instrText xml:space="preserve"> PAGE   \* MERGEFORMAT </w:instrText>
    </w:r>
    <w:r>
      <w:fldChar w:fldCharType="separate"/>
    </w:r>
    <w:r w:rsidR="00A6605E">
      <w:rPr>
        <w:noProof/>
      </w:rPr>
      <w:t>8</w:t>
    </w:r>
    <w:r>
      <w:rPr>
        <w:noProof/>
      </w:rPr>
      <w:fldChar w:fldCharType="end"/>
    </w:r>
  </w:p>
  <w:p w14:paraId="15B2ECDF" w14:textId="77777777" w:rsidR="00854EF5" w:rsidRDefault="00854EF5"/>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3965FF" w14:textId="77777777" w:rsidR="00854EF5" w:rsidRDefault="00854EF5" w:rsidP="00C0654C">
    <w:pPr>
      <w:pStyle w:val="Footer"/>
      <w:pBdr>
        <w:top w:val="single" w:sz="4" w:space="1" w:color="0099CC"/>
      </w:pBdr>
      <w:spacing w:before="240" w:line="80" w:lineRule="exact"/>
    </w:pPr>
  </w:p>
  <w:p w14:paraId="340AA0CF" w14:textId="77777777" w:rsidR="00854EF5" w:rsidRDefault="00854EF5" w:rsidP="001B5338">
    <w:pPr>
      <w:pStyle w:val="Footer"/>
    </w:pPr>
    <w:r>
      <w:fldChar w:fldCharType="begin"/>
    </w:r>
    <w:r>
      <w:instrText xml:space="preserve"> PAGE   \* MERGEFORMAT </w:instrText>
    </w:r>
    <w:r>
      <w:fldChar w:fldCharType="separate"/>
    </w:r>
    <w:r w:rsidR="00A6605E">
      <w:rPr>
        <w:noProof/>
      </w:rPr>
      <w:t>9</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F8B046" w14:textId="77777777" w:rsidR="00854EF5" w:rsidRPr="0022372B" w:rsidRDefault="00854EF5" w:rsidP="0022372B">
      <w:pPr>
        <w:pStyle w:val="Footer"/>
        <w:spacing w:after="80" w:line="240" w:lineRule="auto"/>
        <w:jc w:val="left"/>
        <w:rPr>
          <w:color w:val="A9A8A9" w:themeColor="accent4"/>
          <w:sz w:val="16"/>
          <w:szCs w:val="16"/>
        </w:rPr>
      </w:pPr>
      <w:bookmarkStart w:id="0" w:name="_Hlk483247236"/>
      <w:bookmarkEnd w:id="0"/>
      <w:r w:rsidRPr="0022372B">
        <w:rPr>
          <w:color w:val="A9A8A9" w:themeColor="accent4"/>
          <w:sz w:val="16"/>
          <w:szCs w:val="16"/>
        </w:rPr>
        <w:t>_________________________________</w:t>
      </w:r>
    </w:p>
  </w:footnote>
  <w:footnote w:type="continuationSeparator" w:id="0">
    <w:p w14:paraId="4223F9F2" w14:textId="77777777" w:rsidR="00854EF5" w:rsidRPr="0022372B" w:rsidRDefault="00854EF5"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Notice" w:id="1">
    <w:p w14:paraId="0B3D3DF6" w14:textId="77777777" w:rsidR="00854EF5" w:rsidRPr="00A176B6" w:rsidRDefault="00854EF5" w:rsidP="00A176B6">
      <w:pPr>
        <w:spacing w:line="160" w:lineRule="exact"/>
        <w:rPr>
          <w:sz w:val="16"/>
          <w:szCs w:val="16"/>
        </w:rPr>
      </w:pPr>
    </w:p>
  </w:footnote>
  <w:footnote w:id="2">
    <w:p w14:paraId="0291F826" w14:textId="77777777" w:rsidR="00854EF5" w:rsidRPr="00983327" w:rsidRDefault="00854EF5" w:rsidP="00A658E6">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COAG Energy Council, Bulletin Two: Gas Market Reform Package, August 2016.</w:t>
      </w:r>
    </w:p>
  </w:footnote>
  <w:footnote w:id="3">
    <w:p w14:paraId="34E97843" w14:textId="77777777" w:rsidR="00854EF5" w:rsidRPr="00983327" w:rsidRDefault="00854EF5" w:rsidP="00A658E6">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 xml:space="preserve">The contract carriage model is in place on all pipelines and compression facilities operating outside the Declared Transmission System in Victoria. </w:t>
      </w:r>
    </w:p>
  </w:footnote>
  <w:footnote w:id="4">
    <w:p w14:paraId="7BB76D7E" w14:textId="77777777" w:rsidR="00854EF5" w:rsidRPr="00983327" w:rsidRDefault="00854EF5" w:rsidP="001B5338">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COAG Energy Council, Australian Gas Market Vision, December 2014.</w:t>
      </w:r>
    </w:p>
  </w:footnote>
  <w:footnote w:id="5">
    <w:p w14:paraId="46F072BC" w14:textId="77777777" w:rsidR="00854EF5" w:rsidRPr="00983327" w:rsidRDefault="00854EF5" w:rsidP="001B5338">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 xml:space="preserve">GMRG, Final Recommendations on the Operations and Administration of the Transportation Capacity Trading Platform and Day-Ahead Action, June 2017. </w:t>
      </w:r>
    </w:p>
  </w:footnote>
  <w:footnote w:id="6">
    <w:p w14:paraId="116E68CC" w14:textId="77777777" w:rsidR="00854EF5" w:rsidRPr="00983327" w:rsidRDefault="00854EF5" w:rsidP="001B5338">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 xml:space="preserve">GMRG, Final Recommendations on the Capacity Trading Reform Package (Standardisation, capacity trading platform and reporting framework for secondary trades), November 2017. </w:t>
      </w:r>
    </w:p>
  </w:footnote>
  <w:footnote w:id="7">
    <w:p w14:paraId="53B70D0F" w14:textId="77777777" w:rsidR="00854EF5" w:rsidRPr="00983327" w:rsidRDefault="00854EF5" w:rsidP="001B5338">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 xml:space="preserve">GMRG, Final Recommendations on the Design of the Day-Ahead Auction of Contracted but Un-Nominated Capacity, December 2017.  </w:t>
      </w:r>
    </w:p>
  </w:footnote>
  <w:footnote w:id="8">
    <w:p w14:paraId="307CE612" w14:textId="77777777" w:rsidR="00854EF5" w:rsidRPr="00983327" w:rsidRDefault="00854EF5">
      <w:pPr>
        <w:pStyle w:val="FootnoteText"/>
        <w:rPr>
          <w:szCs w:val="16"/>
          <w:lang w:val="en-US"/>
        </w:rPr>
      </w:pPr>
      <w:r w:rsidRPr="00983327">
        <w:rPr>
          <w:rStyle w:val="FootnoteReference"/>
          <w:szCs w:val="16"/>
        </w:rPr>
        <w:footnoteRef/>
      </w:r>
      <w:r w:rsidRPr="00983327">
        <w:rPr>
          <w:szCs w:val="16"/>
        </w:rPr>
        <w:t xml:space="preserve"> </w:t>
      </w:r>
      <w:r w:rsidRPr="00983327">
        <w:rPr>
          <w:szCs w:val="16"/>
          <w:lang w:val="en-US"/>
        </w:rPr>
        <w:tab/>
      </w:r>
      <w:r w:rsidRPr="00983327">
        <w:rPr>
          <w:szCs w:val="16"/>
        </w:rPr>
        <w:t>The alignment of this size threshold with that adopted in the Bulletin Board was chosen in preference to the size threshold adopted in Part 23 of the NGR because alignment with the reporting obligations in the Bulletin Board is more important in this case than alignment with Part 23 of the NGR (i.e. because information published on the Bulletin Board will be important inputs into a shipper’s risk assessment). The size threshold in Part 23 was originally going to be aligned with the Bulletin Board size threshold and was only amended in response to feedback from distribution pipelines that they do not typically have a nameplate rating. To overcome this limitation the size threshold for Part 23 was set on the basis of actual flows. This limitation is not present in this case (i.e. because the reforms currently only apply to transmission pipelines), so the 10 TJ/day nameplate rating threshold has been adopted.</w:t>
      </w:r>
    </w:p>
  </w:footnote>
  <w:footnote w:id="9">
    <w:p w14:paraId="4293106A" w14:textId="77777777" w:rsidR="00854EF5" w:rsidRPr="00983327" w:rsidRDefault="00854EF5" w:rsidP="001B5338">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 xml:space="preserve">The facilities have been designated in the Regulations </w:t>
      </w:r>
      <w:r w:rsidRPr="00983327">
        <w:rPr>
          <w:rFonts w:cs="Arial"/>
          <w:szCs w:val="16"/>
        </w:rPr>
        <w:t>to overcome the difficulties associated with defining the facilities that are intended to be subject to the reforms from commencement. The application of the reforms to other stand-alone compression facilities that satisfy the relevant criteria in the NGL and NGR will be assessed using the exemptions framework in the NGR.</w:t>
      </w:r>
    </w:p>
  </w:footnote>
  <w:footnote w:id="10">
    <w:p w14:paraId="1EE97E1D" w14:textId="77777777" w:rsidR="00854EF5" w:rsidRPr="00983327" w:rsidRDefault="00854EF5" w:rsidP="001B5338">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r>
      <w:r w:rsidRPr="00983327">
        <w:rPr>
          <w:bCs/>
          <w:szCs w:val="16"/>
        </w:rPr>
        <w:t>For example, the obligation to give effect to operational transfers and to comply with the standardisation cost recovery principles.</w:t>
      </w:r>
    </w:p>
  </w:footnote>
  <w:footnote w:id="11">
    <w:p w14:paraId="7E97DC93" w14:textId="77777777" w:rsidR="00854EF5" w:rsidRPr="00983327" w:rsidRDefault="00854EF5" w:rsidP="001B5338">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This is the date the draft legal and regulatory framework was released for public consultation.</w:t>
      </w:r>
    </w:p>
  </w:footnote>
  <w:footnote w:id="12">
    <w:p w14:paraId="22F5DC87" w14:textId="77777777" w:rsidR="00854EF5" w:rsidRPr="00983327" w:rsidRDefault="00854EF5" w:rsidP="001B5338">
      <w:pPr>
        <w:pStyle w:val="ListBullet"/>
        <w:numPr>
          <w:ilvl w:val="0"/>
          <w:numId w:val="0"/>
        </w:numPr>
        <w:spacing w:beforeLines="20" w:before="48" w:after="0"/>
        <w:ind w:left="357" w:hanging="357"/>
        <w:rPr>
          <w:i/>
          <w:iCs/>
          <w:sz w:val="16"/>
          <w:szCs w:val="16"/>
        </w:rPr>
      </w:pPr>
      <w:r w:rsidRPr="00983327">
        <w:rPr>
          <w:rStyle w:val="FootnoteReference"/>
          <w:sz w:val="16"/>
          <w:szCs w:val="16"/>
        </w:rPr>
        <w:footnoteRef/>
      </w:r>
      <w:r w:rsidRPr="00983327">
        <w:rPr>
          <w:sz w:val="16"/>
          <w:szCs w:val="16"/>
        </w:rPr>
        <w:t xml:space="preserve"> </w:t>
      </w:r>
      <w:r w:rsidRPr="00983327">
        <w:rPr>
          <w:sz w:val="16"/>
          <w:szCs w:val="16"/>
        </w:rPr>
        <w:tab/>
        <w:t xml:space="preserve">See sections 291-293 of the NGL. </w:t>
      </w:r>
    </w:p>
  </w:footnote>
  <w:footnote w:id="13">
    <w:p w14:paraId="4D19FAE3" w14:textId="77777777" w:rsidR="00854EF5" w:rsidRPr="00983327" w:rsidRDefault="00854EF5" w:rsidP="001B5338">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 xml:space="preserve">AEMC, Stage 2 Final Report: East Coast </w:t>
      </w:r>
      <w:r w:rsidRPr="00983327">
        <w:rPr>
          <w:rFonts w:cs="Arial"/>
          <w:iCs/>
          <w:szCs w:val="16"/>
        </w:rPr>
        <w:t>Review, 23 May 2016,</w:t>
      </w:r>
      <w:r w:rsidRPr="00983327">
        <w:rPr>
          <w:szCs w:val="16"/>
        </w:rPr>
        <w:t xml:space="preserve"> pp. 67-69.</w:t>
      </w:r>
    </w:p>
  </w:footnote>
  <w:footnote w:id="14">
    <w:p w14:paraId="78BABA1E" w14:textId="77777777" w:rsidR="00854EF5" w:rsidRPr="00983327" w:rsidRDefault="00854EF5" w:rsidP="001B5338">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COAG Energy Council, Australian Gas Market Vision, December 2014.</w:t>
      </w:r>
    </w:p>
  </w:footnote>
  <w:footnote w:id="15">
    <w:p w14:paraId="2E830111"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Further detail on the derogation can be found in the Senior Committee of Officials’ Bulletin dated 3 July 2018.</w:t>
      </w:r>
    </w:p>
    <w:p w14:paraId="72CCBFDD" w14:textId="77777777" w:rsidR="00854EF5" w:rsidRPr="00983327" w:rsidRDefault="00854EF5">
      <w:pPr>
        <w:pStyle w:val="FootnoteText"/>
        <w:rPr>
          <w:szCs w:val="16"/>
        </w:rPr>
      </w:pPr>
      <w:r w:rsidRPr="00983327">
        <w:rPr>
          <w:szCs w:val="16"/>
        </w:rPr>
        <w:tab/>
        <w:t>http://www.coagenergycouncil.gov.au/publications/capacity-trading-reform-package-legal-and-regulatory-framework</w:t>
      </w:r>
    </w:p>
  </w:footnote>
  <w:footnote w:id="16">
    <w:p w14:paraId="21023F9C" w14:textId="77777777" w:rsidR="00854EF5" w:rsidRPr="00983327" w:rsidRDefault="00854EF5" w:rsidP="00D171D7">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 xml:space="preserve">AEMC, Stage 2 Final Report: East Coast </w:t>
      </w:r>
      <w:r w:rsidRPr="00983327">
        <w:rPr>
          <w:rFonts w:cs="Arial"/>
          <w:iCs/>
          <w:szCs w:val="16"/>
        </w:rPr>
        <w:t>Review, 23 May 2016,</w:t>
      </w:r>
      <w:r w:rsidRPr="00983327">
        <w:rPr>
          <w:szCs w:val="16"/>
        </w:rPr>
        <w:t xml:space="preserve"> pp. 67, 73 and 83.</w:t>
      </w:r>
    </w:p>
  </w:footnote>
  <w:footnote w:id="17">
    <w:p w14:paraId="6E4F0229" w14:textId="77777777" w:rsidR="00854EF5" w:rsidRPr="00983327" w:rsidRDefault="00854EF5" w:rsidP="00C74D87">
      <w:pPr>
        <w:pStyle w:val="FootnoteText"/>
        <w:rPr>
          <w:szCs w:val="16"/>
        </w:rPr>
      </w:pPr>
      <w:r w:rsidRPr="00983327">
        <w:rPr>
          <w:rStyle w:val="FootnoteReference"/>
          <w:szCs w:val="16"/>
        </w:rPr>
        <w:footnoteRef/>
      </w:r>
      <w:r w:rsidRPr="00983327">
        <w:rPr>
          <w:szCs w:val="16"/>
        </w:rPr>
        <w:t xml:space="preserve"> </w:t>
      </w:r>
      <w:r w:rsidRPr="00983327">
        <w:rPr>
          <w:szCs w:val="16"/>
        </w:rPr>
        <w:tab/>
        <w:t>Shippers will also be able to use other means to identify potential counterparties and enter into bilateral trades.</w:t>
      </w:r>
    </w:p>
  </w:footnote>
  <w:footnote w:id="18">
    <w:p w14:paraId="6812CB77"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WA has its own versions of the NGL and Rules under the </w:t>
      </w:r>
      <w:r w:rsidRPr="00983327">
        <w:rPr>
          <w:i/>
          <w:szCs w:val="16"/>
        </w:rPr>
        <w:t>National Gas Access (WA) Act 2009.</w:t>
      </w:r>
    </w:p>
  </w:footnote>
  <w:footnote w:id="19">
    <w:p w14:paraId="341475B7" w14:textId="77777777" w:rsidR="00854EF5" w:rsidRPr="00983327" w:rsidRDefault="00854EF5" w:rsidP="00AA7AFE">
      <w:pPr>
        <w:pStyle w:val="FootnoteText"/>
        <w:spacing w:before="0" w:after="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The Code objective is to provide for access to operational transportation services on reasonable terms, which is taken to mean at prices and on other terms and conditions that, so far as practical, reflect the outcomes of a workably competitive market.</w:t>
      </w:r>
    </w:p>
  </w:footnote>
  <w:footnote w:id="20">
    <w:p w14:paraId="0FF4AD06" w14:textId="77777777" w:rsidR="00854EF5" w:rsidRPr="00983327" w:rsidRDefault="00854EF5" w:rsidP="00AA7AFE">
      <w:pPr>
        <w:pStyle w:val="FootnoteText"/>
        <w:spacing w:before="0" w:after="0"/>
        <w:rPr>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r>
      <w:r w:rsidRPr="00983327">
        <w:rPr>
          <w:rFonts w:asciiTheme="majorHAnsi" w:hAnsiTheme="majorHAnsi" w:cstheme="majorHAnsi"/>
          <w:szCs w:val="16"/>
          <w:lang w:eastAsia="fr-CA"/>
        </w:rPr>
        <w:t>Consultation will be required unless the modification is non-material or urgently necessary to ensure the proper operation of the auction or the capacity trading platform, or the safe and reliable operation of one or more facilities.</w:t>
      </w:r>
    </w:p>
  </w:footnote>
  <w:footnote w:id="21">
    <w:p w14:paraId="389E73DB" w14:textId="77777777" w:rsidR="00854EF5" w:rsidRPr="00983327" w:rsidRDefault="00854EF5" w:rsidP="00AA7AFE">
      <w:pPr>
        <w:pStyle w:val="FootnoteText"/>
        <w:spacing w:before="40" w:after="4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 xml:space="preserve">The transaction support arrangements, for example, provide for AEMO to </w:t>
      </w:r>
      <w:r w:rsidRPr="00983327">
        <w:rPr>
          <w:rFonts w:asciiTheme="majorHAnsi" w:hAnsiTheme="majorHAnsi" w:cstheme="majorHAnsi"/>
          <w:szCs w:val="16"/>
          <w:lang w:eastAsia="fr-CA"/>
        </w:rPr>
        <w:t xml:space="preserve">notify </w:t>
      </w:r>
      <w:r w:rsidRPr="00983327">
        <w:rPr>
          <w:szCs w:val="16"/>
        </w:rPr>
        <w:t xml:space="preserve">transportation </w:t>
      </w:r>
      <w:r w:rsidRPr="00983327">
        <w:rPr>
          <w:rFonts w:asciiTheme="majorHAnsi" w:hAnsiTheme="majorHAnsi" w:cstheme="majorHAnsi"/>
          <w:szCs w:val="16"/>
          <w:lang w:eastAsia="fr-CA"/>
        </w:rPr>
        <w:t>service providers of trades conducted through the capacity trading platform and the auction and the exchange of other information to aid the transfer of capacity (e.g. the receipt and delivery point information).</w:t>
      </w:r>
    </w:p>
  </w:footnote>
  <w:footnote w:id="22">
    <w:p w14:paraId="31CF66A3" w14:textId="77777777" w:rsidR="00854EF5" w:rsidRPr="00983327" w:rsidRDefault="00854EF5" w:rsidP="00AA7AFE">
      <w:pPr>
        <w:pStyle w:val="FootnoteText"/>
        <w:spacing w:before="40" w:after="4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In this capacity, AEMO is responsible for developing and publishing the election procedures and operating manual for the Panel and maintaining a register of Panel members. AEMO is also responsible for receiving any proposed amendments to the Code and determining, in accordance with the NGR, whether the amendment should be referred to the Panel for assessment or rejected because it is misconceived or lacking in substance.</w:t>
      </w:r>
    </w:p>
  </w:footnote>
  <w:footnote w:id="23">
    <w:p w14:paraId="7CA13907" w14:textId="77777777" w:rsidR="00854EF5" w:rsidRPr="00983327" w:rsidRDefault="00854EF5" w:rsidP="00B4479F">
      <w:pPr>
        <w:pStyle w:val="FootnoteText"/>
        <w:spacing w:before="20" w:after="20"/>
        <w:rPr>
          <w:rFonts w:cs="Arial"/>
          <w:szCs w:val="16"/>
        </w:rPr>
      </w:pPr>
      <w:r w:rsidRPr="00983327">
        <w:rPr>
          <w:rStyle w:val="FootnoteReference"/>
          <w:rFonts w:cs="Arial"/>
          <w:szCs w:val="16"/>
        </w:rPr>
        <w:footnoteRef/>
      </w:r>
      <w:r w:rsidRPr="00983327">
        <w:rPr>
          <w:rFonts w:cs="Arial"/>
          <w:szCs w:val="16"/>
        </w:rPr>
        <w:t xml:space="preserve"> </w:t>
      </w:r>
      <w:r w:rsidRPr="00983327">
        <w:rPr>
          <w:rFonts w:cs="Arial"/>
          <w:szCs w:val="16"/>
        </w:rPr>
        <w:tab/>
        <w:t>The secondary capacity trading reporting obligations apply to trading parties rather than facilities. The exemptions set out here do not therefore apply to this reporting framework.</w:t>
      </w:r>
    </w:p>
  </w:footnote>
  <w:footnote w:id="24">
    <w:p w14:paraId="5015BC20" w14:textId="77777777" w:rsidR="00854EF5" w:rsidRPr="00983327" w:rsidRDefault="00854EF5" w:rsidP="00B4479F">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610 of the NGR.</w:t>
      </w:r>
    </w:p>
  </w:footnote>
  <w:footnote w:id="25">
    <w:p w14:paraId="6CDEF7C1" w14:textId="77777777" w:rsidR="00854EF5" w:rsidRPr="00983327" w:rsidRDefault="00854EF5" w:rsidP="00B4479F">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r>
      <w:r w:rsidRPr="00983327">
        <w:rPr>
          <w:szCs w:val="16"/>
          <w:lang w:eastAsia="fr-CA"/>
        </w:rPr>
        <w:t xml:space="preserve">The designated compression service facilities in the Regulations are the </w:t>
      </w:r>
      <w:r w:rsidRPr="00983327">
        <w:rPr>
          <w:rFonts w:cs="Arial"/>
          <w:szCs w:val="16"/>
        </w:rPr>
        <w:t>Wallumbilla and Moomba facilities operated by APA, the Iona facility operated by Lochard and the Ballera facility operated by Santos.</w:t>
      </w:r>
    </w:p>
  </w:footnote>
  <w:footnote w:id="26">
    <w:p w14:paraId="40D3A90A" w14:textId="77777777" w:rsidR="00854EF5" w:rsidRPr="00983327" w:rsidRDefault="00854EF5" w:rsidP="00B4479F">
      <w:pPr>
        <w:pStyle w:val="ListBullet"/>
        <w:numPr>
          <w:ilvl w:val="0"/>
          <w:numId w:val="0"/>
        </w:numPr>
        <w:spacing w:before="20" w:after="20"/>
        <w:ind w:left="360" w:hanging="360"/>
        <w:rPr>
          <w:b/>
          <w:sz w:val="16"/>
          <w:szCs w:val="16"/>
          <w:lang w:eastAsia="fr-CA"/>
        </w:rPr>
      </w:pPr>
      <w:r w:rsidRPr="00983327">
        <w:rPr>
          <w:rStyle w:val="FootnoteReference"/>
          <w:sz w:val="16"/>
          <w:szCs w:val="16"/>
        </w:rPr>
        <w:footnoteRef/>
      </w:r>
      <w:r w:rsidRPr="00983327">
        <w:rPr>
          <w:sz w:val="16"/>
          <w:szCs w:val="16"/>
        </w:rPr>
        <w:t xml:space="preserve"> </w:t>
      </w:r>
      <w:r w:rsidRPr="00983327">
        <w:rPr>
          <w:sz w:val="16"/>
          <w:szCs w:val="16"/>
        </w:rPr>
        <w:tab/>
      </w:r>
      <w:r w:rsidRPr="00983327">
        <w:rPr>
          <w:sz w:val="16"/>
          <w:szCs w:val="16"/>
          <w:lang w:eastAsia="fr-CA"/>
        </w:rPr>
        <w:t>A transportation facility (or the relevant part) will be considered a third party access facility if any transportation services on the transportation facility are offered or provided, directly or indirectly, to any person other than:</w:t>
      </w:r>
    </w:p>
    <w:p w14:paraId="1308BD47" w14:textId="77777777" w:rsidR="00854EF5" w:rsidRPr="00983327" w:rsidRDefault="00854EF5" w:rsidP="00EA491F">
      <w:pPr>
        <w:pStyle w:val="EMR-RSR-List-2-MNum"/>
        <w:numPr>
          <w:ilvl w:val="0"/>
          <w:numId w:val="48"/>
        </w:numPr>
        <w:spacing w:before="20" w:after="20"/>
        <w:rPr>
          <w:rFonts w:ascii="Arial" w:hAnsi="Arial" w:cs="Arial"/>
          <w:sz w:val="16"/>
          <w:szCs w:val="16"/>
        </w:rPr>
      </w:pPr>
      <w:r w:rsidRPr="00983327">
        <w:rPr>
          <w:rFonts w:ascii="Arial" w:hAnsi="Arial" w:cs="Arial"/>
          <w:sz w:val="16"/>
          <w:szCs w:val="16"/>
        </w:rPr>
        <w:t>the transportation service provider;</w:t>
      </w:r>
    </w:p>
    <w:p w14:paraId="5151FBB3" w14:textId="77777777" w:rsidR="00854EF5" w:rsidRPr="00983327" w:rsidRDefault="00854EF5" w:rsidP="00EA491F">
      <w:pPr>
        <w:pStyle w:val="EMR-RSR-List-2-MNum"/>
        <w:numPr>
          <w:ilvl w:val="0"/>
          <w:numId w:val="48"/>
        </w:numPr>
        <w:spacing w:before="20" w:after="20"/>
        <w:rPr>
          <w:rFonts w:ascii="Arial" w:hAnsi="Arial" w:cs="Arial"/>
          <w:sz w:val="16"/>
          <w:szCs w:val="16"/>
        </w:rPr>
      </w:pPr>
      <w:r w:rsidRPr="00983327">
        <w:rPr>
          <w:rFonts w:ascii="Arial" w:hAnsi="Arial" w:cs="Arial"/>
          <w:sz w:val="16"/>
          <w:szCs w:val="16"/>
        </w:rPr>
        <w:t>a related body corporate</w:t>
      </w:r>
      <w:r w:rsidRPr="00983327">
        <w:rPr>
          <w:rStyle w:val="FootnoteReference"/>
          <w:rFonts w:ascii="Arial" w:hAnsi="Arial" w:cs="Arial"/>
          <w:sz w:val="16"/>
          <w:szCs w:val="16"/>
        </w:rPr>
        <w:t xml:space="preserve"> </w:t>
      </w:r>
      <w:r w:rsidRPr="00983327">
        <w:rPr>
          <w:rFonts w:ascii="Arial" w:hAnsi="Arial" w:cs="Arial"/>
          <w:sz w:val="16"/>
          <w:szCs w:val="16"/>
        </w:rPr>
        <w:t xml:space="preserve">(as defined in the </w:t>
      </w:r>
      <w:r w:rsidRPr="00983327">
        <w:rPr>
          <w:rFonts w:ascii="Arial" w:hAnsi="Arial" w:cs="Arial"/>
          <w:i/>
          <w:sz w:val="16"/>
          <w:szCs w:val="16"/>
        </w:rPr>
        <w:t>Corporations Act 2001</w:t>
      </w:r>
      <w:r w:rsidRPr="00983327">
        <w:rPr>
          <w:rFonts w:ascii="Arial" w:hAnsi="Arial" w:cs="Arial"/>
          <w:sz w:val="16"/>
          <w:szCs w:val="16"/>
        </w:rPr>
        <w:t>) of the transportation service provider; or</w:t>
      </w:r>
    </w:p>
    <w:p w14:paraId="5131D0A0" w14:textId="77777777" w:rsidR="00854EF5" w:rsidRPr="00983327" w:rsidRDefault="00854EF5" w:rsidP="00EA491F">
      <w:pPr>
        <w:pStyle w:val="EMR-RSR-List-2-MNum"/>
        <w:numPr>
          <w:ilvl w:val="0"/>
          <w:numId w:val="48"/>
        </w:numPr>
        <w:spacing w:before="20" w:after="20"/>
        <w:rPr>
          <w:sz w:val="16"/>
          <w:szCs w:val="16"/>
        </w:rPr>
      </w:pPr>
      <w:r w:rsidRPr="00983327">
        <w:rPr>
          <w:rFonts w:ascii="Arial" w:hAnsi="Arial" w:cs="Arial"/>
          <w:sz w:val="16"/>
          <w:szCs w:val="16"/>
        </w:rPr>
        <w:t xml:space="preserve">a joint venture in which the transportation service provider or a related body corporate of the transportation service provider is a joint venture participant. </w:t>
      </w:r>
    </w:p>
  </w:footnote>
  <w:footnote w:id="27">
    <w:p w14:paraId="7F1D78B7" w14:textId="77777777" w:rsidR="00854EF5" w:rsidRPr="00983327" w:rsidRDefault="00854EF5" w:rsidP="00B4479F">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611 of the NGR.</w:t>
      </w:r>
    </w:p>
  </w:footnote>
  <w:footnote w:id="28">
    <w:p w14:paraId="28AD0895" w14:textId="77777777" w:rsidR="00854EF5" w:rsidRPr="00983327" w:rsidRDefault="00854EF5" w:rsidP="00B4479F">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rules 611, 634, 638 and 640-643 of the NGR.</w:t>
      </w:r>
    </w:p>
  </w:footnote>
  <w:footnote w:id="29">
    <w:p w14:paraId="112EF899" w14:textId="77777777" w:rsidR="00854EF5" w:rsidRPr="00983327" w:rsidRDefault="00854EF5" w:rsidP="00B4479F">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611 of the NGR.</w:t>
      </w:r>
    </w:p>
  </w:footnote>
  <w:footnote w:id="30">
    <w:p w14:paraId="5203CF76" w14:textId="77777777" w:rsidR="00854EF5" w:rsidRPr="00983327" w:rsidRDefault="00854EF5" w:rsidP="00B4479F">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A transportation facility is a single user facility if it is a third party access facility and all transportation services are provided to a single transportation facility user, taking into account transportation services provided both directly and indirectly by the transportation service provider.</w:t>
      </w:r>
    </w:p>
  </w:footnote>
  <w:footnote w:id="31">
    <w:p w14:paraId="773ABF73" w14:textId="77777777" w:rsidR="00854EF5" w:rsidRPr="00983327" w:rsidRDefault="00854EF5" w:rsidP="00E37109">
      <w:pPr>
        <w:pStyle w:val="FootnoteText"/>
        <w:spacing w:before="20" w:after="2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Given the costs a service provider could incur once the exemption is revoked, the NGR provides the AER with the discretion not to revoke the exemption if, for example, the shipper only enters into a relatively short-term OTSA (e.g. a three to six-month contract). See rule 613(2).</w:t>
      </w:r>
    </w:p>
  </w:footnote>
  <w:footnote w:id="32">
    <w:p w14:paraId="23CF99F6"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rules 611(3)-(4) of the NGR.</w:t>
      </w:r>
    </w:p>
  </w:footnote>
  <w:footnote w:id="33">
    <w:p w14:paraId="6E523D85"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611(1) of the NGR.</w:t>
      </w:r>
    </w:p>
  </w:footnote>
  <w:footnote w:id="34">
    <w:p w14:paraId="640EF846"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615 of the NGR.</w:t>
      </w:r>
    </w:p>
  </w:footnote>
  <w:footnote w:id="35">
    <w:p w14:paraId="2D577112"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611(2) of the NGR.</w:t>
      </w:r>
    </w:p>
  </w:footnote>
  <w:footnote w:id="36">
    <w:p w14:paraId="0E9978A3" w14:textId="77777777" w:rsidR="00854EF5" w:rsidRPr="00983327" w:rsidRDefault="00854EF5" w:rsidP="00212859">
      <w:pPr>
        <w:pStyle w:val="FootnoteText"/>
        <w:spacing w:before="20" w:after="2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 xml:space="preserve">The AER would not be able to use this power to grant an exemption to transmission pipelines that have obtained a size based threshold under Part 23 because the size thresholds differ under the capacity trading reform package. </w:t>
      </w:r>
    </w:p>
  </w:footnote>
  <w:footnote w:id="37">
    <w:p w14:paraId="30B5C86D" w14:textId="77777777" w:rsidR="00854EF5" w:rsidRPr="00983327" w:rsidRDefault="00854EF5" w:rsidP="00212859">
      <w:pPr>
        <w:pStyle w:val="FootnoteText"/>
        <w:spacing w:before="20" w:after="20"/>
        <w:rPr>
          <w:rFonts w:cs="Arial"/>
          <w:szCs w:val="16"/>
        </w:rPr>
      </w:pPr>
      <w:r w:rsidRPr="00983327">
        <w:rPr>
          <w:rStyle w:val="FootnoteReference"/>
          <w:rFonts w:cs="Arial"/>
          <w:szCs w:val="16"/>
        </w:rPr>
        <w:footnoteRef/>
      </w:r>
      <w:r w:rsidRPr="00983327">
        <w:rPr>
          <w:rFonts w:cs="Arial"/>
          <w:szCs w:val="16"/>
        </w:rPr>
        <w:t xml:space="preserve"> </w:t>
      </w:r>
      <w:r w:rsidRPr="00983327">
        <w:rPr>
          <w:rFonts w:cs="Arial"/>
          <w:szCs w:val="16"/>
        </w:rPr>
        <w:tab/>
        <w:t>An eligible request is a request made by a prospective secondary shipper who meets the eligibility criteria set out in rule 636(5) of the NGR and who intends to enter into the standard OTSA and use its reasonable endeavours to procure transportation capacity on the transportation facility. See rule 611(6) of the NGR.</w:t>
      </w:r>
    </w:p>
  </w:footnote>
  <w:footnote w:id="38">
    <w:p w14:paraId="48D6D4D0"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611(6) of the NGR.</w:t>
      </w:r>
    </w:p>
  </w:footnote>
  <w:footnote w:id="39">
    <w:p w14:paraId="74AF19E2"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612 of the NGR.</w:t>
      </w:r>
    </w:p>
  </w:footnote>
  <w:footnote w:id="40">
    <w:p w14:paraId="7C80E9A2" w14:textId="77777777" w:rsidR="00854EF5" w:rsidRPr="00983327" w:rsidRDefault="00854EF5" w:rsidP="00212859">
      <w:pPr>
        <w:pStyle w:val="FootnoteText"/>
        <w:spacing w:before="20" w:after="20"/>
        <w:rPr>
          <w:rFonts w:cs="Arial"/>
          <w:szCs w:val="16"/>
        </w:rPr>
      </w:pPr>
      <w:r w:rsidRPr="00983327">
        <w:rPr>
          <w:rStyle w:val="FootnoteReference"/>
          <w:rFonts w:cs="Arial"/>
          <w:szCs w:val="16"/>
        </w:rPr>
        <w:footnoteRef/>
      </w:r>
      <w:r w:rsidRPr="00983327">
        <w:rPr>
          <w:rFonts w:cs="Arial"/>
          <w:szCs w:val="16"/>
        </w:rPr>
        <w:t xml:space="preserve"> </w:t>
      </w:r>
      <w:r w:rsidRPr="00983327">
        <w:rPr>
          <w:rFonts w:cs="Arial"/>
          <w:szCs w:val="16"/>
        </w:rPr>
        <w:tab/>
        <w:t xml:space="preserve">The AER may vary the conditions of an exemption </w:t>
      </w:r>
      <w:r w:rsidRPr="00983327">
        <w:rPr>
          <w:rFonts w:eastAsiaTheme="minorEastAsia" w:cs="Arial"/>
          <w:szCs w:val="16"/>
        </w:rPr>
        <w:t>on the application of the service provider, or on its own initiative. See rule 612(3) of the NGR.</w:t>
      </w:r>
    </w:p>
  </w:footnote>
  <w:footnote w:id="41">
    <w:p w14:paraId="788FF9D6"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611(10) of the NGR.</w:t>
      </w:r>
    </w:p>
  </w:footnote>
  <w:footnote w:id="42">
    <w:p w14:paraId="46708F09"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613 of the NGR.</w:t>
      </w:r>
    </w:p>
  </w:footnote>
  <w:footnote w:id="43">
    <w:p w14:paraId="672C35B1"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613(3) of the NGR.</w:t>
      </w:r>
    </w:p>
  </w:footnote>
  <w:footnote w:id="44">
    <w:p w14:paraId="2614B6F2" w14:textId="77777777" w:rsidR="00854EF5" w:rsidRPr="00983327" w:rsidRDefault="00854EF5" w:rsidP="00212859">
      <w:pPr>
        <w:pStyle w:val="FootnoteText"/>
        <w:spacing w:before="20" w:after="20"/>
        <w:rPr>
          <w:rFonts w:cs="Arial"/>
          <w:szCs w:val="16"/>
        </w:rPr>
      </w:pPr>
      <w:r w:rsidRPr="00983327">
        <w:rPr>
          <w:rStyle w:val="FootnoteReference"/>
          <w:rFonts w:cs="Arial"/>
          <w:szCs w:val="16"/>
        </w:rPr>
        <w:footnoteRef/>
      </w:r>
      <w:r w:rsidRPr="00983327">
        <w:rPr>
          <w:rFonts w:cs="Arial"/>
          <w:szCs w:val="16"/>
        </w:rPr>
        <w:t xml:space="preserve"> </w:t>
      </w:r>
      <w:r w:rsidRPr="00983327">
        <w:rPr>
          <w:rFonts w:cs="Arial"/>
          <w:szCs w:val="16"/>
        </w:rPr>
        <w:tab/>
        <w:t>Any person can apply to the AER for an exemption to be revoked or to be varied. See rule 614(2) of the NGR.</w:t>
      </w:r>
    </w:p>
  </w:footnote>
  <w:footnote w:id="45">
    <w:p w14:paraId="03BB2E1F"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616(1) of the NGR.</w:t>
      </w:r>
    </w:p>
  </w:footnote>
  <w:footnote w:id="46">
    <w:p w14:paraId="3EE50453" w14:textId="6B148912"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616(3) of the NGR.</w:t>
      </w:r>
    </w:p>
  </w:footnote>
  <w:footnote w:id="47">
    <w:p w14:paraId="72E3AC4E"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614(3) of the NGR.</w:t>
      </w:r>
    </w:p>
  </w:footnote>
  <w:footnote w:id="48">
    <w:p w14:paraId="23562978"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614(4) of the NGR.</w:t>
      </w:r>
    </w:p>
  </w:footnote>
  <w:footnote w:id="49">
    <w:p w14:paraId="3B81A142" w14:textId="2F849E61"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611(8)-(9) of the NGR.</w:t>
      </w:r>
    </w:p>
  </w:footnote>
  <w:footnote w:id="50">
    <w:p w14:paraId="77143172" w14:textId="1AF9FE4A"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transitional rules in Schedule 5, Part 3, rule 4.</w:t>
      </w:r>
    </w:p>
  </w:footnote>
  <w:footnote w:id="51">
    <w:p w14:paraId="5CB9E5C3"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These transitional arrangements have been included in the NGR to allow the AER to grant an exemption to a transportation facility (or group or class of facilities) on an interim basis, while it considers whether the facility (or group or class of facilities) qualifies for an exemption.</w:t>
      </w:r>
    </w:p>
  </w:footnote>
  <w:footnote w:id="52">
    <w:p w14:paraId="62B053B6" w14:textId="77777777" w:rsidR="00854EF5" w:rsidRPr="00983327" w:rsidRDefault="00854EF5" w:rsidP="00212859">
      <w:pPr>
        <w:pStyle w:val="FootnoteText"/>
        <w:spacing w:before="20" w:after="20"/>
        <w:rPr>
          <w:rFonts w:cs="Arial"/>
          <w:szCs w:val="16"/>
        </w:rPr>
      </w:pPr>
      <w:r w:rsidRPr="00983327">
        <w:rPr>
          <w:rStyle w:val="FootnoteReference"/>
          <w:rFonts w:cs="Arial"/>
          <w:szCs w:val="16"/>
        </w:rPr>
        <w:footnoteRef/>
      </w:r>
      <w:r w:rsidRPr="00983327">
        <w:rPr>
          <w:rFonts w:cs="Arial"/>
          <w:szCs w:val="16"/>
        </w:rPr>
        <w:t xml:space="preserve"> </w:t>
      </w:r>
      <w:r w:rsidRPr="00983327">
        <w:rPr>
          <w:rFonts w:cs="Arial"/>
          <w:szCs w:val="16"/>
        </w:rPr>
        <w:tab/>
        <w:t>This application must be made in accordance with the process for applying for a standard exemption.</w:t>
      </w:r>
    </w:p>
  </w:footnote>
  <w:footnote w:id="53">
    <w:p w14:paraId="21886036"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transitional rules in Schedule 5, Part 3, rule 4.</w:t>
      </w:r>
    </w:p>
  </w:footnote>
  <w:footnote w:id="54">
    <w:p w14:paraId="07DFAB19"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transitional rules in Schedule 5, Part 3, rule 4(3).</w:t>
      </w:r>
    </w:p>
  </w:footnote>
  <w:footnote w:id="55">
    <w:p w14:paraId="2AB38964" w14:textId="4CBCBB02"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transitional rules in Schedule 5, Part 3, rule 4(5).</w:t>
      </w:r>
    </w:p>
  </w:footnote>
  <w:footnote w:id="56">
    <w:p w14:paraId="44AA9AB8" w14:textId="77777777" w:rsidR="00854EF5" w:rsidRPr="00983327" w:rsidRDefault="00854EF5" w:rsidP="0021285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transitional rules in Schedule 5, Part 3, rule 4(6).</w:t>
      </w:r>
    </w:p>
  </w:footnote>
  <w:footnote w:id="57">
    <w:p w14:paraId="5FFE5311" w14:textId="77777777" w:rsidR="00854EF5" w:rsidRPr="00983327" w:rsidRDefault="00854EF5" w:rsidP="0011427B">
      <w:pPr>
        <w:pStyle w:val="FootnoteText"/>
        <w:rPr>
          <w:szCs w:val="16"/>
        </w:rPr>
      </w:pPr>
      <w:r w:rsidRPr="00983327">
        <w:rPr>
          <w:rStyle w:val="FootnoteReference"/>
          <w:szCs w:val="16"/>
        </w:rPr>
        <w:footnoteRef/>
      </w:r>
      <w:r w:rsidRPr="00983327">
        <w:rPr>
          <w:szCs w:val="16"/>
        </w:rPr>
        <w:t xml:space="preserve"> </w:t>
      </w:r>
      <w:r w:rsidRPr="00983327">
        <w:rPr>
          <w:szCs w:val="16"/>
        </w:rPr>
        <w:tab/>
        <w:t>See rules 618 and 619 of the NGR.</w:t>
      </w:r>
    </w:p>
  </w:footnote>
  <w:footnote w:id="58">
    <w:p w14:paraId="3AC5A54B" w14:textId="77777777" w:rsidR="00854EF5" w:rsidRPr="00983327" w:rsidRDefault="00854EF5" w:rsidP="0011427B">
      <w:pPr>
        <w:pStyle w:val="FootnoteText"/>
        <w:rPr>
          <w:szCs w:val="16"/>
        </w:rPr>
      </w:pPr>
      <w:r w:rsidRPr="00983327">
        <w:rPr>
          <w:rStyle w:val="FootnoteReference"/>
          <w:szCs w:val="16"/>
        </w:rPr>
        <w:footnoteRef/>
      </w:r>
      <w:r w:rsidRPr="00983327">
        <w:rPr>
          <w:szCs w:val="16"/>
        </w:rPr>
        <w:t xml:space="preserve"> </w:t>
      </w:r>
      <w:r w:rsidRPr="00983327">
        <w:rPr>
          <w:szCs w:val="16"/>
        </w:rPr>
        <w:tab/>
        <w:t>See rule 620(1) of the NGR.</w:t>
      </w:r>
    </w:p>
  </w:footnote>
  <w:footnote w:id="59">
    <w:p w14:paraId="4B62FA39" w14:textId="77777777" w:rsidR="00854EF5" w:rsidRPr="00983327" w:rsidRDefault="00854EF5" w:rsidP="0011427B">
      <w:pPr>
        <w:pStyle w:val="FootnoteText"/>
        <w:rPr>
          <w:szCs w:val="16"/>
        </w:rPr>
      </w:pPr>
      <w:r w:rsidRPr="00983327">
        <w:rPr>
          <w:rStyle w:val="FootnoteReference"/>
          <w:szCs w:val="16"/>
        </w:rPr>
        <w:footnoteRef/>
      </w:r>
      <w:r w:rsidRPr="00983327">
        <w:rPr>
          <w:szCs w:val="16"/>
        </w:rPr>
        <w:t xml:space="preserve"> </w:t>
      </w:r>
      <w:r w:rsidRPr="00983327">
        <w:rPr>
          <w:szCs w:val="16"/>
        </w:rPr>
        <w:tab/>
        <w:t>See rule 620(3) of the NGR.</w:t>
      </w:r>
    </w:p>
  </w:footnote>
  <w:footnote w:id="60">
    <w:p w14:paraId="69159E5F" w14:textId="5C88C23F"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618(2) of the NGR.</w:t>
      </w:r>
    </w:p>
  </w:footnote>
  <w:footnote w:id="61">
    <w:p w14:paraId="7D699E84" w14:textId="77777777" w:rsidR="00854EF5" w:rsidRPr="00983327" w:rsidRDefault="00854EF5" w:rsidP="00212859">
      <w:pPr>
        <w:pStyle w:val="FootnoteText"/>
        <w:spacing w:before="20" w:after="2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Style w:val="FootnoteReference"/>
          <w:rFonts w:asciiTheme="majorHAnsi" w:hAnsiTheme="majorHAnsi" w:cstheme="majorHAnsi"/>
          <w:szCs w:val="16"/>
        </w:rPr>
        <w:t xml:space="preserve"> </w:t>
      </w:r>
      <w:r w:rsidRPr="00983327">
        <w:rPr>
          <w:rStyle w:val="FootnoteReference"/>
          <w:rFonts w:asciiTheme="majorHAnsi" w:hAnsiTheme="majorHAnsi" w:cstheme="majorHAnsi"/>
          <w:szCs w:val="16"/>
        </w:rPr>
        <w:tab/>
      </w:r>
      <w:r w:rsidRPr="00983327">
        <w:rPr>
          <w:rFonts w:asciiTheme="majorHAnsi" w:hAnsiTheme="majorHAnsi" w:cstheme="majorHAnsi"/>
          <w:szCs w:val="16"/>
        </w:rPr>
        <w:t>A person that owns, controls or operates a transportation facility that was commissioned on or before the reforms commence, will automatically become a transportation service provider 20 business days after the amendments to the NGR commence.</w:t>
      </w:r>
    </w:p>
  </w:footnote>
  <w:footnote w:id="62">
    <w:p w14:paraId="57F31F65" w14:textId="6DBABFB3" w:rsidR="00854EF5" w:rsidRPr="00983327" w:rsidRDefault="00854EF5" w:rsidP="00813075">
      <w:pPr>
        <w:pStyle w:val="ListBullet"/>
        <w:numPr>
          <w:ilvl w:val="0"/>
          <w:numId w:val="0"/>
        </w:numPr>
        <w:spacing w:before="20" w:after="20"/>
        <w:ind w:left="357" w:hanging="357"/>
        <w:rPr>
          <w:rFonts w:asciiTheme="majorHAnsi" w:eastAsiaTheme="minorEastAsia" w:hAnsiTheme="majorHAnsi" w:cstheme="majorHAnsi"/>
          <w:sz w:val="16"/>
          <w:szCs w:val="16"/>
        </w:rPr>
      </w:pPr>
      <w:r w:rsidRPr="00983327">
        <w:rPr>
          <w:rStyle w:val="FootnoteReference"/>
          <w:rFonts w:asciiTheme="majorHAnsi" w:hAnsiTheme="majorHAnsi" w:cstheme="majorHAnsi"/>
          <w:sz w:val="16"/>
          <w:szCs w:val="16"/>
        </w:rPr>
        <w:footnoteRef/>
      </w:r>
      <w:r w:rsidRPr="00983327">
        <w:rPr>
          <w:rFonts w:asciiTheme="majorHAnsi" w:hAnsiTheme="majorHAnsi" w:cstheme="majorHAnsi"/>
          <w:sz w:val="16"/>
          <w:szCs w:val="16"/>
        </w:rPr>
        <w:t xml:space="preserve"> </w:t>
      </w:r>
      <w:r w:rsidRPr="00983327">
        <w:rPr>
          <w:rFonts w:asciiTheme="majorHAnsi" w:hAnsiTheme="majorHAnsi" w:cstheme="majorHAnsi"/>
          <w:sz w:val="16"/>
          <w:szCs w:val="16"/>
        </w:rPr>
        <w:tab/>
        <w:t xml:space="preserve">Under rule 622(2) of the NGR </w:t>
      </w:r>
      <w:r w:rsidRPr="00983327">
        <w:rPr>
          <w:rFonts w:asciiTheme="majorHAnsi" w:eastAsiaTheme="minorEastAsia" w:hAnsiTheme="majorHAnsi" w:cstheme="majorHAnsi"/>
          <w:sz w:val="16"/>
          <w:szCs w:val="16"/>
        </w:rPr>
        <w:t>an application may be made by:</w:t>
      </w:r>
    </w:p>
    <w:p w14:paraId="25083FD5" w14:textId="77777777" w:rsidR="00854EF5" w:rsidRPr="00983327" w:rsidRDefault="00854EF5" w:rsidP="00EA491F">
      <w:pPr>
        <w:pStyle w:val="ListBullet"/>
        <w:numPr>
          <w:ilvl w:val="0"/>
          <w:numId w:val="49"/>
        </w:numPr>
        <w:spacing w:before="20" w:after="20"/>
        <w:ind w:left="714"/>
        <w:rPr>
          <w:rFonts w:asciiTheme="majorHAnsi" w:eastAsiaTheme="minorEastAsia" w:hAnsiTheme="majorHAnsi" w:cstheme="majorHAnsi"/>
          <w:sz w:val="16"/>
          <w:szCs w:val="16"/>
        </w:rPr>
      </w:pPr>
      <w:r w:rsidRPr="00983327">
        <w:rPr>
          <w:rFonts w:asciiTheme="majorHAnsi" w:eastAsiaTheme="minorEastAsia" w:hAnsiTheme="majorHAnsi" w:cstheme="majorHAnsi"/>
          <w:sz w:val="16"/>
          <w:szCs w:val="16"/>
        </w:rPr>
        <w:t>by a person who intends to become a transportation service provider or a responsible transportation service provider;</w:t>
      </w:r>
    </w:p>
    <w:p w14:paraId="48859590" w14:textId="77777777" w:rsidR="00854EF5" w:rsidRPr="00983327" w:rsidRDefault="00854EF5" w:rsidP="00EA491F">
      <w:pPr>
        <w:pStyle w:val="ListBullet"/>
        <w:numPr>
          <w:ilvl w:val="0"/>
          <w:numId w:val="49"/>
        </w:numPr>
        <w:spacing w:before="20" w:after="20"/>
        <w:ind w:left="714"/>
        <w:rPr>
          <w:rFonts w:asciiTheme="majorHAnsi" w:eastAsiaTheme="minorEastAsia" w:hAnsiTheme="majorHAnsi" w:cstheme="majorHAnsi"/>
          <w:sz w:val="16"/>
          <w:szCs w:val="16"/>
        </w:rPr>
      </w:pPr>
      <w:r w:rsidRPr="00983327">
        <w:rPr>
          <w:rFonts w:asciiTheme="majorHAnsi" w:eastAsiaTheme="minorEastAsia" w:hAnsiTheme="majorHAnsi" w:cstheme="majorHAnsi"/>
          <w:sz w:val="16"/>
          <w:szCs w:val="16"/>
        </w:rPr>
        <w:t>in respect of a proposed transportation facility; or</w:t>
      </w:r>
    </w:p>
    <w:p w14:paraId="47C77E38" w14:textId="77777777" w:rsidR="00854EF5" w:rsidRPr="00983327" w:rsidRDefault="00854EF5" w:rsidP="00EA491F">
      <w:pPr>
        <w:pStyle w:val="ListBullet"/>
        <w:numPr>
          <w:ilvl w:val="0"/>
          <w:numId w:val="49"/>
        </w:numPr>
        <w:spacing w:before="20" w:after="20"/>
        <w:ind w:left="714"/>
        <w:rPr>
          <w:rFonts w:asciiTheme="majorHAnsi" w:eastAsiaTheme="minorEastAsia" w:hAnsiTheme="majorHAnsi" w:cstheme="majorHAnsi"/>
          <w:sz w:val="16"/>
          <w:szCs w:val="16"/>
        </w:rPr>
      </w:pPr>
      <w:r w:rsidRPr="00983327">
        <w:rPr>
          <w:rFonts w:asciiTheme="majorHAnsi" w:eastAsiaTheme="minorEastAsia" w:hAnsiTheme="majorHAnsi" w:cstheme="majorHAnsi"/>
          <w:sz w:val="16"/>
          <w:szCs w:val="16"/>
        </w:rPr>
        <w:t>by a person intending to register with AEMO as a facility operator for a Part 24 facility.</w:t>
      </w:r>
    </w:p>
  </w:footnote>
  <w:footnote w:id="63">
    <w:p w14:paraId="4B41FA11"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622(1) of the NGR.</w:t>
      </w:r>
    </w:p>
  </w:footnote>
  <w:footnote w:id="64">
    <w:p w14:paraId="3D234235"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620(5) of the NGR.</w:t>
      </w:r>
    </w:p>
  </w:footnote>
  <w:footnote w:id="65">
    <w:p w14:paraId="0CAFB18A"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rules 622(3)-(4) of the NGR.</w:t>
      </w:r>
    </w:p>
  </w:footnote>
  <w:footnote w:id="66">
    <w:p w14:paraId="4B3ABD25" w14:textId="77777777" w:rsidR="00854EF5" w:rsidRPr="00983327" w:rsidRDefault="00854EF5" w:rsidP="00813075">
      <w:pPr>
        <w:pStyle w:val="FootnoteText"/>
        <w:spacing w:before="40" w:after="4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 xml:space="preserve">If the information is not provided in that period, the application will be taken to have been made when the further information or clarification is provided to AEMO’s satisfaction. </w:t>
      </w:r>
    </w:p>
  </w:footnote>
  <w:footnote w:id="67">
    <w:p w14:paraId="27770F42"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622(5) of the NGR.</w:t>
      </w:r>
    </w:p>
  </w:footnote>
  <w:footnote w:id="68">
    <w:p w14:paraId="1D911026"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rules 623(1)-(2) of the NGR.</w:t>
      </w:r>
    </w:p>
  </w:footnote>
  <w:footnote w:id="69">
    <w:p w14:paraId="61254BFB" w14:textId="77777777" w:rsidR="00854EF5" w:rsidRPr="00983327" w:rsidRDefault="00854EF5" w:rsidP="00813075">
      <w:pPr>
        <w:pStyle w:val="FootnoteText"/>
        <w:spacing w:before="40" w:after="4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 xml:space="preserve">If an application is made by an intending service provider, intending facility operator or in respect of a proposed facility, the registration takes effect at the time determined by AEMO. </w:t>
      </w:r>
    </w:p>
  </w:footnote>
  <w:footnote w:id="70">
    <w:p w14:paraId="6EE0D5A4"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rules 621(1)-(2) of the NGR.</w:t>
      </w:r>
    </w:p>
  </w:footnote>
  <w:footnote w:id="71">
    <w:p w14:paraId="4270DF47" w14:textId="77777777" w:rsidR="00854EF5" w:rsidRPr="00983327" w:rsidRDefault="00854EF5" w:rsidP="005F6516">
      <w:pPr>
        <w:pStyle w:val="FootnoteText"/>
        <w:rPr>
          <w:szCs w:val="16"/>
        </w:rPr>
      </w:pPr>
      <w:r w:rsidRPr="00983327">
        <w:rPr>
          <w:rStyle w:val="FootnoteReference"/>
          <w:szCs w:val="16"/>
        </w:rPr>
        <w:footnoteRef/>
      </w:r>
      <w:r w:rsidRPr="00983327">
        <w:rPr>
          <w:szCs w:val="16"/>
        </w:rPr>
        <w:t xml:space="preserve"> </w:t>
      </w:r>
      <w:r w:rsidRPr="00983327">
        <w:rPr>
          <w:szCs w:val="16"/>
        </w:rPr>
        <w:tab/>
        <w:t>See rules 621(3)-(4) of the NGR.</w:t>
      </w:r>
    </w:p>
  </w:footnote>
  <w:footnote w:id="72">
    <w:p w14:paraId="7F327371"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rules 624(1)-(2) of the NGR.</w:t>
      </w:r>
    </w:p>
  </w:footnote>
  <w:footnote w:id="73">
    <w:p w14:paraId="4D83AF49"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624(3) of the NGR.</w:t>
      </w:r>
    </w:p>
  </w:footnote>
  <w:footnote w:id="74">
    <w:p w14:paraId="4FE85976" w14:textId="77777777" w:rsidR="00854EF5" w:rsidRPr="00983327" w:rsidRDefault="00854EF5" w:rsidP="00096281">
      <w:pPr>
        <w:pStyle w:val="FootnoteText"/>
        <w:rPr>
          <w:szCs w:val="16"/>
        </w:rPr>
      </w:pPr>
      <w:r w:rsidRPr="00983327">
        <w:rPr>
          <w:rStyle w:val="FootnoteReference"/>
          <w:szCs w:val="16"/>
        </w:rPr>
        <w:footnoteRef/>
      </w:r>
      <w:r w:rsidRPr="00983327">
        <w:rPr>
          <w:szCs w:val="16"/>
        </w:rPr>
        <w:t xml:space="preserve"> </w:t>
      </w:r>
      <w:r w:rsidRPr="00983327">
        <w:rPr>
          <w:szCs w:val="16"/>
        </w:rPr>
        <w:tab/>
        <w:t>See rule 623(3) of the NGR.</w:t>
      </w:r>
    </w:p>
  </w:footnote>
  <w:footnote w:id="75">
    <w:p w14:paraId="1FBCEAD2"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623(4) of the NGR.</w:t>
      </w:r>
    </w:p>
  </w:footnote>
  <w:footnote w:id="76">
    <w:p w14:paraId="2D8943CC" w14:textId="77777777" w:rsidR="00854EF5" w:rsidRPr="00983327" w:rsidRDefault="00854EF5" w:rsidP="00813075">
      <w:pPr>
        <w:pStyle w:val="FootnoteText"/>
        <w:spacing w:before="40" w:after="40"/>
        <w:rPr>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This can also occur if a facility is already registered.</w:t>
      </w:r>
    </w:p>
  </w:footnote>
  <w:footnote w:id="77">
    <w:p w14:paraId="05FAA3DB"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620(3) of the NGR.</w:t>
      </w:r>
    </w:p>
  </w:footnote>
  <w:footnote w:id="78">
    <w:p w14:paraId="7B6CCB9E" w14:textId="2025D7E5" w:rsidR="00854EF5" w:rsidRPr="00983327" w:rsidRDefault="00854EF5" w:rsidP="006C5D0F">
      <w:pPr>
        <w:pStyle w:val="FootnoteText"/>
        <w:rPr>
          <w:szCs w:val="16"/>
        </w:rPr>
      </w:pPr>
      <w:r w:rsidRPr="00983327">
        <w:rPr>
          <w:rStyle w:val="FootnoteReference"/>
          <w:szCs w:val="16"/>
        </w:rPr>
        <w:footnoteRef/>
      </w:r>
      <w:r w:rsidRPr="00983327">
        <w:rPr>
          <w:szCs w:val="16"/>
        </w:rPr>
        <w:t xml:space="preserve"> </w:t>
      </w:r>
      <w:r w:rsidRPr="00983327">
        <w:rPr>
          <w:szCs w:val="16"/>
        </w:rPr>
        <w:tab/>
        <w:t>See sections 228B and 228D of the NGL.</w:t>
      </w:r>
    </w:p>
  </w:footnote>
  <w:footnote w:id="79">
    <w:p w14:paraId="17CC5C0B" w14:textId="56FFBDDC" w:rsidR="00854EF5" w:rsidRPr="00983327" w:rsidRDefault="00854EF5" w:rsidP="006C5D0F">
      <w:pPr>
        <w:pStyle w:val="FootnoteText"/>
        <w:rPr>
          <w:szCs w:val="16"/>
        </w:rPr>
      </w:pPr>
      <w:r w:rsidRPr="00983327">
        <w:rPr>
          <w:rStyle w:val="FootnoteReference"/>
          <w:szCs w:val="16"/>
        </w:rPr>
        <w:footnoteRef/>
      </w:r>
      <w:r w:rsidRPr="00983327">
        <w:rPr>
          <w:szCs w:val="16"/>
        </w:rPr>
        <w:t xml:space="preserve"> </w:t>
      </w:r>
      <w:r w:rsidRPr="00983327">
        <w:rPr>
          <w:szCs w:val="16"/>
        </w:rPr>
        <w:tab/>
        <w:t>See sections 228B and 228D of the NGL.</w:t>
      </w:r>
    </w:p>
  </w:footnote>
  <w:footnote w:id="80">
    <w:p w14:paraId="15F3DE5A" w14:textId="77777777" w:rsidR="00854EF5" w:rsidRPr="00983327" w:rsidRDefault="00854EF5" w:rsidP="00F74318">
      <w:pPr>
        <w:pStyle w:val="FootnoteText"/>
        <w:rPr>
          <w:szCs w:val="16"/>
        </w:rPr>
      </w:pPr>
      <w:r w:rsidRPr="00983327">
        <w:rPr>
          <w:rStyle w:val="FootnoteReference"/>
          <w:szCs w:val="16"/>
        </w:rPr>
        <w:footnoteRef/>
      </w:r>
      <w:r w:rsidRPr="00983327">
        <w:rPr>
          <w:szCs w:val="16"/>
        </w:rPr>
        <w:t xml:space="preserve"> </w:t>
      </w:r>
      <w:r w:rsidRPr="00983327">
        <w:rPr>
          <w:szCs w:val="16"/>
        </w:rPr>
        <w:tab/>
        <w:t>See section 91BRS(1) and (2) of the NGL.</w:t>
      </w:r>
    </w:p>
  </w:footnote>
  <w:footnote w:id="81">
    <w:p w14:paraId="47A5D9B1" w14:textId="77777777" w:rsidR="00854EF5" w:rsidRPr="00983327" w:rsidRDefault="00854EF5" w:rsidP="006C5D0F">
      <w:pPr>
        <w:pStyle w:val="FootnoteText"/>
        <w:rPr>
          <w:szCs w:val="16"/>
        </w:rPr>
      </w:pPr>
      <w:r w:rsidRPr="00983327">
        <w:rPr>
          <w:rStyle w:val="FootnoteReference"/>
          <w:szCs w:val="16"/>
        </w:rPr>
        <w:footnoteRef/>
      </w:r>
      <w:r w:rsidRPr="00983327">
        <w:rPr>
          <w:szCs w:val="16"/>
        </w:rPr>
        <w:t xml:space="preserve"> </w:t>
      </w:r>
      <w:r w:rsidRPr="00983327">
        <w:rPr>
          <w:szCs w:val="16"/>
        </w:rPr>
        <w:tab/>
        <w:t>See sections 91BRS(3) and (4) and 228D(3)-(4) of the NGL.</w:t>
      </w:r>
    </w:p>
  </w:footnote>
  <w:footnote w:id="82">
    <w:p w14:paraId="409D4194" w14:textId="77777777" w:rsidR="00854EF5" w:rsidRPr="00983327" w:rsidRDefault="00854EF5" w:rsidP="00120FD8">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1 (item 68M) of the NGL.</w:t>
      </w:r>
    </w:p>
  </w:footnote>
  <w:footnote w:id="83">
    <w:p w14:paraId="6BE9A248" w14:textId="77777777" w:rsidR="00854EF5" w:rsidRPr="00983327" w:rsidRDefault="00854EF5" w:rsidP="00120FD8">
      <w:pPr>
        <w:pStyle w:val="FootnoteText"/>
        <w:rPr>
          <w:szCs w:val="16"/>
        </w:rPr>
      </w:pPr>
      <w:r w:rsidRPr="00983327">
        <w:rPr>
          <w:rStyle w:val="FootnoteReference"/>
          <w:szCs w:val="16"/>
        </w:rPr>
        <w:footnoteRef/>
      </w:r>
      <w:r w:rsidRPr="00983327">
        <w:rPr>
          <w:szCs w:val="16"/>
        </w:rPr>
        <w:t xml:space="preserve"> </w:t>
      </w:r>
      <w:r w:rsidRPr="00983327">
        <w:rPr>
          <w:szCs w:val="16"/>
        </w:rPr>
        <w:tab/>
        <w:t>See section 91BRR of the NGL.</w:t>
      </w:r>
    </w:p>
  </w:footnote>
  <w:footnote w:id="84">
    <w:p w14:paraId="7D0383FC"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91BRT of the NGL.</w:t>
      </w:r>
    </w:p>
  </w:footnote>
  <w:footnote w:id="85">
    <w:p w14:paraId="0AEB670A"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1 (item 68G) of the NGL.</w:t>
      </w:r>
    </w:p>
  </w:footnote>
  <w:footnote w:id="86">
    <w:p w14:paraId="03DCB44B" w14:textId="77777777" w:rsidR="00854EF5" w:rsidRPr="00983327" w:rsidRDefault="00854EF5" w:rsidP="00C20880">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rule 610 of the NGR. </w:t>
      </w:r>
    </w:p>
  </w:footnote>
  <w:footnote w:id="87">
    <w:p w14:paraId="44FD4390" w14:textId="77777777" w:rsidR="00854EF5" w:rsidRPr="00983327" w:rsidRDefault="00854EF5" w:rsidP="00C97D17">
      <w:pPr>
        <w:pStyle w:val="FootnoteText"/>
        <w:rPr>
          <w:szCs w:val="16"/>
        </w:rPr>
      </w:pPr>
      <w:r w:rsidRPr="00983327">
        <w:rPr>
          <w:rStyle w:val="FootnoteReference"/>
          <w:szCs w:val="16"/>
        </w:rPr>
        <w:footnoteRef/>
      </w:r>
      <w:r w:rsidRPr="00983327">
        <w:rPr>
          <w:szCs w:val="16"/>
        </w:rPr>
        <w:t xml:space="preserve"> </w:t>
      </w:r>
      <w:r w:rsidRPr="00983327">
        <w:rPr>
          <w:szCs w:val="16"/>
        </w:rPr>
        <w:tab/>
        <w:t>See rule 611 of the NGR.</w:t>
      </w:r>
    </w:p>
  </w:footnote>
  <w:footnote w:id="88">
    <w:p w14:paraId="4315CC7F" w14:textId="77777777" w:rsidR="00854EF5" w:rsidRPr="00983327" w:rsidRDefault="00854EF5" w:rsidP="00C20880">
      <w:pPr>
        <w:pStyle w:val="FootnoteText"/>
        <w:rPr>
          <w:szCs w:val="16"/>
        </w:rPr>
      </w:pPr>
      <w:r w:rsidRPr="00983327">
        <w:rPr>
          <w:rStyle w:val="FootnoteReference"/>
          <w:szCs w:val="16"/>
        </w:rPr>
        <w:footnoteRef/>
      </w:r>
      <w:r w:rsidRPr="00983327">
        <w:rPr>
          <w:szCs w:val="16"/>
        </w:rPr>
        <w:t xml:space="preserve"> </w:t>
      </w:r>
      <w:r w:rsidRPr="00983327">
        <w:rPr>
          <w:szCs w:val="16"/>
        </w:rPr>
        <w:tab/>
        <w:t>See rule 611(6) of the NGR.</w:t>
      </w:r>
    </w:p>
  </w:footnote>
  <w:footnote w:id="89">
    <w:p w14:paraId="3652EE2B" w14:textId="77777777" w:rsidR="00854EF5" w:rsidRPr="00983327" w:rsidRDefault="00854EF5" w:rsidP="00C20880">
      <w:pPr>
        <w:pStyle w:val="FootnoteText"/>
        <w:rPr>
          <w:szCs w:val="16"/>
        </w:rPr>
      </w:pPr>
      <w:r w:rsidRPr="00983327">
        <w:rPr>
          <w:rStyle w:val="FootnoteReference"/>
          <w:szCs w:val="16"/>
        </w:rPr>
        <w:footnoteRef/>
      </w:r>
      <w:r w:rsidRPr="00983327">
        <w:rPr>
          <w:szCs w:val="16"/>
        </w:rPr>
        <w:t xml:space="preserve"> </w:t>
      </w:r>
      <w:r w:rsidRPr="00983327">
        <w:rPr>
          <w:szCs w:val="16"/>
        </w:rPr>
        <w:tab/>
        <w:t>See rule 612 of the NGR.</w:t>
      </w:r>
    </w:p>
  </w:footnote>
  <w:footnote w:id="90">
    <w:p w14:paraId="2687ACC8" w14:textId="77777777" w:rsidR="00854EF5" w:rsidRPr="00983327" w:rsidRDefault="00854EF5" w:rsidP="00C20880">
      <w:pPr>
        <w:pStyle w:val="FootnoteText"/>
        <w:rPr>
          <w:szCs w:val="16"/>
        </w:rPr>
      </w:pPr>
      <w:r w:rsidRPr="00983327">
        <w:rPr>
          <w:rStyle w:val="FootnoteReference"/>
          <w:szCs w:val="16"/>
        </w:rPr>
        <w:footnoteRef/>
      </w:r>
      <w:r w:rsidRPr="00983327">
        <w:rPr>
          <w:szCs w:val="16"/>
        </w:rPr>
        <w:t xml:space="preserve"> </w:t>
      </w:r>
      <w:r w:rsidRPr="00983327">
        <w:rPr>
          <w:szCs w:val="16"/>
        </w:rPr>
        <w:tab/>
        <w:t>See rule 616 of the NGR.</w:t>
      </w:r>
    </w:p>
  </w:footnote>
  <w:footnote w:id="91">
    <w:p w14:paraId="3DFC413C" w14:textId="77777777" w:rsidR="00854EF5" w:rsidRPr="00983327" w:rsidRDefault="00854EF5" w:rsidP="00C20880">
      <w:pPr>
        <w:pStyle w:val="FootnoteText"/>
        <w:rPr>
          <w:szCs w:val="16"/>
        </w:rPr>
      </w:pPr>
      <w:r w:rsidRPr="00983327">
        <w:rPr>
          <w:rStyle w:val="FootnoteReference"/>
          <w:szCs w:val="16"/>
        </w:rPr>
        <w:footnoteRef/>
      </w:r>
      <w:r w:rsidRPr="00983327">
        <w:rPr>
          <w:szCs w:val="16"/>
        </w:rPr>
        <w:t xml:space="preserve"> </w:t>
      </w:r>
      <w:r w:rsidRPr="00983327">
        <w:rPr>
          <w:szCs w:val="16"/>
        </w:rPr>
        <w:tab/>
        <w:t>See rules 614, 615 and 616 of the NGR.</w:t>
      </w:r>
    </w:p>
  </w:footnote>
  <w:footnote w:id="92">
    <w:p w14:paraId="115F66B4"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3, rule 4.</w:t>
      </w:r>
    </w:p>
  </w:footnote>
  <w:footnote w:id="93">
    <w:p w14:paraId="13F3BAF2" w14:textId="77777777" w:rsidR="00854EF5" w:rsidRPr="00983327" w:rsidRDefault="00854EF5" w:rsidP="00C20880">
      <w:pPr>
        <w:pStyle w:val="FootnoteText"/>
        <w:rPr>
          <w:szCs w:val="16"/>
        </w:rPr>
      </w:pPr>
      <w:r w:rsidRPr="00983327">
        <w:rPr>
          <w:rStyle w:val="FootnoteReference"/>
          <w:szCs w:val="16"/>
        </w:rPr>
        <w:footnoteRef/>
      </w:r>
      <w:r w:rsidRPr="00983327">
        <w:rPr>
          <w:szCs w:val="16"/>
        </w:rPr>
        <w:t xml:space="preserve"> </w:t>
      </w:r>
      <w:r w:rsidRPr="00983327">
        <w:rPr>
          <w:szCs w:val="16"/>
        </w:rPr>
        <w:tab/>
        <w:t>See rule 617 of the NGR.</w:t>
      </w:r>
    </w:p>
  </w:footnote>
  <w:footnote w:id="94">
    <w:p w14:paraId="08578832" w14:textId="77777777" w:rsidR="00854EF5" w:rsidRPr="00983327" w:rsidRDefault="00854EF5" w:rsidP="006C5D0F">
      <w:pPr>
        <w:pStyle w:val="FootnoteText"/>
        <w:rPr>
          <w:szCs w:val="16"/>
        </w:rPr>
      </w:pPr>
      <w:r w:rsidRPr="00983327">
        <w:rPr>
          <w:rStyle w:val="FootnoteReference"/>
          <w:szCs w:val="16"/>
        </w:rPr>
        <w:footnoteRef/>
      </w:r>
      <w:r w:rsidRPr="00983327">
        <w:rPr>
          <w:szCs w:val="16"/>
        </w:rPr>
        <w:t xml:space="preserve"> </w:t>
      </w:r>
      <w:r w:rsidRPr="00983327">
        <w:rPr>
          <w:szCs w:val="16"/>
        </w:rPr>
        <w:tab/>
        <w:t>See rule 617 of the NGR.</w:t>
      </w:r>
    </w:p>
  </w:footnote>
  <w:footnote w:id="95">
    <w:p w14:paraId="21109512"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623 of the NGR.</w:t>
      </w:r>
    </w:p>
  </w:footnote>
  <w:footnote w:id="96">
    <w:p w14:paraId="1433A224"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624 of the NGR.</w:t>
      </w:r>
    </w:p>
  </w:footnote>
  <w:footnote w:id="97">
    <w:p w14:paraId="1BE00750" w14:textId="77777777" w:rsidR="00854EF5" w:rsidRPr="00983327" w:rsidRDefault="00854EF5" w:rsidP="006C5D0F">
      <w:pPr>
        <w:pStyle w:val="FootnoteText"/>
        <w:rPr>
          <w:szCs w:val="16"/>
        </w:rPr>
      </w:pPr>
      <w:r w:rsidRPr="00983327">
        <w:rPr>
          <w:rStyle w:val="FootnoteReference"/>
          <w:szCs w:val="16"/>
        </w:rPr>
        <w:footnoteRef/>
      </w:r>
      <w:r w:rsidRPr="00983327">
        <w:rPr>
          <w:szCs w:val="16"/>
        </w:rPr>
        <w:t xml:space="preserve"> </w:t>
      </w:r>
      <w:r w:rsidRPr="00983327">
        <w:rPr>
          <w:szCs w:val="16"/>
        </w:rPr>
        <w:tab/>
        <w:t>See rule 618 of the NGR.</w:t>
      </w:r>
    </w:p>
  </w:footnote>
  <w:footnote w:id="98">
    <w:p w14:paraId="7C853F6E" w14:textId="77777777" w:rsidR="00854EF5" w:rsidRPr="00983327" w:rsidRDefault="00854EF5" w:rsidP="006C5D0F">
      <w:pPr>
        <w:pStyle w:val="FootnoteText"/>
        <w:rPr>
          <w:szCs w:val="16"/>
        </w:rPr>
      </w:pPr>
      <w:r w:rsidRPr="00983327">
        <w:rPr>
          <w:rStyle w:val="FootnoteReference"/>
          <w:szCs w:val="16"/>
        </w:rPr>
        <w:footnoteRef/>
      </w:r>
      <w:r w:rsidRPr="00983327">
        <w:rPr>
          <w:szCs w:val="16"/>
        </w:rPr>
        <w:t xml:space="preserve"> </w:t>
      </w:r>
      <w:r w:rsidRPr="00983327">
        <w:rPr>
          <w:szCs w:val="16"/>
        </w:rPr>
        <w:tab/>
        <w:t>See rule 619 of the NGR.</w:t>
      </w:r>
    </w:p>
  </w:footnote>
  <w:footnote w:id="99">
    <w:p w14:paraId="1EDF6815" w14:textId="77777777" w:rsidR="00854EF5" w:rsidRPr="00983327" w:rsidRDefault="00854EF5" w:rsidP="00F9685D">
      <w:pPr>
        <w:pStyle w:val="FootnoteText"/>
        <w:rPr>
          <w:szCs w:val="16"/>
        </w:rPr>
      </w:pPr>
      <w:r w:rsidRPr="00983327">
        <w:rPr>
          <w:rStyle w:val="FootnoteReference"/>
          <w:szCs w:val="16"/>
        </w:rPr>
        <w:footnoteRef/>
      </w:r>
      <w:r w:rsidRPr="00983327">
        <w:rPr>
          <w:szCs w:val="16"/>
        </w:rPr>
        <w:t xml:space="preserve"> </w:t>
      </w:r>
      <w:r w:rsidRPr="00983327">
        <w:rPr>
          <w:szCs w:val="16"/>
        </w:rPr>
        <w:tab/>
        <w:t>See rule 620 of the NGR.</w:t>
      </w:r>
    </w:p>
  </w:footnote>
  <w:footnote w:id="100">
    <w:p w14:paraId="7BA8B0B0"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rules 618 and 619 of the NGR.</w:t>
      </w:r>
    </w:p>
  </w:footnote>
  <w:footnote w:id="101">
    <w:p w14:paraId="118F3F95"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622 of the NGR.</w:t>
      </w:r>
    </w:p>
  </w:footnote>
  <w:footnote w:id="102">
    <w:p w14:paraId="3F87037B"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621 of the NGR.</w:t>
      </w:r>
    </w:p>
  </w:footnote>
  <w:footnote w:id="103">
    <w:p w14:paraId="399D630C"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624 of the NGR.</w:t>
      </w:r>
    </w:p>
  </w:footnote>
  <w:footnote w:id="104">
    <w:p w14:paraId="65ED8345" w14:textId="77777777" w:rsidR="00854EF5" w:rsidRPr="00983327" w:rsidRDefault="00854EF5" w:rsidP="00F9685D">
      <w:pPr>
        <w:pStyle w:val="FootnoteText"/>
        <w:rPr>
          <w:szCs w:val="16"/>
        </w:rPr>
      </w:pPr>
      <w:r w:rsidRPr="00983327">
        <w:rPr>
          <w:rStyle w:val="FootnoteReference"/>
          <w:szCs w:val="16"/>
        </w:rPr>
        <w:footnoteRef/>
      </w:r>
      <w:r w:rsidRPr="00983327">
        <w:rPr>
          <w:szCs w:val="16"/>
        </w:rPr>
        <w:t xml:space="preserve"> </w:t>
      </w:r>
      <w:r w:rsidRPr="00983327">
        <w:rPr>
          <w:szCs w:val="16"/>
        </w:rPr>
        <w:tab/>
        <w:t>See rule 623(3) of the NGR.</w:t>
      </w:r>
    </w:p>
  </w:footnote>
  <w:footnote w:id="105">
    <w:p w14:paraId="63D1EBF2" w14:textId="77777777" w:rsidR="00854EF5" w:rsidRPr="00983327" w:rsidRDefault="00854EF5" w:rsidP="00F9685D">
      <w:pPr>
        <w:pStyle w:val="FootnoteText"/>
        <w:rPr>
          <w:szCs w:val="16"/>
        </w:rPr>
      </w:pPr>
      <w:r w:rsidRPr="00983327">
        <w:rPr>
          <w:rStyle w:val="FootnoteReference"/>
          <w:szCs w:val="16"/>
        </w:rPr>
        <w:footnoteRef/>
      </w:r>
      <w:r w:rsidRPr="00983327">
        <w:rPr>
          <w:szCs w:val="16"/>
        </w:rPr>
        <w:t xml:space="preserve"> </w:t>
      </w:r>
      <w:r w:rsidRPr="00983327">
        <w:rPr>
          <w:szCs w:val="16"/>
        </w:rPr>
        <w:tab/>
        <w:t>See rule 623(4) of the NGR.</w:t>
      </w:r>
    </w:p>
  </w:footnote>
  <w:footnote w:id="106">
    <w:p w14:paraId="075582C0" w14:textId="77777777" w:rsidR="00854EF5" w:rsidRPr="00983327" w:rsidRDefault="00854EF5" w:rsidP="00F9685D">
      <w:pPr>
        <w:pStyle w:val="FootnoteText"/>
        <w:spacing w:before="40" w:after="40"/>
        <w:rPr>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This can also occur if a facility is already registered.</w:t>
      </w:r>
    </w:p>
  </w:footnote>
  <w:footnote w:id="107">
    <w:p w14:paraId="7685BF70" w14:textId="77777777" w:rsidR="00854EF5" w:rsidRPr="00983327" w:rsidRDefault="00854EF5" w:rsidP="003274C6">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3, rule 5.</w:t>
      </w:r>
    </w:p>
  </w:footnote>
  <w:footnote w:id="108">
    <w:p w14:paraId="040E14AB" w14:textId="77777777" w:rsidR="00854EF5" w:rsidRPr="00983327" w:rsidRDefault="00854EF5" w:rsidP="00BB2FCD">
      <w:pPr>
        <w:pStyle w:val="FootnoteText"/>
        <w:rPr>
          <w:szCs w:val="16"/>
        </w:rPr>
      </w:pPr>
      <w:r w:rsidRPr="00983327">
        <w:rPr>
          <w:rStyle w:val="FootnoteReference"/>
          <w:szCs w:val="16"/>
        </w:rPr>
        <w:footnoteRef/>
      </w:r>
      <w:r w:rsidRPr="00983327">
        <w:rPr>
          <w:szCs w:val="16"/>
        </w:rPr>
        <w:t xml:space="preserve"> </w:t>
      </w:r>
      <w:r w:rsidRPr="00983327">
        <w:rPr>
          <w:szCs w:val="16"/>
        </w:rPr>
        <w:tab/>
        <w:t>Conditionally exempt facilities must also prepare a standard OTSA that complies with the NGR and Code if requested to do so by a shipper.</w:t>
      </w:r>
    </w:p>
  </w:footnote>
  <w:footnote w:id="109">
    <w:p w14:paraId="2B3B83AB" w14:textId="77777777" w:rsidR="00854EF5" w:rsidRPr="00983327" w:rsidRDefault="00854EF5" w:rsidP="00590352">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See GMRG, Final Recommendations on the Capacity Trading Reform Package (Standardisation, capacity trading platform and reporting framework for secondary trades), November 2017 and GMRG, Final Recommendations on the Operations and Administration of the Transportation Capacity Trading Platform and Day-Ahead Action, June 2017.</w:t>
      </w:r>
    </w:p>
  </w:footnote>
  <w:footnote w:id="110">
    <w:p w14:paraId="2536FCA8" w14:textId="77777777" w:rsidR="00854EF5" w:rsidRPr="00983327" w:rsidRDefault="00854EF5" w:rsidP="005D4B9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section 228J of the NGL.</w:t>
      </w:r>
    </w:p>
  </w:footnote>
  <w:footnote w:id="111">
    <w:p w14:paraId="49878216" w14:textId="77777777" w:rsidR="00854EF5" w:rsidRPr="00983327" w:rsidRDefault="00854EF5" w:rsidP="005D4B9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632 of the NGR.</w:t>
      </w:r>
    </w:p>
  </w:footnote>
  <w:footnote w:id="112">
    <w:p w14:paraId="6E9663A6" w14:textId="77777777" w:rsidR="00854EF5" w:rsidRPr="00983327" w:rsidRDefault="00854EF5" w:rsidP="005D4B9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596(3) of the NGR.</w:t>
      </w:r>
    </w:p>
  </w:footnote>
  <w:footnote w:id="113">
    <w:p w14:paraId="1A79D975" w14:textId="77777777" w:rsidR="00854EF5" w:rsidRPr="00983327" w:rsidRDefault="00854EF5" w:rsidP="005D4B9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632 of the NGR.</w:t>
      </w:r>
    </w:p>
  </w:footnote>
  <w:footnote w:id="114">
    <w:p w14:paraId="4F98249C" w14:textId="77777777" w:rsidR="00854EF5" w:rsidRPr="00983327" w:rsidRDefault="00854EF5" w:rsidP="005D4B9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Part 5 of the Code.</w:t>
      </w:r>
    </w:p>
  </w:footnote>
  <w:footnote w:id="115">
    <w:p w14:paraId="1AC15CFA" w14:textId="77777777" w:rsidR="00854EF5" w:rsidRPr="00983327" w:rsidRDefault="00854EF5" w:rsidP="005D4B9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635 of the NGR.</w:t>
      </w:r>
    </w:p>
  </w:footnote>
  <w:footnote w:id="116">
    <w:p w14:paraId="0718904E" w14:textId="77777777" w:rsidR="00854EF5" w:rsidRPr="00983327" w:rsidRDefault="00854EF5" w:rsidP="005D4B9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If a new version of the standard OTSA is published, the transportation service provider must publish a version showing the amendments that have been made.</w:t>
      </w:r>
    </w:p>
  </w:footnote>
  <w:footnote w:id="117">
    <w:p w14:paraId="5464BDA0" w14:textId="77777777"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633 of the NGR.</w:t>
      </w:r>
    </w:p>
  </w:footnote>
  <w:footnote w:id="118">
    <w:p w14:paraId="37CB934B" w14:textId="77777777" w:rsidR="00854EF5" w:rsidRPr="00983327" w:rsidRDefault="00854EF5" w:rsidP="00013985">
      <w:pPr>
        <w:pStyle w:val="FootnoteText"/>
        <w:spacing w:before="0" w:after="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 xml:space="preserve">Note that the obligation to publish in this case means to make publicly available on the service provider’s website. </w:t>
      </w:r>
    </w:p>
  </w:footnote>
  <w:footnote w:id="119">
    <w:p w14:paraId="17DE7ADE" w14:textId="77777777" w:rsidR="00854EF5" w:rsidRPr="00983327" w:rsidRDefault="00854EF5" w:rsidP="0001398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section 228B of the NGL and 631 of the NGR.</w:t>
      </w:r>
    </w:p>
  </w:footnote>
  <w:footnote w:id="120">
    <w:p w14:paraId="4D1C4939" w14:textId="77777777" w:rsidR="00854EF5" w:rsidRPr="00983327" w:rsidRDefault="00854EF5" w:rsidP="0001398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section 228C of the NGL and rule 637 of the NGR.</w:t>
      </w:r>
    </w:p>
  </w:footnote>
  <w:footnote w:id="121">
    <w:p w14:paraId="513200D9" w14:textId="77777777" w:rsidR="00854EF5" w:rsidRPr="00983327" w:rsidRDefault="00854EF5" w:rsidP="0001398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636 of the NGR.</w:t>
      </w:r>
    </w:p>
  </w:footnote>
  <w:footnote w:id="122">
    <w:p w14:paraId="06576951" w14:textId="77777777" w:rsidR="00854EF5" w:rsidRPr="00983327" w:rsidRDefault="00854EF5" w:rsidP="0001398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 xml:space="preserve">An eligible request is one made by a prospective secondary shipper that meets the eligibility criteria specified in the NGR and intends to enter into the agreement and use its reasonable endeavours to procure transportation capacity on the facility. </w:t>
      </w:r>
    </w:p>
  </w:footnote>
  <w:footnote w:id="123">
    <w:p w14:paraId="626FEBCA" w14:textId="77777777" w:rsidR="00854EF5" w:rsidRPr="00983327" w:rsidRDefault="00854EF5" w:rsidP="0001398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section 228C of the NGL and rule 611(6) of the NGR.</w:t>
      </w:r>
    </w:p>
  </w:footnote>
  <w:footnote w:id="124">
    <w:p w14:paraId="7AB59A64" w14:textId="77777777" w:rsidR="00854EF5" w:rsidRPr="00983327" w:rsidRDefault="00854EF5" w:rsidP="001D5FB9">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634(1)-(3)(a)-(b) of the NGR.</w:t>
      </w:r>
    </w:p>
  </w:footnote>
  <w:footnote w:id="125">
    <w:p w14:paraId="23F0F1C1" w14:textId="77777777" w:rsidR="00854EF5" w:rsidRPr="00983327" w:rsidRDefault="00854EF5" w:rsidP="001D5FB9">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634(3)(c) of the NGR.</w:t>
      </w:r>
    </w:p>
  </w:footnote>
  <w:footnote w:id="126">
    <w:p w14:paraId="6D7743AA" w14:textId="77777777" w:rsidR="00854EF5" w:rsidRPr="00983327" w:rsidRDefault="00854EF5" w:rsidP="001D5FB9">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Schedule 5, Part 3, rule 7 of the NGR.</w:t>
      </w:r>
    </w:p>
  </w:footnote>
  <w:footnote w:id="127">
    <w:p w14:paraId="136BC6B3" w14:textId="77777777" w:rsidR="00854EF5" w:rsidRPr="00983327" w:rsidRDefault="00854EF5" w:rsidP="001D5FB9">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635 of the NGR.</w:t>
      </w:r>
    </w:p>
  </w:footnote>
  <w:footnote w:id="128">
    <w:p w14:paraId="28B270E9" w14:textId="77777777" w:rsidR="00854EF5" w:rsidRPr="00983327" w:rsidRDefault="00854EF5" w:rsidP="001D5FB9">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596 of the NGR.</w:t>
      </w:r>
    </w:p>
  </w:footnote>
  <w:footnote w:id="129">
    <w:p w14:paraId="60A250BE" w14:textId="77777777" w:rsidR="00854EF5" w:rsidRPr="00983327" w:rsidRDefault="00854EF5" w:rsidP="0001398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rules 599-609 of the NGR.</w:t>
      </w:r>
    </w:p>
  </w:footnote>
  <w:footnote w:id="130">
    <w:p w14:paraId="4E006868" w14:textId="77777777" w:rsidR="00854EF5" w:rsidRPr="00983327" w:rsidRDefault="00854EF5" w:rsidP="00013985">
      <w:pPr>
        <w:pStyle w:val="FootnoteText"/>
        <w:spacing w:before="0" w:after="0"/>
        <w:rPr>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r>
      <w:r w:rsidRPr="00983327">
        <w:rPr>
          <w:rFonts w:asciiTheme="majorHAnsi" w:hAnsiTheme="majorHAnsi" w:cstheme="majorHAnsi"/>
          <w:szCs w:val="16"/>
          <w:lang w:eastAsia="fr-CA"/>
        </w:rPr>
        <w:t>Consultation will be required unless the modification is non-material or urgently necessary to ensure the proper operation of the auction or the capacity trading platform, or the safe and reliable operation of one or more facilities.</w:t>
      </w:r>
    </w:p>
  </w:footnote>
  <w:footnote w:id="131">
    <w:p w14:paraId="00B24064" w14:textId="77777777" w:rsidR="00854EF5" w:rsidRPr="00983327" w:rsidRDefault="00854EF5" w:rsidP="0001398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605 of the NGR.</w:t>
      </w:r>
    </w:p>
  </w:footnote>
  <w:footnote w:id="132">
    <w:p w14:paraId="515CF14D" w14:textId="77777777" w:rsidR="00854EF5" w:rsidRPr="00983327" w:rsidRDefault="00854EF5" w:rsidP="00013985">
      <w:pPr>
        <w:pStyle w:val="FootnoteText"/>
        <w:spacing w:before="0" w:after="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The Code objective is to provide for access to operational transportation services on reasonable terms, which is taken to mean at prices and on other terms and conditions that, so far as practical, reflect the outcomes of a workably competitive market.</w:t>
      </w:r>
    </w:p>
  </w:footnote>
  <w:footnote w:id="133">
    <w:p w14:paraId="75A200EB" w14:textId="77777777" w:rsidR="00854EF5" w:rsidRPr="00983327" w:rsidRDefault="00854EF5" w:rsidP="00951BF8">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 xml:space="preserve">See rule 640 and Schedule 5, Part 3, rule 9 of the NGR </w:t>
      </w:r>
    </w:p>
  </w:footnote>
  <w:footnote w:id="134">
    <w:p w14:paraId="630A3CE4" w14:textId="77777777" w:rsidR="00854EF5" w:rsidRPr="00983327" w:rsidRDefault="00854EF5" w:rsidP="00951BF8">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642 of the NGR.</w:t>
      </w:r>
    </w:p>
  </w:footnote>
  <w:footnote w:id="135">
    <w:p w14:paraId="1ACEEB0B" w14:textId="77777777" w:rsidR="00854EF5" w:rsidRPr="00983327" w:rsidRDefault="00854EF5" w:rsidP="00951BF8">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641 of the NGR.</w:t>
      </w:r>
    </w:p>
  </w:footnote>
  <w:footnote w:id="136">
    <w:p w14:paraId="0F1BD446" w14:textId="77777777" w:rsidR="00854EF5" w:rsidRPr="00983327" w:rsidRDefault="00854EF5" w:rsidP="00951BF8">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643 of the NGR.</w:t>
      </w:r>
    </w:p>
  </w:footnote>
  <w:footnote w:id="137">
    <w:p w14:paraId="39AB3BA6" w14:textId="77777777" w:rsidR="00854EF5" w:rsidRPr="00983327" w:rsidRDefault="00854EF5" w:rsidP="00951BF8">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section 91BRQ of the NGL.</w:t>
      </w:r>
    </w:p>
  </w:footnote>
  <w:footnote w:id="138">
    <w:p w14:paraId="791C2E50" w14:textId="77777777" w:rsidR="00854EF5" w:rsidRPr="00983327" w:rsidRDefault="00854EF5" w:rsidP="00951BF8">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638 of the NGR.</w:t>
      </w:r>
    </w:p>
  </w:footnote>
  <w:footnote w:id="139">
    <w:p w14:paraId="49299931" w14:textId="77777777" w:rsidR="00854EF5" w:rsidRPr="00983327" w:rsidRDefault="00854EF5" w:rsidP="00951BF8">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135EA of the NGR and other rules in Parts 24 and 25 of the NGR.</w:t>
      </w:r>
    </w:p>
  </w:footnote>
  <w:footnote w:id="140">
    <w:p w14:paraId="5BE6B674" w14:textId="77777777"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625 of the NGR.</w:t>
      </w:r>
    </w:p>
  </w:footnote>
  <w:footnote w:id="141">
    <w:p w14:paraId="3CF26F2F" w14:textId="77777777"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638(3) of the NGR.</w:t>
      </w:r>
    </w:p>
  </w:footnote>
  <w:footnote w:id="142">
    <w:p w14:paraId="3BA03F42" w14:textId="6A2345C0"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626 of the NGR.</w:t>
      </w:r>
    </w:p>
  </w:footnote>
  <w:footnote w:id="143">
    <w:p w14:paraId="0DA79102" w14:textId="77777777"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627(1)-(2) of the NGR.</w:t>
      </w:r>
    </w:p>
  </w:footnote>
  <w:footnote w:id="144">
    <w:p w14:paraId="7072BEE2" w14:textId="77777777"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627(3) of the NGR.</w:t>
      </w:r>
    </w:p>
  </w:footnote>
  <w:footnote w:id="145">
    <w:p w14:paraId="7D11D70A" w14:textId="77777777"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628 of the NGR.</w:t>
      </w:r>
    </w:p>
  </w:footnote>
  <w:footnote w:id="146">
    <w:p w14:paraId="30738D0D" w14:textId="77777777"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627(4) of the NGR.</w:t>
      </w:r>
    </w:p>
  </w:footnote>
  <w:footnote w:id="147">
    <w:p w14:paraId="5BF6ED49" w14:textId="77777777"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629(2) of the NGR.</w:t>
      </w:r>
    </w:p>
  </w:footnote>
  <w:footnote w:id="148">
    <w:p w14:paraId="2AF9E0E3" w14:textId="77777777" w:rsidR="00854EF5" w:rsidRPr="00983327" w:rsidRDefault="00854EF5" w:rsidP="003C309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rules 629(1) and 630(1) of the NGR.</w:t>
      </w:r>
    </w:p>
  </w:footnote>
  <w:footnote w:id="149">
    <w:p w14:paraId="4F35365C"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Schedule 1 (items 56 and 68A to 68M) of the NGL. </w:t>
      </w:r>
    </w:p>
  </w:footnote>
  <w:footnote w:id="150">
    <w:p w14:paraId="477355B7"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the various amendments to section 74 of the NGL.</w:t>
      </w:r>
    </w:p>
  </w:footnote>
  <w:footnote w:id="151">
    <w:p w14:paraId="2EAC35B5" w14:textId="01F71D1A"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27(1)(ea) of the NGL.</w:t>
      </w:r>
    </w:p>
  </w:footnote>
  <w:footnote w:id="152">
    <w:p w14:paraId="1F952DA2" w14:textId="189BA779"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91A(1)(gc) of the NGL.</w:t>
      </w:r>
    </w:p>
  </w:footnote>
  <w:footnote w:id="153">
    <w:p w14:paraId="39046144"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91A(1)(ba) of the NGL.</w:t>
      </w:r>
    </w:p>
  </w:footnote>
  <w:footnote w:id="154">
    <w:p w14:paraId="78143721"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Division 2D, Chapter 2, Part 6 of the NGL (sections 91BRO-91BRQ). </w:t>
      </w:r>
    </w:p>
  </w:footnote>
  <w:footnote w:id="155">
    <w:p w14:paraId="3A93ED7E"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91GG of the NGL.</w:t>
      </w:r>
    </w:p>
  </w:footnote>
  <w:footnote w:id="156">
    <w:p w14:paraId="580AC207"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sections 228B(1) and (2), and 228C(1) of the NGL.</w:t>
      </w:r>
    </w:p>
  </w:footnote>
  <w:footnote w:id="157">
    <w:p w14:paraId="2FC27CC8"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228E of the NGL.</w:t>
      </w:r>
    </w:p>
  </w:footnote>
  <w:footnote w:id="158">
    <w:p w14:paraId="5339D042" w14:textId="77777777" w:rsidR="00854EF5" w:rsidRPr="00983327" w:rsidRDefault="00854EF5" w:rsidP="001D439F">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228F of the NGL.</w:t>
      </w:r>
    </w:p>
  </w:footnote>
  <w:footnote w:id="159">
    <w:p w14:paraId="6BF75861" w14:textId="77777777" w:rsidR="00854EF5" w:rsidRPr="00983327" w:rsidRDefault="00854EF5" w:rsidP="00937DCB">
      <w:pPr>
        <w:pStyle w:val="FootnoteText"/>
        <w:rPr>
          <w:szCs w:val="16"/>
        </w:rPr>
      </w:pPr>
      <w:r w:rsidRPr="00983327">
        <w:rPr>
          <w:rStyle w:val="FootnoteReference"/>
          <w:szCs w:val="16"/>
        </w:rPr>
        <w:footnoteRef/>
      </w:r>
      <w:r w:rsidRPr="00983327">
        <w:rPr>
          <w:szCs w:val="16"/>
        </w:rPr>
        <w:t xml:space="preserve"> </w:t>
      </w:r>
      <w:r w:rsidRPr="00983327">
        <w:rPr>
          <w:szCs w:val="16"/>
        </w:rPr>
        <w:tab/>
        <w:t>See Part 2 of Chapter 7A of the NGL (sections 228G-228H).</w:t>
      </w:r>
    </w:p>
  </w:footnote>
  <w:footnote w:id="160">
    <w:p w14:paraId="0B066A5E"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228I of the NGL.</w:t>
      </w:r>
    </w:p>
  </w:footnote>
  <w:footnote w:id="161">
    <w:p w14:paraId="102B45A2" w14:textId="77777777" w:rsidR="00854EF5" w:rsidRPr="00983327" w:rsidRDefault="00854EF5" w:rsidP="00937DCB">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228J of the NGL.</w:t>
      </w:r>
    </w:p>
  </w:footnote>
  <w:footnote w:id="162">
    <w:p w14:paraId="671B1524" w14:textId="77777777" w:rsidR="00854EF5" w:rsidRPr="00983327" w:rsidRDefault="00854EF5" w:rsidP="00937DCB">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228K of the NGL.</w:t>
      </w:r>
    </w:p>
  </w:footnote>
  <w:footnote w:id="163">
    <w:p w14:paraId="1506F640"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228L of the NGL.</w:t>
      </w:r>
    </w:p>
  </w:footnote>
  <w:footnote w:id="164">
    <w:p w14:paraId="4721A581"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rule 595(1) of the NGR.</w:t>
      </w:r>
    </w:p>
  </w:footnote>
  <w:footnote w:id="165">
    <w:p w14:paraId="70D71ECD"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596 of the NGR.</w:t>
      </w:r>
    </w:p>
  </w:footnote>
  <w:footnote w:id="166">
    <w:p w14:paraId="07C58F9E"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597(1)-(4) of the NGR.</w:t>
      </w:r>
    </w:p>
  </w:footnote>
  <w:footnote w:id="167">
    <w:p w14:paraId="41235EAA" w14:textId="77777777" w:rsidR="00854EF5" w:rsidRPr="00983327" w:rsidRDefault="00854EF5" w:rsidP="00EE0FA6">
      <w:pPr>
        <w:pStyle w:val="FootnoteText"/>
        <w:rPr>
          <w:szCs w:val="16"/>
        </w:rPr>
      </w:pPr>
      <w:r w:rsidRPr="00983327">
        <w:rPr>
          <w:rStyle w:val="FootnoteReference"/>
          <w:szCs w:val="16"/>
        </w:rPr>
        <w:footnoteRef/>
      </w:r>
      <w:r w:rsidRPr="00983327">
        <w:rPr>
          <w:szCs w:val="16"/>
        </w:rPr>
        <w:t xml:space="preserve"> </w:t>
      </w:r>
      <w:r w:rsidRPr="00983327">
        <w:rPr>
          <w:szCs w:val="16"/>
        </w:rPr>
        <w:tab/>
        <w:t>See rule 598(1) of the NGR.</w:t>
      </w:r>
    </w:p>
  </w:footnote>
  <w:footnote w:id="168">
    <w:p w14:paraId="04F3776E"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598(2) of the NGR.</w:t>
      </w:r>
    </w:p>
  </w:footnote>
  <w:footnote w:id="169">
    <w:p w14:paraId="0B395802"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rule 596(3) of the NGR. </w:t>
      </w:r>
    </w:p>
  </w:footnote>
  <w:footnote w:id="170">
    <w:p w14:paraId="31F1FC2D" w14:textId="77777777" w:rsidR="00854EF5" w:rsidRPr="00983327" w:rsidRDefault="00854EF5" w:rsidP="00EE0FA6">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rules 601 and 602 of the NGR. </w:t>
      </w:r>
    </w:p>
  </w:footnote>
  <w:footnote w:id="171">
    <w:p w14:paraId="2B640DB6"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rule 600 of the NGR. </w:t>
      </w:r>
    </w:p>
  </w:footnote>
  <w:footnote w:id="172">
    <w:p w14:paraId="386EBDE8" w14:textId="77777777" w:rsidR="00854EF5" w:rsidRPr="00983327" w:rsidRDefault="00854EF5" w:rsidP="002A191A">
      <w:pPr>
        <w:pStyle w:val="FootnoteText"/>
        <w:rPr>
          <w:szCs w:val="16"/>
        </w:rPr>
      </w:pPr>
      <w:r w:rsidRPr="00983327">
        <w:rPr>
          <w:rStyle w:val="FootnoteReference"/>
          <w:szCs w:val="16"/>
        </w:rPr>
        <w:footnoteRef/>
      </w:r>
      <w:r w:rsidRPr="00983327">
        <w:rPr>
          <w:szCs w:val="16"/>
        </w:rPr>
        <w:t xml:space="preserve"> </w:t>
      </w:r>
      <w:r w:rsidRPr="00983327">
        <w:rPr>
          <w:szCs w:val="16"/>
        </w:rPr>
        <w:tab/>
        <w:t>See rule 606 of the NGR.</w:t>
      </w:r>
    </w:p>
  </w:footnote>
  <w:footnote w:id="173">
    <w:p w14:paraId="0B784F5E"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607 of the NGR.</w:t>
      </w:r>
    </w:p>
  </w:footnote>
  <w:footnote w:id="174">
    <w:p w14:paraId="218973B6"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608 of the NGR.</w:t>
      </w:r>
    </w:p>
  </w:footnote>
  <w:footnote w:id="175">
    <w:p w14:paraId="3128C730"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609 of the NGR.</w:t>
      </w:r>
    </w:p>
  </w:footnote>
  <w:footnote w:id="176">
    <w:p w14:paraId="046E4D84" w14:textId="77777777" w:rsidR="00854EF5" w:rsidRPr="00983327" w:rsidRDefault="00854EF5" w:rsidP="00616AE8">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rules 599 and 609 of the NGR. </w:t>
      </w:r>
    </w:p>
  </w:footnote>
  <w:footnote w:id="177">
    <w:p w14:paraId="16A06299"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rules 603 and 604 of the NGR.</w:t>
      </w:r>
    </w:p>
  </w:footnote>
  <w:footnote w:id="178">
    <w:p w14:paraId="21F3506A"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605 of the NGR.</w:t>
      </w:r>
    </w:p>
  </w:footnote>
  <w:footnote w:id="179">
    <w:p w14:paraId="0E60BB44" w14:textId="77777777" w:rsidR="00854EF5" w:rsidRPr="00983327" w:rsidRDefault="00854EF5" w:rsidP="00B65C2B">
      <w:pPr>
        <w:pStyle w:val="FootnoteText"/>
        <w:rPr>
          <w:szCs w:val="16"/>
        </w:rPr>
      </w:pPr>
      <w:r w:rsidRPr="00983327">
        <w:rPr>
          <w:rStyle w:val="FootnoteReference"/>
          <w:szCs w:val="16"/>
        </w:rPr>
        <w:footnoteRef/>
      </w:r>
      <w:r w:rsidRPr="00983327">
        <w:rPr>
          <w:szCs w:val="16"/>
        </w:rPr>
        <w:t xml:space="preserve"> </w:t>
      </w:r>
      <w:r w:rsidRPr="00983327">
        <w:rPr>
          <w:szCs w:val="16"/>
        </w:rPr>
        <w:tab/>
        <w:t>See rule 625 of the NGR.</w:t>
      </w:r>
    </w:p>
  </w:footnote>
  <w:footnote w:id="180">
    <w:p w14:paraId="2FFCE17E" w14:textId="77777777" w:rsidR="00854EF5" w:rsidRPr="00983327" w:rsidRDefault="00854EF5" w:rsidP="00B65C2B">
      <w:pPr>
        <w:pStyle w:val="FootnoteText"/>
        <w:rPr>
          <w:szCs w:val="16"/>
        </w:rPr>
      </w:pPr>
      <w:r w:rsidRPr="00983327">
        <w:rPr>
          <w:rStyle w:val="FootnoteReference"/>
          <w:szCs w:val="16"/>
        </w:rPr>
        <w:footnoteRef/>
      </w:r>
      <w:r w:rsidRPr="00983327">
        <w:rPr>
          <w:szCs w:val="16"/>
        </w:rPr>
        <w:t xml:space="preserve"> </w:t>
      </w:r>
      <w:r w:rsidRPr="00983327">
        <w:rPr>
          <w:szCs w:val="16"/>
        </w:rPr>
        <w:tab/>
        <w:t>See rule 626 of the NGR.</w:t>
      </w:r>
    </w:p>
  </w:footnote>
  <w:footnote w:id="181">
    <w:p w14:paraId="136364AF"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627(4) of the NGR.</w:t>
      </w:r>
    </w:p>
  </w:footnote>
  <w:footnote w:id="182">
    <w:p w14:paraId="671A531B" w14:textId="77777777" w:rsidR="00854EF5" w:rsidRPr="00983327" w:rsidRDefault="00854EF5" w:rsidP="00776324">
      <w:pPr>
        <w:pStyle w:val="FootnoteText"/>
        <w:rPr>
          <w:szCs w:val="16"/>
        </w:rPr>
      </w:pPr>
      <w:r w:rsidRPr="00983327">
        <w:rPr>
          <w:rStyle w:val="FootnoteReference"/>
          <w:szCs w:val="16"/>
        </w:rPr>
        <w:footnoteRef/>
      </w:r>
      <w:r w:rsidRPr="00983327">
        <w:rPr>
          <w:szCs w:val="16"/>
        </w:rPr>
        <w:t xml:space="preserve"> </w:t>
      </w:r>
      <w:r w:rsidRPr="00983327">
        <w:rPr>
          <w:szCs w:val="16"/>
        </w:rPr>
        <w:tab/>
        <w:t>See rules 627 and 628 of the NGR.</w:t>
      </w:r>
    </w:p>
  </w:footnote>
  <w:footnote w:id="183">
    <w:p w14:paraId="77F32239"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rule 629 of the NGR.</w:t>
      </w:r>
    </w:p>
  </w:footnote>
  <w:footnote w:id="184">
    <w:p w14:paraId="4574E8BB"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630 of the NGR.</w:t>
      </w:r>
    </w:p>
  </w:footnote>
  <w:footnote w:id="185">
    <w:p w14:paraId="311129DF"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rules 631-633 of the NGR.</w:t>
      </w:r>
    </w:p>
  </w:footnote>
  <w:footnote w:id="186">
    <w:p w14:paraId="7A8024FA"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637 of the NGR.</w:t>
      </w:r>
    </w:p>
  </w:footnote>
  <w:footnote w:id="187">
    <w:p w14:paraId="21178A47"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636 of the NGR.</w:t>
      </w:r>
    </w:p>
  </w:footnote>
  <w:footnote w:id="188">
    <w:p w14:paraId="1F207839" w14:textId="77777777" w:rsidR="00854EF5" w:rsidRPr="00983327" w:rsidRDefault="00854EF5" w:rsidP="004470DD">
      <w:pPr>
        <w:pStyle w:val="FootnoteText"/>
        <w:rPr>
          <w:szCs w:val="16"/>
        </w:rPr>
      </w:pPr>
      <w:r w:rsidRPr="00983327">
        <w:rPr>
          <w:rStyle w:val="FootnoteReference"/>
          <w:szCs w:val="16"/>
        </w:rPr>
        <w:footnoteRef/>
      </w:r>
      <w:r w:rsidRPr="00983327">
        <w:rPr>
          <w:szCs w:val="16"/>
        </w:rPr>
        <w:t xml:space="preserve"> </w:t>
      </w:r>
      <w:r w:rsidRPr="00983327">
        <w:rPr>
          <w:szCs w:val="16"/>
        </w:rPr>
        <w:tab/>
        <w:t>See rule 634 of the NGR.</w:t>
      </w:r>
    </w:p>
  </w:footnote>
  <w:footnote w:id="189">
    <w:p w14:paraId="3BB0DF8D"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rule 635 of the NGR.</w:t>
      </w:r>
    </w:p>
  </w:footnote>
  <w:footnote w:id="190">
    <w:p w14:paraId="0B7CEA95" w14:textId="77777777" w:rsidR="00854EF5" w:rsidRPr="00983327" w:rsidRDefault="00854EF5" w:rsidP="00BE4864">
      <w:pPr>
        <w:pStyle w:val="FootnoteText"/>
        <w:rPr>
          <w:szCs w:val="16"/>
        </w:rPr>
      </w:pPr>
      <w:r w:rsidRPr="00983327">
        <w:rPr>
          <w:rStyle w:val="FootnoteReference"/>
          <w:szCs w:val="16"/>
        </w:rPr>
        <w:footnoteRef/>
      </w:r>
      <w:r w:rsidRPr="00983327">
        <w:rPr>
          <w:szCs w:val="16"/>
        </w:rPr>
        <w:t xml:space="preserve"> </w:t>
      </w:r>
      <w:r w:rsidRPr="00983327">
        <w:rPr>
          <w:szCs w:val="16"/>
        </w:rPr>
        <w:tab/>
        <w:t>See rule 638 of the NGR.</w:t>
      </w:r>
    </w:p>
  </w:footnote>
  <w:footnote w:id="191">
    <w:p w14:paraId="52401F1C" w14:textId="77777777" w:rsidR="00854EF5" w:rsidRPr="00983327" w:rsidRDefault="00854EF5" w:rsidP="00DE6158">
      <w:pPr>
        <w:pStyle w:val="FootnoteText"/>
        <w:rPr>
          <w:szCs w:val="16"/>
        </w:rPr>
      </w:pPr>
      <w:r w:rsidRPr="00983327">
        <w:rPr>
          <w:rStyle w:val="FootnoteReference"/>
          <w:szCs w:val="16"/>
        </w:rPr>
        <w:footnoteRef/>
      </w:r>
      <w:r w:rsidRPr="00983327">
        <w:rPr>
          <w:szCs w:val="16"/>
        </w:rPr>
        <w:t xml:space="preserve"> </w:t>
      </w:r>
      <w:r w:rsidRPr="00983327">
        <w:rPr>
          <w:szCs w:val="16"/>
        </w:rPr>
        <w:tab/>
        <w:t>See rule 639 of the NGR.</w:t>
      </w:r>
    </w:p>
  </w:footnote>
  <w:footnote w:id="192">
    <w:p w14:paraId="00F64BDE" w14:textId="77777777" w:rsidR="00854EF5" w:rsidRPr="00983327" w:rsidRDefault="00854EF5" w:rsidP="00710055">
      <w:pPr>
        <w:pStyle w:val="FootnoteText"/>
        <w:rPr>
          <w:szCs w:val="16"/>
        </w:rPr>
      </w:pPr>
      <w:r w:rsidRPr="00983327">
        <w:rPr>
          <w:rStyle w:val="FootnoteReference"/>
          <w:szCs w:val="16"/>
        </w:rPr>
        <w:footnoteRef/>
      </w:r>
      <w:r w:rsidRPr="00983327">
        <w:rPr>
          <w:szCs w:val="16"/>
        </w:rPr>
        <w:t xml:space="preserve"> </w:t>
      </w:r>
      <w:r w:rsidRPr="00983327">
        <w:rPr>
          <w:szCs w:val="16"/>
        </w:rPr>
        <w:tab/>
        <w:t>See rules 640 and 642 of the NGR.</w:t>
      </w:r>
    </w:p>
  </w:footnote>
  <w:footnote w:id="193">
    <w:p w14:paraId="03C93D33" w14:textId="77777777" w:rsidR="00854EF5" w:rsidRPr="00983327" w:rsidRDefault="00854EF5" w:rsidP="00710055">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641 of the NGR.</w:t>
      </w:r>
    </w:p>
  </w:footnote>
  <w:footnote w:id="194">
    <w:p w14:paraId="5A3D6DD2" w14:textId="77777777" w:rsidR="00854EF5" w:rsidRPr="00983327" w:rsidRDefault="00854EF5" w:rsidP="00994675">
      <w:pPr>
        <w:pStyle w:val="FootnoteText"/>
        <w:rPr>
          <w:szCs w:val="16"/>
        </w:rPr>
      </w:pPr>
      <w:r w:rsidRPr="00983327">
        <w:rPr>
          <w:rStyle w:val="FootnoteReference"/>
          <w:szCs w:val="16"/>
        </w:rPr>
        <w:footnoteRef/>
      </w:r>
      <w:r w:rsidRPr="00983327">
        <w:rPr>
          <w:szCs w:val="16"/>
        </w:rPr>
        <w:t xml:space="preserve"> </w:t>
      </w:r>
      <w:r w:rsidRPr="00983327">
        <w:rPr>
          <w:szCs w:val="16"/>
        </w:rPr>
        <w:tab/>
        <w:t>See rule 643 of the NGR.</w:t>
      </w:r>
    </w:p>
  </w:footnote>
  <w:footnote w:id="195">
    <w:p w14:paraId="01AB01A5" w14:textId="23254293"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the definition in rule 593(1) and rules 593(4) and 649 of the NGR.</w:t>
      </w:r>
    </w:p>
  </w:footnote>
  <w:footnote w:id="196">
    <w:p w14:paraId="186ABDD5" w14:textId="77777777" w:rsidR="00854EF5" w:rsidRPr="00983327" w:rsidRDefault="00854EF5" w:rsidP="00710055">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3, rule 2 of the NGR.</w:t>
      </w:r>
    </w:p>
  </w:footnote>
  <w:footnote w:id="197">
    <w:p w14:paraId="52015245" w14:textId="77777777" w:rsidR="00854EF5" w:rsidRPr="00983327" w:rsidRDefault="00854EF5" w:rsidP="001D439F">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3, rule 6 of the NGR.</w:t>
      </w:r>
    </w:p>
  </w:footnote>
  <w:footnote w:id="198">
    <w:p w14:paraId="17BE1343" w14:textId="77777777" w:rsidR="00854EF5" w:rsidRPr="00983327" w:rsidRDefault="00854EF5" w:rsidP="001D439F">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Schedule 5, Part 3, rule 7 of the NGR. </w:t>
      </w:r>
    </w:p>
  </w:footnote>
  <w:footnote w:id="199">
    <w:p w14:paraId="71F59DEB" w14:textId="77777777" w:rsidR="00854EF5" w:rsidRPr="00983327" w:rsidRDefault="00854EF5" w:rsidP="007C5D36">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Schedule 5, Part 3, rule 8 of the NGR. </w:t>
      </w:r>
    </w:p>
  </w:footnote>
  <w:footnote w:id="200">
    <w:p w14:paraId="76B8437E" w14:textId="77777777" w:rsidR="00854EF5" w:rsidRPr="00983327" w:rsidRDefault="00854EF5" w:rsidP="001D439F">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Schedule 5, Part 3, rule 9 of the NGR. </w:t>
      </w:r>
    </w:p>
  </w:footnote>
  <w:footnote w:id="201">
    <w:p w14:paraId="1602342F" w14:textId="77777777" w:rsidR="00854EF5" w:rsidRPr="00983327" w:rsidRDefault="00854EF5" w:rsidP="00DE6158">
      <w:pPr>
        <w:pStyle w:val="FootnoteText"/>
        <w:rPr>
          <w:szCs w:val="16"/>
        </w:rPr>
      </w:pPr>
      <w:r w:rsidRPr="00983327">
        <w:rPr>
          <w:rStyle w:val="FootnoteReference"/>
          <w:szCs w:val="16"/>
        </w:rPr>
        <w:footnoteRef/>
      </w:r>
      <w:r w:rsidRPr="00983327">
        <w:rPr>
          <w:szCs w:val="16"/>
        </w:rPr>
        <w:t xml:space="preserve"> </w:t>
      </w:r>
      <w:r w:rsidRPr="00983327">
        <w:rPr>
          <w:szCs w:val="16"/>
        </w:rPr>
        <w:tab/>
        <w:t>See rule 595(1) of the NGR.</w:t>
      </w:r>
    </w:p>
  </w:footnote>
  <w:footnote w:id="202">
    <w:p w14:paraId="6D98A8D7" w14:textId="77777777" w:rsidR="00854EF5" w:rsidRPr="00983327" w:rsidRDefault="00854EF5" w:rsidP="00307760">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 xml:space="preserve">The pre-matched service allows participants to bring off-market trades in listed products to the exchange for settlement. </w:t>
      </w:r>
    </w:p>
  </w:footnote>
  <w:footnote w:id="203">
    <w:p w14:paraId="14924209" w14:textId="77777777" w:rsidR="00854EF5" w:rsidRPr="00983327" w:rsidRDefault="00854EF5" w:rsidP="00D01E4C">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See GMRG, Final Recommendations on the Capacity Trading Reform Package (Standardisation, capacity trading platform and reporting framework for secondary trades), November 2017 and GMRG, Final Recommendations on the Operations and Administration of the Transportation Capacity Trading Platform and Day-Ahead Action, June 2017.</w:t>
      </w:r>
    </w:p>
  </w:footnote>
  <w:footnote w:id="204">
    <w:p w14:paraId="49FC058C" w14:textId="77777777"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r>
      <w:r w:rsidRPr="00983327">
        <w:rPr>
          <w:rFonts w:asciiTheme="majorHAnsi" w:hAnsiTheme="majorHAnsi" w:cstheme="majorHAnsi"/>
          <w:szCs w:val="16"/>
        </w:rPr>
        <w:t>See Schedule 5, Part 3 (Transitional arrangements for new Part 24) Rule 8 and the definitions of Part 24 transition period and capacity auction start date.</w:t>
      </w:r>
    </w:p>
  </w:footnote>
  <w:footnote w:id="205">
    <w:p w14:paraId="646DA120" w14:textId="77777777"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r>
      <w:r w:rsidRPr="00983327">
        <w:rPr>
          <w:rFonts w:asciiTheme="majorHAnsi" w:hAnsiTheme="majorHAnsi" w:cstheme="majorHAnsi"/>
          <w:szCs w:val="16"/>
        </w:rPr>
        <w:t xml:space="preserve">Note that </w:t>
      </w:r>
      <w:r w:rsidRPr="00983327">
        <w:rPr>
          <w:rFonts w:asciiTheme="majorHAnsi" w:hAnsiTheme="majorHAnsi" w:cstheme="majorHAnsi"/>
          <w:color w:val="000000"/>
          <w:szCs w:val="16"/>
        </w:rPr>
        <w:t>trade on the platform could commence prior to that date but only for products with a service term that starts after 1 March 2019.</w:t>
      </w:r>
    </w:p>
  </w:footnote>
  <w:footnote w:id="206">
    <w:p w14:paraId="5CCB3D96" w14:textId="77777777"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r>
      <w:r w:rsidRPr="00983327">
        <w:rPr>
          <w:rFonts w:asciiTheme="majorHAnsi" w:hAnsiTheme="majorHAnsi" w:cstheme="majorHAnsi"/>
          <w:szCs w:val="16"/>
        </w:rPr>
        <w:t>See rule 638(4) of the NGR.</w:t>
      </w:r>
    </w:p>
  </w:footnote>
  <w:footnote w:id="207">
    <w:p w14:paraId="7C069215" w14:textId="77777777"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r>
      <w:r w:rsidRPr="00983327">
        <w:rPr>
          <w:rFonts w:asciiTheme="majorHAnsi" w:hAnsiTheme="majorHAnsi" w:cstheme="majorHAnsi"/>
          <w:szCs w:val="16"/>
        </w:rPr>
        <w:t>See rule 135EA of the NGR.</w:t>
      </w:r>
    </w:p>
  </w:footnote>
  <w:footnote w:id="208">
    <w:p w14:paraId="231F33BB" w14:textId="77777777"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r>
      <w:r w:rsidRPr="00983327">
        <w:rPr>
          <w:rFonts w:asciiTheme="majorHAnsi" w:hAnsiTheme="majorHAnsi" w:cstheme="majorHAnsi"/>
          <w:szCs w:val="16"/>
        </w:rPr>
        <w:t xml:space="preserve">See rule 597 of the NGR and Part 4 of the Code. </w:t>
      </w:r>
    </w:p>
  </w:footnote>
  <w:footnote w:id="209">
    <w:p w14:paraId="7F104966" w14:textId="77777777" w:rsidR="00854EF5" w:rsidRPr="00983327" w:rsidRDefault="00854EF5" w:rsidP="00A63967">
      <w:pPr>
        <w:pStyle w:val="FootnoteText"/>
        <w:spacing w:before="0" w:after="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A pipeline will be classified as bi-directional if at any time the direction of the physical flow of gas on the pipeline (or part) is capable of being reversed under normal operating conditions and transportation facility users have transportation capacity for firm forward haul services in both directions (with a service time that includes that time). See rule 648 of the NGR.</w:t>
      </w:r>
    </w:p>
  </w:footnote>
  <w:footnote w:id="210">
    <w:p w14:paraId="2EDCBE4C" w14:textId="77777777"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 xml:space="preserve">These product specifications will be set out in the exchange agreement. </w:t>
      </w:r>
    </w:p>
  </w:footnote>
  <w:footnote w:id="211">
    <w:p w14:paraId="657D4758" w14:textId="77777777" w:rsidR="00854EF5" w:rsidRPr="00983327" w:rsidRDefault="00854EF5" w:rsidP="006D1895">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r>
      <w:r w:rsidRPr="00983327">
        <w:rPr>
          <w:rFonts w:asciiTheme="majorHAnsi" w:hAnsiTheme="majorHAnsi" w:cstheme="majorHAnsi"/>
          <w:szCs w:val="16"/>
        </w:rPr>
        <w:t>See the Code.</w:t>
      </w:r>
    </w:p>
  </w:footnote>
  <w:footnote w:id="212">
    <w:p w14:paraId="1226DDBA" w14:textId="6777B626"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597(3) of the NGR.</w:t>
      </w:r>
    </w:p>
  </w:footnote>
  <w:footnote w:id="213">
    <w:p w14:paraId="7814EB7A" w14:textId="77777777"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597(5) of the NGR.</w:t>
      </w:r>
    </w:p>
  </w:footnote>
  <w:footnote w:id="214">
    <w:p w14:paraId="559AAF64" w14:textId="77777777"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639 of the NGR.</w:t>
      </w:r>
    </w:p>
  </w:footnote>
  <w:footnote w:id="215">
    <w:p w14:paraId="2A4763C6" w14:textId="77777777" w:rsidR="00854EF5" w:rsidRPr="00983327" w:rsidRDefault="00854EF5" w:rsidP="00A63967">
      <w:pPr>
        <w:pStyle w:val="TableBodyText"/>
        <w:spacing w:before="0" w:after="0" w:line="240" w:lineRule="auto"/>
        <w:ind w:left="340" w:right="0" w:hanging="340"/>
        <w:rPr>
          <w:sz w:val="16"/>
          <w:szCs w:val="16"/>
        </w:rPr>
      </w:pPr>
      <w:r w:rsidRPr="00983327">
        <w:rPr>
          <w:rStyle w:val="FootnoteReference"/>
          <w:sz w:val="16"/>
          <w:szCs w:val="16"/>
        </w:rPr>
        <w:footnoteRef/>
      </w:r>
      <w:r w:rsidRPr="00983327">
        <w:rPr>
          <w:sz w:val="16"/>
          <w:szCs w:val="16"/>
        </w:rPr>
        <w:t xml:space="preserve"> </w:t>
      </w:r>
      <w:r w:rsidRPr="00983327">
        <w:rPr>
          <w:sz w:val="16"/>
          <w:szCs w:val="16"/>
        </w:rPr>
        <w:tab/>
        <w:t xml:space="preserve">See rule 536A of the NGR. </w:t>
      </w:r>
    </w:p>
  </w:footnote>
  <w:footnote w:id="216">
    <w:p w14:paraId="0FCB719C" w14:textId="77777777" w:rsidR="00854EF5" w:rsidRPr="00983327" w:rsidRDefault="00854EF5" w:rsidP="00A6396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543A of the NGR.</w:t>
      </w:r>
    </w:p>
  </w:footnote>
  <w:footnote w:id="217">
    <w:p w14:paraId="0AD21683" w14:textId="77777777" w:rsidR="00854EF5" w:rsidRPr="00983327" w:rsidRDefault="00854EF5" w:rsidP="00DA6E45">
      <w:pPr>
        <w:pStyle w:val="FootnoteText"/>
        <w:rPr>
          <w:szCs w:val="16"/>
        </w:rPr>
      </w:pPr>
      <w:r w:rsidRPr="00983327">
        <w:rPr>
          <w:rStyle w:val="FootnoteReference"/>
          <w:szCs w:val="16"/>
        </w:rPr>
        <w:footnoteRef/>
      </w:r>
      <w:r w:rsidRPr="00983327">
        <w:rPr>
          <w:szCs w:val="16"/>
        </w:rPr>
        <w:t xml:space="preserve"> </w:t>
      </w:r>
      <w:r w:rsidRPr="00983327">
        <w:rPr>
          <w:szCs w:val="16"/>
        </w:rPr>
        <w:tab/>
        <w:t>See the amendments to sections 74, 228I and Schedule 1 of the NGL.</w:t>
      </w:r>
    </w:p>
  </w:footnote>
  <w:footnote w:id="218">
    <w:p w14:paraId="38B652D7"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228I(e) of the NGL.</w:t>
      </w:r>
    </w:p>
  </w:footnote>
  <w:footnote w:id="219">
    <w:p w14:paraId="4594E53C" w14:textId="77777777" w:rsidR="00854EF5" w:rsidRPr="00983327" w:rsidRDefault="00854EF5" w:rsidP="00233587">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228I(c) of the NGL.</w:t>
      </w:r>
    </w:p>
  </w:footnote>
  <w:footnote w:id="220">
    <w:p w14:paraId="7C2B148C" w14:textId="77777777" w:rsidR="00854EF5" w:rsidRPr="00983327" w:rsidRDefault="00854EF5" w:rsidP="00307760">
      <w:pPr>
        <w:pStyle w:val="FootnoteText"/>
        <w:rPr>
          <w:szCs w:val="16"/>
        </w:rPr>
      </w:pPr>
      <w:r w:rsidRPr="00983327">
        <w:rPr>
          <w:rStyle w:val="FootnoteReference"/>
          <w:rFonts w:asciiTheme="majorHAnsi" w:hAnsiTheme="majorHAnsi" w:cstheme="majorHAnsi"/>
          <w:szCs w:val="16"/>
        </w:rPr>
        <w:footnoteRef/>
      </w:r>
      <w:r w:rsidRPr="00983327">
        <w:rPr>
          <w:szCs w:val="16"/>
        </w:rPr>
        <w:t xml:space="preserve"> </w:t>
      </w:r>
      <w:r w:rsidRPr="00983327">
        <w:rPr>
          <w:szCs w:val="16"/>
        </w:rPr>
        <w:tab/>
        <w:t>See section 228I(f) of the NGL.</w:t>
      </w:r>
    </w:p>
  </w:footnote>
  <w:footnote w:id="221">
    <w:p w14:paraId="1BC03254" w14:textId="77777777" w:rsidR="00854EF5" w:rsidRPr="00983327" w:rsidRDefault="00854EF5" w:rsidP="00BF6073">
      <w:pPr>
        <w:pStyle w:val="FootnoteText"/>
        <w:rPr>
          <w:szCs w:val="16"/>
        </w:rPr>
      </w:pPr>
      <w:r w:rsidRPr="00983327">
        <w:rPr>
          <w:rStyle w:val="FootnoteReference"/>
          <w:szCs w:val="16"/>
        </w:rPr>
        <w:footnoteRef/>
      </w:r>
      <w:r w:rsidRPr="00983327">
        <w:rPr>
          <w:szCs w:val="16"/>
        </w:rPr>
        <w:t xml:space="preserve"> </w:t>
      </w:r>
      <w:r w:rsidRPr="00983327">
        <w:rPr>
          <w:szCs w:val="16"/>
        </w:rPr>
        <w:tab/>
        <w:t>See section 74(1)(aac) of the NGL.</w:t>
      </w:r>
    </w:p>
  </w:footnote>
  <w:footnote w:id="222">
    <w:p w14:paraId="3757708C" w14:textId="77777777" w:rsidR="00854EF5" w:rsidRPr="00983327" w:rsidRDefault="00854EF5" w:rsidP="00DE6158">
      <w:pPr>
        <w:pStyle w:val="FootnoteText"/>
        <w:rPr>
          <w:szCs w:val="16"/>
        </w:rPr>
      </w:pPr>
      <w:r w:rsidRPr="00983327">
        <w:rPr>
          <w:rStyle w:val="FootnoteReference"/>
          <w:szCs w:val="16"/>
        </w:rPr>
        <w:footnoteRef/>
      </w:r>
      <w:r w:rsidRPr="00983327">
        <w:rPr>
          <w:szCs w:val="16"/>
        </w:rPr>
        <w:t xml:space="preserve"> </w:t>
      </w:r>
      <w:r w:rsidRPr="00983327">
        <w:rPr>
          <w:szCs w:val="16"/>
        </w:rPr>
        <w:tab/>
        <w:t>See rule 597(3)(c) of the NGR.</w:t>
      </w:r>
    </w:p>
  </w:footnote>
  <w:footnote w:id="223">
    <w:p w14:paraId="30856EE5" w14:textId="77777777" w:rsidR="00854EF5" w:rsidRPr="00983327" w:rsidRDefault="00854EF5" w:rsidP="00233587">
      <w:pPr>
        <w:pStyle w:val="FootnoteText"/>
        <w:rPr>
          <w:szCs w:val="16"/>
        </w:rPr>
      </w:pPr>
      <w:r w:rsidRPr="00983327">
        <w:rPr>
          <w:rStyle w:val="FootnoteReference"/>
          <w:szCs w:val="16"/>
        </w:rPr>
        <w:footnoteRef/>
      </w:r>
      <w:r w:rsidRPr="00983327">
        <w:rPr>
          <w:szCs w:val="16"/>
        </w:rPr>
        <w:t xml:space="preserve"> </w:t>
      </w:r>
      <w:r w:rsidRPr="00983327">
        <w:rPr>
          <w:szCs w:val="16"/>
        </w:rPr>
        <w:tab/>
        <w:t>See rule 638 of the NGR.</w:t>
      </w:r>
    </w:p>
  </w:footnote>
  <w:footnote w:id="224">
    <w:p w14:paraId="09FC1E56" w14:textId="77777777" w:rsidR="00854EF5" w:rsidRPr="00983327" w:rsidRDefault="00854EF5" w:rsidP="00307760">
      <w:pPr>
        <w:pStyle w:val="FootnoteText"/>
        <w:rPr>
          <w:szCs w:val="16"/>
        </w:rPr>
      </w:pPr>
      <w:r w:rsidRPr="00983327">
        <w:rPr>
          <w:rStyle w:val="FootnoteReference"/>
          <w:szCs w:val="16"/>
        </w:rPr>
        <w:footnoteRef/>
      </w:r>
      <w:r w:rsidRPr="00983327">
        <w:rPr>
          <w:szCs w:val="16"/>
        </w:rPr>
        <w:t xml:space="preserve"> </w:t>
      </w:r>
      <w:r w:rsidRPr="00983327">
        <w:rPr>
          <w:szCs w:val="16"/>
        </w:rPr>
        <w:tab/>
        <w:t>See rule 639 of the NGR.</w:t>
      </w:r>
    </w:p>
  </w:footnote>
  <w:footnote w:id="225">
    <w:p w14:paraId="2824863C" w14:textId="77777777" w:rsidR="00854EF5" w:rsidRPr="00983327" w:rsidRDefault="00854EF5" w:rsidP="00307760">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rule 543A of the NGR. The provisions in this rule are based on section 1020B of the </w:t>
      </w:r>
      <w:r w:rsidRPr="00983327">
        <w:rPr>
          <w:i/>
          <w:szCs w:val="16"/>
        </w:rPr>
        <w:t>Corporations Act 2001</w:t>
      </w:r>
      <w:r w:rsidRPr="00983327">
        <w:rPr>
          <w:szCs w:val="16"/>
        </w:rPr>
        <w:t xml:space="preserve"> (Commonwealth) which is assumed to already apply to sales of gas through the exchange.</w:t>
      </w:r>
    </w:p>
  </w:footnote>
  <w:footnote w:id="226">
    <w:p w14:paraId="1C3E8018" w14:textId="77777777" w:rsidR="00854EF5" w:rsidRPr="00983327" w:rsidRDefault="00854EF5" w:rsidP="00307760">
      <w:pPr>
        <w:pStyle w:val="FootnoteText"/>
        <w:rPr>
          <w:szCs w:val="16"/>
        </w:rPr>
      </w:pPr>
      <w:r w:rsidRPr="00983327">
        <w:rPr>
          <w:rStyle w:val="FootnoteReference"/>
          <w:szCs w:val="16"/>
        </w:rPr>
        <w:footnoteRef/>
      </w:r>
      <w:r w:rsidRPr="00983327">
        <w:rPr>
          <w:szCs w:val="16"/>
        </w:rPr>
        <w:t xml:space="preserve"> </w:t>
      </w:r>
      <w:r w:rsidRPr="00983327">
        <w:rPr>
          <w:szCs w:val="16"/>
        </w:rPr>
        <w:tab/>
        <w:t>See rule 534 of the NGR.</w:t>
      </w:r>
    </w:p>
  </w:footnote>
  <w:footnote w:id="227">
    <w:p w14:paraId="24C4D975" w14:textId="77777777" w:rsidR="00854EF5" w:rsidRPr="00983327" w:rsidRDefault="00854EF5" w:rsidP="00924F95">
      <w:pPr>
        <w:pStyle w:val="FootnoteText"/>
        <w:rPr>
          <w:szCs w:val="16"/>
        </w:rPr>
      </w:pPr>
      <w:r w:rsidRPr="00983327">
        <w:rPr>
          <w:rStyle w:val="FootnoteReference"/>
          <w:szCs w:val="16"/>
        </w:rPr>
        <w:footnoteRef/>
      </w:r>
      <w:r w:rsidRPr="00983327">
        <w:rPr>
          <w:szCs w:val="16"/>
        </w:rPr>
        <w:t xml:space="preserve"> </w:t>
      </w:r>
      <w:r w:rsidRPr="00983327">
        <w:rPr>
          <w:szCs w:val="16"/>
        </w:rPr>
        <w:tab/>
        <w:t>See Subdivision 2.1, Part 24 of the NGR and in particular rule 597.</w:t>
      </w:r>
    </w:p>
  </w:footnote>
  <w:footnote w:id="228">
    <w:p w14:paraId="2ED734F2" w14:textId="77777777" w:rsidR="00854EF5" w:rsidRPr="00983327" w:rsidRDefault="00854EF5" w:rsidP="00307760">
      <w:pPr>
        <w:pStyle w:val="FootnoteText"/>
        <w:rPr>
          <w:szCs w:val="16"/>
        </w:rPr>
      </w:pPr>
      <w:r w:rsidRPr="00983327">
        <w:rPr>
          <w:rStyle w:val="FootnoteReference"/>
          <w:szCs w:val="16"/>
        </w:rPr>
        <w:footnoteRef/>
      </w:r>
      <w:r w:rsidRPr="00983327">
        <w:rPr>
          <w:szCs w:val="16"/>
        </w:rPr>
        <w:t xml:space="preserve"> </w:t>
      </w:r>
      <w:r w:rsidRPr="00983327">
        <w:rPr>
          <w:szCs w:val="16"/>
        </w:rPr>
        <w:tab/>
        <w:t>See Division 4, Part 24 of the NGR.</w:t>
      </w:r>
    </w:p>
  </w:footnote>
  <w:footnote w:id="229">
    <w:p w14:paraId="111700C8"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625 of the NGR.</w:t>
      </w:r>
    </w:p>
  </w:footnote>
  <w:footnote w:id="230">
    <w:p w14:paraId="3A85BC78"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rules 627-628 of the NGR.</w:t>
      </w:r>
    </w:p>
  </w:footnote>
  <w:footnote w:id="231">
    <w:p w14:paraId="379C09D5"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630 of the NGR.</w:t>
      </w:r>
    </w:p>
  </w:footnote>
  <w:footnote w:id="232">
    <w:p w14:paraId="7831F9BB"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629 of the NGR.</w:t>
      </w:r>
    </w:p>
  </w:footnote>
  <w:footnote w:id="233">
    <w:p w14:paraId="30467478" w14:textId="77777777" w:rsidR="00854EF5" w:rsidRPr="00983327" w:rsidRDefault="00854EF5" w:rsidP="00281A63">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 xml:space="preserve">AEMC, Stage 2 Final Report: East Coast </w:t>
      </w:r>
      <w:r w:rsidRPr="00983327">
        <w:rPr>
          <w:rFonts w:cs="Arial"/>
          <w:iCs/>
          <w:szCs w:val="16"/>
        </w:rPr>
        <w:t>Review, 23 May 2016,</w:t>
      </w:r>
      <w:r w:rsidRPr="00983327">
        <w:rPr>
          <w:szCs w:val="16"/>
        </w:rPr>
        <w:t xml:space="preserve"> pp. 69 and 73.</w:t>
      </w:r>
    </w:p>
  </w:footnote>
  <w:footnote w:id="234">
    <w:p w14:paraId="19EEEB0D" w14:textId="77777777" w:rsidR="00854EF5" w:rsidRPr="00983327" w:rsidRDefault="00854EF5" w:rsidP="00CA4147">
      <w:pPr>
        <w:pStyle w:val="FootnoteText"/>
        <w:rPr>
          <w:szCs w:val="16"/>
        </w:rPr>
      </w:pPr>
      <w:r w:rsidRPr="00983327">
        <w:rPr>
          <w:rStyle w:val="FootnoteReference"/>
          <w:szCs w:val="16"/>
        </w:rPr>
        <w:footnoteRef/>
      </w:r>
      <w:r w:rsidRPr="00983327">
        <w:rPr>
          <w:szCs w:val="16"/>
        </w:rPr>
        <w:t xml:space="preserve"> </w:t>
      </w:r>
      <w:r w:rsidRPr="00983327">
        <w:rPr>
          <w:szCs w:val="16"/>
        </w:rPr>
        <w:tab/>
        <w:t>See GMRG, Final Recommendations on the Design of the Day-Ahead Auction of Contracted but Un-Nominated Capacity, December 2017.</w:t>
      </w:r>
    </w:p>
  </w:footnote>
  <w:footnote w:id="235">
    <w:p w14:paraId="7DBC01D3" w14:textId="77777777" w:rsidR="00854EF5" w:rsidRPr="00983327" w:rsidRDefault="00854EF5" w:rsidP="00DA662D">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 xml:space="preserve">See Schedule 5, Part 4 of the NGR definition of capacity auction start date and rule 2. </w:t>
      </w:r>
    </w:p>
  </w:footnote>
  <w:footnote w:id="236">
    <w:p w14:paraId="309EED05" w14:textId="77777777" w:rsidR="00854EF5" w:rsidRPr="00983327" w:rsidRDefault="00854EF5" w:rsidP="00DA662D">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See rule 654(1) of the NGR.</w:t>
      </w:r>
    </w:p>
  </w:footnote>
  <w:footnote w:id="237">
    <w:p w14:paraId="5BF7ABE9" w14:textId="77777777" w:rsidR="00854EF5" w:rsidRPr="00983327" w:rsidRDefault="00854EF5" w:rsidP="00DA662D">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See sections 91A and 91BRM of the NGL and rule 656 of the NGR.</w:t>
      </w:r>
    </w:p>
  </w:footnote>
  <w:footnote w:id="238">
    <w:p w14:paraId="478AF458" w14:textId="77777777" w:rsidR="00854EF5" w:rsidRPr="00983327" w:rsidRDefault="00854EF5" w:rsidP="00DA662D">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T</w:t>
      </w:r>
      <w:r w:rsidRPr="00983327">
        <w:rPr>
          <w:rFonts w:asciiTheme="majorHAnsi" w:hAnsiTheme="majorHAnsi" w:cstheme="majorHAnsi"/>
          <w:szCs w:val="16"/>
        </w:rPr>
        <w:t>he participation of a facility in the auction may be suspended if AEMO believes it is not practicable or not feasible to conduct the auction with the facility (or part thereof).</w:t>
      </w:r>
    </w:p>
  </w:footnote>
  <w:footnote w:id="239">
    <w:p w14:paraId="38CCA09F" w14:textId="77777777" w:rsidR="00854EF5" w:rsidRPr="00983327" w:rsidRDefault="00854EF5" w:rsidP="00DA662D">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See rule 656(2) of the NGR.</w:t>
      </w:r>
    </w:p>
  </w:footnote>
  <w:footnote w:id="240">
    <w:p w14:paraId="1D3AC6A3" w14:textId="77777777" w:rsidR="00854EF5" w:rsidRPr="00983327" w:rsidRDefault="00854EF5" w:rsidP="00DA662D">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See rules 656(5), 660 and 667-675 of the NGR.</w:t>
      </w:r>
    </w:p>
  </w:footnote>
  <w:footnote w:id="241">
    <w:p w14:paraId="72E30AA4" w14:textId="77777777" w:rsidR="00854EF5" w:rsidRPr="00983327" w:rsidRDefault="00854EF5" w:rsidP="00DA662D">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 xml:space="preserve">See rule 657(5)(d) of the NGR. </w:t>
      </w:r>
    </w:p>
  </w:footnote>
  <w:footnote w:id="242">
    <w:p w14:paraId="0B1C34F6" w14:textId="77777777" w:rsidR="00854EF5" w:rsidRPr="00983327" w:rsidRDefault="00854EF5" w:rsidP="00292B59">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See rule 659 of the NGR.</w:t>
      </w:r>
    </w:p>
  </w:footnote>
  <w:footnote w:id="243">
    <w:p w14:paraId="54286CC0" w14:textId="77777777" w:rsidR="00854EF5" w:rsidRPr="00983327" w:rsidRDefault="00854EF5" w:rsidP="00DA662D">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See section 2(1) of the NGL and rule 647 of the NGR.</w:t>
      </w:r>
    </w:p>
  </w:footnote>
  <w:footnote w:id="244">
    <w:p w14:paraId="2DE0E21C" w14:textId="3A57DF98" w:rsidR="00854EF5" w:rsidRPr="00983327" w:rsidRDefault="00854EF5" w:rsidP="00292B59">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See rule 658(5) of the NGR.</w:t>
      </w:r>
    </w:p>
  </w:footnote>
  <w:footnote w:id="245">
    <w:p w14:paraId="274F1647" w14:textId="77777777" w:rsidR="00854EF5" w:rsidRPr="00983327" w:rsidRDefault="00854EF5" w:rsidP="00292B59">
      <w:pPr>
        <w:pStyle w:val="FootnoteText"/>
        <w:spacing w:before="20" w:after="0"/>
        <w:rPr>
          <w:szCs w:val="16"/>
        </w:rPr>
      </w:pPr>
      <w:r w:rsidRPr="00983327">
        <w:rPr>
          <w:rStyle w:val="FootnoteReference"/>
          <w:szCs w:val="16"/>
        </w:rPr>
        <w:footnoteRef/>
      </w:r>
      <w:r w:rsidRPr="00983327">
        <w:rPr>
          <w:szCs w:val="16"/>
        </w:rPr>
        <w:t xml:space="preserve"> </w:t>
      </w:r>
      <w:r w:rsidRPr="00983327">
        <w:rPr>
          <w:szCs w:val="16"/>
        </w:rPr>
        <w:tab/>
        <w:t>See rule 657(5) of the NGR.</w:t>
      </w:r>
    </w:p>
  </w:footnote>
  <w:footnote w:id="246">
    <w:p w14:paraId="20166DEC" w14:textId="77777777" w:rsidR="00854EF5" w:rsidRPr="00983327" w:rsidRDefault="00854EF5" w:rsidP="007C711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 xml:space="preserve">See rule 650(1) of the NGR.  </w:t>
      </w:r>
    </w:p>
  </w:footnote>
  <w:footnote w:id="247">
    <w:p w14:paraId="1783BF31" w14:textId="77777777" w:rsidR="00854EF5" w:rsidRPr="00983327" w:rsidRDefault="00854EF5" w:rsidP="007C7119">
      <w:pPr>
        <w:pStyle w:val="FootnoteText"/>
        <w:spacing w:before="20" w:after="20"/>
        <w:rPr>
          <w:rFonts w:asciiTheme="majorHAnsi" w:hAnsiTheme="majorHAnsi" w:cstheme="majorHAnsi"/>
          <w:szCs w:val="16"/>
        </w:rPr>
      </w:pPr>
      <w:r w:rsidRPr="00983327">
        <w:rPr>
          <w:rStyle w:val="FootnoteReference"/>
          <w:szCs w:val="16"/>
        </w:rPr>
        <w:footnoteRef/>
      </w:r>
      <w:r w:rsidRPr="00983327">
        <w:rPr>
          <w:szCs w:val="16"/>
        </w:rPr>
        <w:t xml:space="preserve"> </w:t>
      </w:r>
      <w:r w:rsidRPr="00983327">
        <w:rPr>
          <w:szCs w:val="16"/>
        </w:rPr>
        <w:tab/>
      </w:r>
      <w:r w:rsidRPr="00983327">
        <w:rPr>
          <w:rFonts w:asciiTheme="majorHAnsi" w:hAnsiTheme="majorHAnsi" w:cstheme="majorHAnsi"/>
          <w:szCs w:val="16"/>
        </w:rPr>
        <w:t>A pipeline will be classified as bi-directional if at any time the direction of the physical flow of gas on the pipeline (or part) is capable of being reversed under normal operating conditions and transportation facility users have transportation capacity for firm forward haul services in both directions (with a service time that includes that time). See rule 648(2) of the NGR.</w:t>
      </w:r>
    </w:p>
  </w:footnote>
  <w:footnote w:id="248">
    <w:p w14:paraId="344A8714" w14:textId="77777777" w:rsidR="00854EF5" w:rsidRPr="00983327" w:rsidRDefault="00854EF5" w:rsidP="007C711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definition of auction service in rule 647 of the NGR.</w:t>
      </w:r>
    </w:p>
  </w:footnote>
  <w:footnote w:id="249">
    <w:p w14:paraId="2A2CE0A9" w14:textId="77777777" w:rsidR="00854EF5" w:rsidRPr="00983327" w:rsidRDefault="00854EF5" w:rsidP="007C711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the standard terms in the Code.</w:t>
      </w:r>
    </w:p>
  </w:footnote>
  <w:footnote w:id="250">
    <w:p w14:paraId="16B3776F" w14:textId="77777777" w:rsidR="00854EF5" w:rsidRPr="00983327" w:rsidRDefault="00854EF5" w:rsidP="007C711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Part 17 of the facility specific terms in the Code.</w:t>
      </w:r>
    </w:p>
  </w:footnote>
  <w:footnote w:id="251">
    <w:p w14:paraId="7DF98E19" w14:textId="77777777" w:rsidR="00854EF5" w:rsidRPr="00983327" w:rsidRDefault="00854EF5" w:rsidP="007C711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648(4) of the NGR.</w:t>
      </w:r>
    </w:p>
  </w:footnote>
  <w:footnote w:id="252">
    <w:p w14:paraId="69CD5ECC" w14:textId="77777777" w:rsidR="00854EF5" w:rsidRPr="00983327" w:rsidRDefault="00854EF5" w:rsidP="007C711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definitions in rule 647 of the NGR.</w:t>
      </w:r>
    </w:p>
  </w:footnote>
  <w:footnote w:id="253">
    <w:p w14:paraId="06BAB2EC" w14:textId="77777777" w:rsidR="00854EF5" w:rsidRPr="00983327" w:rsidRDefault="00854EF5" w:rsidP="007C711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648(5) of the NGR.</w:t>
      </w:r>
    </w:p>
  </w:footnote>
  <w:footnote w:id="254">
    <w:p w14:paraId="436EB00C" w14:textId="77777777" w:rsidR="00854EF5" w:rsidRPr="00983327" w:rsidRDefault="00854EF5" w:rsidP="007C7119">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651 of the NGR.</w:t>
      </w:r>
    </w:p>
  </w:footnote>
  <w:footnote w:id="255">
    <w:p w14:paraId="08648B90" w14:textId="77777777" w:rsidR="00854EF5" w:rsidRPr="00983327" w:rsidRDefault="00854EF5" w:rsidP="007C7119">
      <w:pPr>
        <w:pStyle w:val="FootnoteText"/>
        <w:spacing w:before="20" w:after="20"/>
        <w:rPr>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The term ‘renomination rights’ is used in this context to refer to firm and reasonable endeavours renomination rights.</w:t>
      </w:r>
    </w:p>
  </w:footnote>
  <w:footnote w:id="256">
    <w:p w14:paraId="144AC691" w14:textId="77777777" w:rsidR="00854EF5" w:rsidRPr="00983327" w:rsidRDefault="00854EF5" w:rsidP="001C7A93">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650(2) of the NGR.</w:t>
      </w:r>
    </w:p>
  </w:footnote>
  <w:footnote w:id="257">
    <w:p w14:paraId="13B06572" w14:textId="77777777" w:rsidR="00854EF5" w:rsidRPr="00983327" w:rsidRDefault="00854EF5" w:rsidP="001C7A93">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651(2) of the NGR.</w:t>
      </w:r>
    </w:p>
  </w:footnote>
  <w:footnote w:id="258">
    <w:p w14:paraId="713085CD" w14:textId="77777777" w:rsidR="00854EF5" w:rsidRPr="00983327" w:rsidRDefault="00854EF5" w:rsidP="001C7A93">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 xml:space="preserve">See rule 650(3) of the NGR. </w:t>
      </w:r>
    </w:p>
  </w:footnote>
  <w:footnote w:id="259">
    <w:p w14:paraId="6D89FCEF" w14:textId="731D617F" w:rsidR="00854EF5" w:rsidRPr="00983327" w:rsidRDefault="00854EF5" w:rsidP="001C7A93">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 xml:space="preserve">See the transitional provisions in clauses 91 and 92 of Part 15 of Schedule 3 of the NGL. </w:t>
      </w:r>
    </w:p>
  </w:footnote>
  <w:footnote w:id="260">
    <w:p w14:paraId="61B95994" w14:textId="77777777" w:rsidR="00854EF5" w:rsidRPr="00983327" w:rsidRDefault="00854EF5" w:rsidP="00A63967">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See rules 651(1)(c)-(d) of the NGR.</w:t>
      </w:r>
    </w:p>
  </w:footnote>
  <w:footnote w:id="261">
    <w:p w14:paraId="1EAE6D3E"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ibid.</w:t>
      </w:r>
    </w:p>
  </w:footnote>
  <w:footnote w:id="262">
    <w:p w14:paraId="24A19B46" w14:textId="77777777" w:rsidR="00854EF5" w:rsidRPr="00983327" w:rsidRDefault="00854EF5" w:rsidP="00DA662D">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 xml:space="preserve">See Schedule 5, Part 4, rules 3 and 4 of the NGR. </w:t>
      </w:r>
    </w:p>
  </w:footnote>
  <w:footnote w:id="263">
    <w:p w14:paraId="66CE854C"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Key terms used in the legal and regulatory framework for the definition of firm. </w:t>
      </w:r>
    </w:p>
  </w:footnote>
  <w:footnote w:id="264">
    <w:p w14:paraId="1BDCAFA5"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The term ‘market generating unit’ is defined as a market generating unit under the National Electricity Rules or a facility for generating electricity that participates in the wholesale electricity market in the NT. </w:t>
      </w:r>
    </w:p>
  </w:footnote>
  <w:footnote w:id="265">
    <w:p w14:paraId="7C4B0A28" w14:textId="77777777" w:rsidR="00854EF5" w:rsidRPr="00983327" w:rsidRDefault="00854EF5" w:rsidP="00DA662D">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See Schedule 5, Part 4, rules 4 - 7 of the NGR.</w:t>
      </w:r>
    </w:p>
  </w:footnote>
  <w:footnote w:id="266">
    <w:p w14:paraId="65D189BB" w14:textId="77777777" w:rsidR="00854EF5" w:rsidRPr="00983327" w:rsidRDefault="00854EF5" w:rsidP="00DA662D">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 xml:space="preserve">In keeping with Schedule 5 Part 4, rule 9 the costs incurred by a facility operator through this process must </w:t>
      </w:r>
      <w:r w:rsidRPr="00983327">
        <w:rPr>
          <w:b/>
          <w:szCs w:val="16"/>
        </w:rPr>
        <w:t>not</w:t>
      </w:r>
      <w:r w:rsidRPr="00983327">
        <w:rPr>
          <w:szCs w:val="16"/>
        </w:rPr>
        <w:t xml:space="preserve"> be included in the calculation of standardisation costs (see Chapter 5). </w:t>
      </w:r>
    </w:p>
  </w:footnote>
  <w:footnote w:id="267">
    <w:p w14:paraId="329DA5AC" w14:textId="77777777" w:rsidR="00854EF5" w:rsidRPr="00983327" w:rsidRDefault="00854EF5" w:rsidP="00DA662D">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r>
      <w:r w:rsidRPr="00983327">
        <w:rPr>
          <w:rFonts w:asciiTheme="majorHAnsi" w:hAnsiTheme="majorHAnsi" w:cstheme="majorHAnsi"/>
          <w:szCs w:val="16"/>
        </w:rPr>
        <w:t xml:space="preserve">The information provided to the AER through the classification process will be taken to have been provided to the AER in confidence. See </w:t>
      </w:r>
      <w:r w:rsidRPr="00983327">
        <w:rPr>
          <w:szCs w:val="16"/>
        </w:rPr>
        <w:t>Schedule 5, Part 4, rule 9 of the NGR.</w:t>
      </w:r>
    </w:p>
  </w:footnote>
  <w:footnote w:id="268">
    <w:p w14:paraId="64E9900C" w14:textId="77777777" w:rsidR="00854EF5" w:rsidRPr="00983327" w:rsidRDefault="00854EF5" w:rsidP="00DA662D">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Schedule 5, Part 4, rule 8 of the NGR</w:t>
      </w:r>
    </w:p>
  </w:footnote>
  <w:footnote w:id="269">
    <w:p w14:paraId="6F481105" w14:textId="77777777" w:rsidR="00854EF5" w:rsidRPr="00983327" w:rsidRDefault="00854EF5" w:rsidP="00DA662D">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652 of the NGR.</w:t>
      </w:r>
    </w:p>
  </w:footnote>
  <w:footnote w:id="270">
    <w:p w14:paraId="3AC1E5E7" w14:textId="77777777" w:rsidR="00854EF5" w:rsidRPr="00983327" w:rsidRDefault="00854EF5" w:rsidP="00DA662D">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653(4)-(6) of the NGR.</w:t>
      </w:r>
    </w:p>
  </w:footnote>
  <w:footnote w:id="271">
    <w:p w14:paraId="3B9D96C6" w14:textId="77777777" w:rsidR="00854EF5" w:rsidRPr="00983327" w:rsidRDefault="00854EF5" w:rsidP="00DA662D">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rules 652(3)(c) 653(9) of the NGR.</w:t>
      </w:r>
    </w:p>
  </w:footnote>
  <w:footnote w:id="272">
    <w:p w14:paraId="27AE0B30" w14:textId="77777777" w:rsidR="00854EF5" w:rsidRPr="00983327" w:rsidRDefault="00854EF5" w:rsidP="00DA662D">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653(3) of the NGR.</w:t>
      </w:r>
    </w:p>
  </w:footnote>
  <w:footnote w:id="273">
    <w:p w14:paraId="5AF0016F" w14:textId="77777777" w:rsidR="00854EF5" w:rsidRPr="00983327" w:rsidRDefault="00854EF5" w:rsidP="00DA662D">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653(10) of the NGR.</w:t>
      </w:r>
    </w:p>
  </w:footnote>
  <w:footnote w:id="274">
    <w:p w14:paraId="4473E6BA" w14:textId="77777777" w:rsidR="00854EF5" w:rsidRPr="00983327" w:rsidRDefault="00854EF5" w:rsidP="00DA662D">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rules 651(3) and 653(1) of the NGR.</w:t>
      </w:r>
    </w:p>
  </w:footnote>
  <w:footnote w:id="275">
    <w:p w14:paraId="2D673A86" w14:textId="77777777" w:rsidR="00854EF5" w:rsidRPr="00983327" w:rsidRDefault="00854EF5" w:rsidP="00DA662D">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653(8) of the NGR.</w:t>
      </w:r>
    </w:p>
  </w:footnote>
  <w:footnote w:id="276">
    <w:p w14:paraId="6C3CEF0F" w14:textId="77777777" w:rsidR="00854EF5" w:rsidRPr="00983327" w:rsidRDefault="00854EF5" w:rsidP="001C7A93">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See rule 653(1) of the NGR.</w:t>
      </w:r>
    </w:p>
  </w:footnote>
  <w:footnote w:id="277">
    <w:p w14:paraId="78ABFE1E" w14:textId="77777777" w:rsidR="00854EF5" w:rsidRPr="00983327" w:rsidRDefault="00854EF5" w:rsidP="001C7A93">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See Schedule 5, Part 4, rule 10 of the NGR.</w:t>
      </w:r>
    </w:p>
  </w:footnote>
  <w:footnote w:id="278">
    <w:p w14:paraId="7940C5D9" w14:textId="77777777" w:rsidR="00854EF5" w:rsidRPr="00983327" w:rsidRDefault="00854EF5" w:rsidP="001C7A93">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See Schedule 5, Part 4, rule 10 of the NGR.</w:t>
      </w:r>
    </w:p>
  </w:footnote>
  <w:footnote w:id="279">
    <w:p w14:paraId="44F306E6" w14:textId="77777777" w:rsidR="00854EF5" w:rsidRPr="00983327" w:rsidRDefault="00854EF5" w:rsidP="001C7A93">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See rule 190A of the NGR.</w:t>
      </w:r>
    </w:p>
  </w:footnote>
  <w:footnote w:id="280">
    <w:p w14:paraId="3A5C8324" w14:textId="5788CA42" w:rsidR="00854EF5" w:rsidRPr="00983327" w:rsidRDefault="00854EF5" w:rsidP="001C7A93">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See rule 654(2)(a) of the NGR.</w:t>
      </w:r>
    </w:p>
  </w:footnote>
  <w:footnote w:id="281">
    <w:p w14:paraId="0A1FD0E7" w14:textId="243A1B45" w:rsidR="00854EF5" w:rsidRPr="00983327" w:rsidRDefault="00854EF5" w:rsidP="001C7A93">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See rule 654(2)(b) of the NGR.</w:t>
      </w:r>
    </w:p>
  </w:footnote>
  <w:footnote w:id="282">
    <w:p w14:paraId="019DD2B6" w14:textId="77777777" w:rsidR="00854EF5" w:rsidRPr="00983327" w:rsidRDefault="00854EF5" w:rsidP="001C7A93">
      <w:pPr>
        <w:pStyle w:val="FootnoteText"/>
        <w:spacing w:before="0" w:after="20"/>
        <w:ind w:left="357" w:hanging="357"/>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See, for example, rules 653 and 654(2)-(3) of the NGR.  See also sections 91FEE – 91FEG of the NGL.</w:t>
      </w:r>
    </w:p>
  </w:footnote>
  <w:footnote w:id="283">
    <w:p w14:paraId="1EA94AB7" w14:textId="77777777" w:rsidR="00854EF5" w:rsidRPr="00983327" w:rsidRDefault="00854EF5" w:rsidP="001C7A93">
      <w:pPr>
        <w:autoSpaceDE w:val="0"/>
        <w:autoSpaceDN w:val="0"/>
        <w:adjustRightInd w:val="0"/>
        <w:spacing w:after="20" w:line="240" w:lineRule="auto"/>
        <w:ind w:left="357" w:hanging="357"/>
        <w:rPr>
          <w:sz w:val="16"/>
          <w:szCs w:val="16"/>
        </w:rPr>
      </w:pPr>
      <w:r w:rsidRPr="00983327">
        <w:rPr>
          <w:rStyle w:val="FootnoteReference"/>
          <w:rFonts w:asciiTheme="majorHAnsi" w:hAnsiTheme="majorHAnsi" w:cstheme="majorHAnsi"/>
          <w:sz w:val="16"/>
          <w:szCs w:val="16"/>
        </w:rPr>
        <w:footnoteRef/>
      </w:r>
      <w:r w:rsidRPr="00983327">
        <w:rPr>
          <w:rFonts w:asciiTheme="majorHAnsi" w:hAnsiTheme="majorHAnsi" w:cstheme="majorHAnsi"/>
          <w:sz w:val="16"/>
          <w:szCs w:val="16"/>
        </w:rPr>
        <w:t xml:space="preserve"> </w:t>
      </w:r>
      <w:r w:rsidRPr="00983327">
        <w:rPr>
          <w:rFonts w:asciiTheme="majorHAnsi" w:hAnsiTheme="majorHAnsi" w:cstheme="majorHAnsi"/>
          <w:sz w:val="16"/>
          <w:szCs w:val="16"/>
        </w:rPr>
        <w:tab/>
        <w:t>The Part 24 information standard means the practices, methods and acts that would reasonably be expected from an experienced and competent person engaged in the ownership, operation or control of a transportation facility of the applicable type acting with all due diligence, prudence and foresight and in compliance with all applicable legislation (including these rules), authorisations and industry codes of practice.</w:t>
      </w:r>
    </w:p>
  </w:footnote>
  <w:footnote w:id="284">
    <w:p w14:paraId="5FA4039B" w14:textId="77777777" w:rsidR="00854EF5" w:rsidRPr="00983327" w:rsidRDefault="00854EF5" w:rsidP="001C7A93">
      <w:pPr>
        <w:pStyle w:val="FootnoteText"/>
        <w:spacing w:before="0" w:after="20"/>
        <w:rPr>
          <w:szCs w:val="16"/>
        </w:rPr>
      </w:pPr>
      <w:r w:rsidRPr="00983327">
        <w:rPr>
          <w:rStyle w:val="FootnoteReference"/>
          <w:szCs w:val="16"/>
        </w:rPr>
        <w:footnoteRef/>
      </w:r>
      <w:r w:rsidRPr="00983327">
        <w:rPr>
          <w:szCs w:val="16"/>
        </w:rPr>
        <w:t xml:space="preserve"> </w:t>
      </w:r>
      <w:r w:rsidRPr="00983327">
        <w:rPr>
          <w:szCs w:val="16"/>
        </w:rPr>
        <w:tab/>
        <w:t>See rule 655 of the NGR.</w:t>
      </w:r>
    </w:p>
  </w:footnote>
  <w:footnote w:id="285">
    <w:p w14:paraId="322B2E55" w14:textId="77777777" w:rsidR="00854EF5" w:rsidRPr="00983327" w:rsidRDefault="00854EF5" w:rsidP="005F5D5C">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657 of the NGR.</w:t>
      </w:r>
    </w:p>
  </w:footnote>
  <w:footnote w:id="286">
    <w:p w14:paraId="3D9D4CF1" w14:textId="77777777" w:rsidR="00854EF5" w:rsidRPr="00983327" w:rsidRDefault="00854EF5" w:rsidP="005F5D5C">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661(1) of the NGR.</w:t>
      </w:r>
    </w:p>
  </w:footnote>
  <w:footnote w:id="287">
    <w:p w14:paraId="569DA020" w14:textId="77777777" w:rsidR="00854EF5" w:rsidRPr="00983327" w:rsidRDefault="00854EF5" w:rsidP="00A90607">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662 of the NGR.</w:t>
      </w:r>
    </w:p>
  </w:footnote>
  <w:footnote w:id="288">
    <w:p w14:paraId="7814DF03" w14:textId="77777777" w:rsidR="00854EF5" w:rsidRPr="00983327" w:rsidRDefault="00854EF5" w:rsidP="00A90607">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663 of the NGR.</w:t>
      </w:r>
    </w:p>
  </w:footnote>
  <w:footnote w:id="289">
    <w:p w14:paraId="53BC6BCD" w14:textId="77777777" w:rsidR="00854EF5" w:rsidRPr="00983327" w:rsidRDefault="00854EF5" w:rsidP="00A90607">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rules 661(2)-(3) of the NGR.</w:t>
      </w:r>
    </w:p>
  </w:footnote>
  <w:footnote w:id="290">
    <w:p w14:paraId="7E807F18" w14:textId="77777777" w:rsidR="00854EF5" w:rsidRPr="00983327" w:rsidRDefault="00854EF5" w:rsidP="00A90607">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664 of the NGR.</w:t>
      </w:r>
    </w:p>
  </w:footnote>
  <w:footnote w:id="291">
    <w:p w14:paraId="2298C3F1" w14:textId="77777777" w:rsidR="00854EF5" w:rsidRPr="00983327" w:rsidRDefault="00854EF5" w:rsidP="00A90607">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rules 665-666 of the NGR.</w:t>
      </w:r>
    </w:p>
  </w:footnote>
  <w:footnote w:id="292">
    <w:p w14:paraId="59A1B0B8" w14:textId="77777777" w:rsidR="00854EF5" w:rsidRPr="00983327" w:rsidRDefault="00854EF5" w:rsidP="00A90607">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rules 665(2) and 666(4) of the NGR.</w:t>
      </w:r>
    </w:p>
  </w:footnote>
  <w:footnote w:id="293">
    <w:p w14:paraId="2B055737"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1 (items 68A and 68N-68X).</w:t>
      </w:r>
    </w:p>
  </w:footnote>
  <w:footnote w:id="294">
    <w:p w14:paraId="06EFA0B1"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section 74 of the NGL.</w:t>
      </w:r>
    </w:p>
  </w:footnote>
  <w:footnote w:id="295">
    <w:p w14:paraId="31F45342"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Chapter 2, Part 6 (Role of AEMO under the NGL) of the NGL and, in particular, section 91A, Division 2C, Division 2D, Division 6 (Subdivision 3 and Subdivision 4), Division 7 (section 91GG) and Division 8 (section 91H). </w:t>
      </w:r>
    </w:p>
  </w:footnote>
  <w:footnote w:id="296">
    <w:p w14:paraId="052AE438"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Chapter 2, Part 6, Division 6, Subdivision 3 of the NGL. If a person provides AEMO with information that the person knows is false or misleading, the maximum penalty is $2,000 in the case of a natural person and $10,000 in the case of a body corporate.</w:t>
      </w:r>
    </w:p>
  </w:footnote>
  <w:footnote w:id="297">
    <w:p w14:paraId="5981F8A2" w14:textId="77777777" w:rsidR="00854EF5" w:rsidRPr="00983327" w:rsidRDefault="00854EF5" w:rsidP="004E6D24">
      <w:pPr>
        <w:pStyle w:val="FootnoteText"/>
        <w:rPr>
          <w:szCs w:val="16"/>
        </w:rPr>
      </w:pPr>
      <w:r w:rsidRPr="00983327">
        <w:rPr>
          <w:rStyle w:val="FootnoteReference"/>
          <w:szCs w:val="16"/>
        </w:rPr>
        <w:footnoteRef/>
      </w:r>
      <w:r w:rsidRPr="00983327">
        <w:rPr>
          <w:szCs w:val="16"/>
        </w:rPr>
        <w:t xml:space="preserve"> </w:t>
      </w:r>
      <w:r w:rsidRPr="00983327">
        <w:rPr>
          <w:szCs w:val="16"/>
        </w:rPr>
        <w:tab/>
        <w:t>See section 91FEH of the NGL.</w:t>
      </w:r>
    </w:p>
  </w:footnote>
  <w:footnote w:id="298">
    <w:p w14:paraId="6A2C32D8"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section 91FEI of the NGL.</w:t>
      </w:r>
    </w:p>
  </w:footnote>
  <w:footnote w:id="299">
    <w:p w14:paraId="3CA77A10"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An exclusivity right means an express contractual right that arose under a contract entered into before the NGL amendments were made that prevents or otherwise limits or controls the supply by a service provider of transportation services to persons who are not parties to the relevant contract.</w:t>
      </w:r>
    </w:p>
  </w:footnote>
  <w:footnote w:id="300">
    <w:p w14:paraId="00027961" w14:textId="4E918312"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clause 91 of Part 15 of Schedule 3 to NGL.</w:t>
      </w:r>
    </w:p>
  </w:footnote>
  <w:footnote w:id="301">
    <w:p w14:paraId="79F72F3D" w14:textId="2655D70A" w:rsidR="00854EF5" w:rsidRPr="00983327" w:rsidRDefault="00854EF5" w:rsidP="003801AA">
      <w:pPr>
        <w:pStyle w:val="FootnoteText"/>
        <w:rPr>
          <w:szCs w:val="16"/>
        </w:rPr>
      </w:pPr>
      <w:r w:rsidRPr="00983327">
        <w:rPr>
          <w:rStyle w:val="FootnoteReference"/>
          <w:szCs w:val="16"/>
        </w:rPr>
        <w:footnoteRef/>
      </w:r>
      <w:r w:rsidRPr="00983327">
        <w:rPr>
          <w:szCs w:val="16"/>
        </w:rPr>
        <w:t xml:space="preserve"> </w:t>
      </w:r>
      <w:r w:rsidRPr="00983327">
        <w:rPr>
          <w:szCs w:val="16"/>
        </w:rPr>
        <w:tab/>
        <w:t>See clause 92 of Part 15 of Schedule 3 to the NGL.</w:t>
      </w:r>
    </w:p>
  </w:footnote>
  <w:footnote w:id="302">
    <w:p w14:paraId="1ADC2F6D"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 645 of the NGR.</w:t>
      </w:r>
    </w:p>
  </w:footnote>
  <w:footnote w:id="303">
    <w:p w14:paraId="0C141808" w14:textId="77777777" w:rsidR="00854EF5" w:rsidRPr="00983327" w:rsidRDefault="00854EF5" w:rsidP="00B71783">
      <w:pPr>
        <w:pStyle w:val="FootnoteText"/>
        <w:rPr>
          <w:szCs w:val="16"/>
        </w:rPr>
      </w:pPr>
      <w:r w:rsidRPr="00983327">
        <w:rPr>
          <w:rStyle w:val="FootnoteReference"/>
          <w:szCs w:val="16"/>
        </w:rPr>
        <w:footnoteRef/>
      </w:r>
      <w:r w:rsidRPr="00983327">
        <w:rPr>
          <w:szCs w:val="16"/>
        </w:rPr>
        <w:t xml:space="preserve"> </w:t>
      </w:r>
      <w:r w:rsidRPr="00983327">
        <w:rPr>
          <w:szCs w:val="16"/>
        </w:rPr>
        <w:tab/>
        <w:t>See rules 656 of the NGR.</w:t>
      </w:r>
    </w:p>
  </w:footnote>
  <w:footnote w:id="304">
    <w:p w14:paraId="79EA9D8E" w14:textId="77777777" w:rsidR="00854EF5" w:rsidRPr="00983327" w:rsidRDefault="00854EF5" w:rsidP="001F6E9D">
      <w:pPr>
        <w:pStyle w:val="FootnoteText"/>
        <w:rPr>
          <w:szCs w:val="16"/>
        </w:rPr>
      </w:pPr>
      <w:r w:rsidRPr="00983327">
        <w:rPr>
          <w:rStyle w:val="FootnoteReference"/>
          <w:szCs w:val="16"/>
        </w:rPr>
        <w:footnoteRef/>
      </w:r>
      <w:r w:rsidRPr="00983327">
        <w:rPr>
          <w:szCs w:val="16"/>
        </w:rPr>
        <w:t xml:space="preserve"> </w:t>
      </w:r>
      <w:r w:rsidRPr="00983327">
        <w:rPr>
          <w:szCs w:val="16"/>
        </w:rPr>
        <w:tab/>
        <w:t>See rule 659 of the NGR.</w:t>
      </w:r>
    </w:p>
  </w:footnote>
  <w:footnote w:id="305">
    <w:p w14:paraId="38AB48B2" w14:textId="77777777" w:rsidR="00854EF5" w:rsidRPr="00983327" w:rsidRDefault="00854EF5" w:rsidP="00B71783">
      <w:pPr>
        <w:pStyle w:val="FootnoteText"/>
        <w:rPr>
          <w:szCs w:val="16"/>
        </w:rPr>
      </w:pPr>
      <w:r w:rsidRPr="00983327">
        <w:rPr>
          <w:rStyle w:val="FootnoteReference"/>
          <w:szCs w:val="16"/>
        </w:rPr>
        <w:footnoteRef/>
      </w:r>
      <w:r w:rsidRPr="00983327">
        <w:rPr>
          <w:szCs w:val="16"/>
        </w:rPr>
        <w:t xml:space="preserve"> </w:t>
      </w:r>
      <w:r w:rsidRPr="00983327">
        <w:rPr>
          <w:szCs w:val="16"/>
        </w:rPr>
        <w:tab/>
        <w:t>See rule 657 of the NGR.</w:t>
      </w:r>
    </w:p>
  </w:footnote>
  <w:footnote w:id="306">
    <w:p w14:paraId="1E10B519" w14:textId="77777777" w:rsidR="00854EF5" w:rsidRPr="00983327" w:rsidRDefault="00854EF5" w:rsidP="004504F1">
      <w:pPr>
        <w:pStyle w:val="FootnoteText"/>
        <w:rPr>
          <w:szCs w:val="16"/>
        </w:rPr>
      </w:pPr>
      <w:r w:rsidRPr="00983327">
        <w:rPr>
          <w:rStyle w:val="FootnoteReference"/>
          <w:szCs w:val="16"/>
        </w:rPr>
        <w:footnoteRef/>
      </w:r>
      <w:r w:rsidRPr="00983327">
        <w:rPr>
          <w:szCs w:val="16"/>
        </w:rPr>
        <w:t xml:space="preserve"> </w:t>
      </w:r>
      <w:r w:rsidRPr="00983327">
        <w:rPr>
          <w:szCs w:val="16"/>
        </w:rPr>
        <w:tab/>
        <w:t>See rules 650-651 of the NGR.</w:t>
      </w:r>
    </w:p>
  </w:footnote>
  <w:footnote w:id="307">
    <w:p w14:paraId="02005129"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rules 652-653 of the NGR.</w:t>
      </w:r>
    </w:p>
  </w:footnote>
  <w:footnote w:id="308">
    <w:p w14:paraId="61363389"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rules 654-655 of the NGR. </w:t>
      </w:r>
    </w:p>
  </w:footnote>
  <w:footnote w:id="309">
    <w:p w14:paraId="7763FDF6"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 649 of the NGR.</w:t>
      </w:r>
    </w:p>
  </w:footnote>
  <w:footnote w:id="310">
    <w:p w14:paraId="5212CC7D"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rules 661-662 and 664 of the NGR.</w:t>
      </w:r>
    </w:p>
  </w:footnote>
  <w:footnote w:id="311">
    <w:p w14:paraId="363BB6A5"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rules 665-666 of the NGR. These rules provide for the guidelines to be published as one instrument. </w:t>
      </w:r>
    </w:p>
  </w:footnote>
  <w:footnote w:id="312">
    <w:p w14:paraId="2BDAAC9D"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rules 660 and 667-675 of the NGR.</w:t>
      </w:r>
    </w:p>
  </w:footnote>
  <w:footnote w:id="313">
    <w:p w14:paraId="7F1CC040"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The commencement date for Part 25 will be specified by the South Australian Minister under section 294G of the NGL.</w:t>
      </w:r>
    </w:p>
  </w:footnote>
  <w:footnote w:id="314">
    <w:p w14:paraId="0D084074"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The commencement date for the auction is defined as 1 March 2019, or if the Part 25 commencement date is after 1 December 2018, the date falling 60 business days after the Part 25 commencement date.</w:t>
      </w:r>
    </w:p>
  </w:footnote>
  <w:footnote w:id="315">
    <w:p w14:paraId="109D5685"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transitional rules Schedule 5, Part 4, rules 1 and 2 of the NGR.</w:t>
      </w:r>
    </w:p>
  </w:footnote>
  <w:footnote w:id="316">
    <w:p w14:paraId="7F0CDE84"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transitional rules Schedule 5, Part 4, rules 3 to 10 of the NGR.</w:t>
      </w:r>
    </w:p>
  </w:footnote>
  <w:footnote w:id="317">
    <w:p w14:paraId="2BC1629E"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transitional rule Schedule 5, Part 4, rule 11 of the NGR. Note that the obligation to make and maintain records will commence on the day the auction starts (i.e. 1 March 2019 or if the Part 25 commencement date is after 1 December 2018, the date falling 60 business days after this date).</w:t>
      </w:r>
    </w:p>
  </w:footnote>
  <w:footnote w:id="318">
    <w:p w14:paraId="34F11A32"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transitional rule Schedule 5, Part 4, rule 12 of the NGR. This rule requires the AER to develop and publish the initial guidelines by 1 December 2018 (or if the Part 25 commencement date is after 1 December 2018, the date falling 20 business days after this date). </w:t>
      </w:r>
    </w:p>
  </w:footnote>
  <w:footnote w:id="319">
    <w:p w14:paraId="2086BEFE"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transitional rules in Schedule 5, Part 5 of the NGR.</w:t>
      </w:r>
    </w:p>
  </w:footnote>
  <w:footnote w:id="320">
    <w:p w14:paraId="6C59CD0B"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Part 24 Subdivision 3.1 of the NGR and the definition of ‘auction facility’ in Part 25 of the NGR.</w:t>
      </w:r>
    </w:p>
  </w:footnote>
  <w:footnote w:id="321">
    <w:p w14:paraId="4C1C16BB"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Part 24 Subdivision 2.1 of the NGR.</w:t>
      </w:r>
    </w:p>
  </w:footnote>
  <w:footnote w:id="322">
    <w:p w14:paraId="6CA0E7F6"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 632(2)(c) of the NGR.</w:t>
      </w:r>
    </w:p>
  </w:footnote>
  <w:footnote w:id="323">
    <w:p w14:paraId="73EFB503"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Part 24 Division 4 of the NGR.</w:t>
      </w:r>
    </w:p>
  </w:footnote>
  <w:footnote w:id="324">
    <w:p w14:paraId="4E001C9D" w14:textId="554B2D0D"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the changes to the definition of ‘daily capacity’ in rule 141(1) and ‘nameplate rating’ in rule 141(2) of the NGR. See also rule 168(2A) of the NGR.</w:t>
      </w:r>
    </w:p>
  </w:footnote>
  <w:footnote w:id="325">
    <w:p w14:paraId="75569BDB"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This information, coupled with historic daily flow data at a receipt and delivery point level, will enable auction participants and capacity trading platform users to assess the risks associated with trying to use the capacity procured through either mechanism at a particular point, given they will have lower priority at those points.</w:t>
      </w:r>
    </w:p>
  </w:footnote>
  <w:footnote w:id="326">
    <w:p w14:paraId="16A6252F"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the change to the definition of ‘remote pipeline’ in rule 141 of the NGR. </w:t>
      </w:r>
    </w:p>
  </w:footnote>
  <w:footnote w:id="327">
    <w:p w14:paraId="7EED4307"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The extension of the reporting obligation to these facilities will enable auction participants and capacity trading platform users that utilise these pipelines to assess the risks associated with trying to use the capacity procured through either the auction or capacity trading platform.</w:t>
      </w:r>
    </w:p>
  </w:footnote>
  <w:footnote w:id="328">
    <w:p w14:paraId="6F316444" w14:textId="77777777" w:rsidR="00854EF5" w:rsidRPr="00983327" w:rsidRDefault="00854EF5" w:rsidP="000048BA">
      <w:pPr>
        <w:pStyle w:val="FootnoteText"/>
        <w:spacing w:before="20" w:after="20"/>
        <w:rPr>
          <w:szCs w:val="16"/>
        </w:rPr>
      </w:pPr>
      <w:r w:rsidRPr="00983327">
        <w:rPr>
          <w:rStyle w:val="FootnoteReference"/>
          <w:szCs w:val="16"/>
        </w:rPr>
        <w:footnoteRef/>
      </w:r>
      <w:r w:rsidRPr="00983327">
        <w:rPr>
          <w:szCs w:val="16"/>
        </w:rPr>
        <w:t xml:space="preserve"> </w:t>
      </w:r>
      <w:r w:rsidRPr="00983327">
        <w:rPr>
          <w:szCs w:val="16"/>
        </w:rPr>
        <w:tab/>
        <w:t>See rule 190A of the NGR. Note that this obligation does not commence until the auction commences (see Schedule 5, Part 2, rule 2(1) of the NGR).</w:t>
      </w:r>
    </w:p>
  </w:footnote>
  <w:footnote w:id="329">
    <w:p w14:paraId="54E0874D"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 195B of the NGR. Note that this obligation does not commence until the auction commences (see Schedule 5, Part 2, rule 2(2) of the NGR).</w:t>
      </w:r>
    </w:p>
  </w:footnote>
  <w:footnote w:id="330">
    <w:p w14:paraId="44B385E4" w14:textId="77777777" w:rsidR="00854EF5" w:rsidRPr="00983327" w:rsidRDefault="00854EF5" w:rsidP="00497877">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The maximum civil monetary liability is $400,000 for each person that suffers loss (capped at $20 million for a prescribed 12 month period). </w:t>
      </w:r>
    </w:p>
  </w:footnote>
  <w:footnote w:id="331">
    <w:p w14:paraId="36244B67" w14:textId="77777777" w:rsidR="00854EF5" w:rsidRPr="00983327" w:rsidRDefault="00854EF5" w:rsidP="000204F6">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These arrangements specify the rules used to allocate gas that is metered as having been supplied (or deemed to have been delivered) to a multi-user receipt or delivery point between shippers using these points.</w:t>
      </w:r>
    </w:p>
  </w:footnote>
  <w:footnote w:id="332">
    <w:p w14:paraId="296D8483"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GMRG, Final Recommendations on the Capacity Trading Reform Package (Standardisation, capacity trading platform and reporting framework for secondary trades), November 2017 and GMRG, Final Recommendations on the Design of the Day-Ahead Auction of Contracted but Un-Nominated Capacity, December 2017.</w:t>
      </w:r>
    </w:p>
  </w:footnote>
  <w:footnote w:id="333">
    <w:p w14:paraId="6981641D"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rules 190C(1) and 190E(1) of the NGR.</w:t>
      </w:r>
    </w:p>
  </w:footnote>
  <w:footnote w:id="334">
    <w:p w14:paraId="23EA942A"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141 of the NGR.</w:t>
      </w:r>
    </w:p>
  </w:footnote>
  <w:footnote w:id="335">
    <w:p w14:paraId="7942CABF"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141(2A) of the NGR.</w:t>
      </w:r>
    </w:p>
  </w:footnote>
  <w:footnote w:id="336">
    <w:p w14:paraId="12690A22"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190C (2) of the NGR.</w:t>
      </w:r>
    </w:p>
  </w:footnote>
  <w:footnote w:id="337">
    <w:p w14:paraId="62B680DB"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rules 190C(3) and 190E(2) of the NGR.</w:t>
      </w:r>
    </w:p>
  </w:footnote>
  <w:footnote w:id="338">
    <w:p w14:paraId="0E7A4ED8" w14:textId="3D377AB2"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rules 190C and 190D of the NGR.</w:t>
      </w:r>
    </w:p>
  </w:footnote>
  <w:footnote w:id="339">
    <w:p w14:paraId="052F5C8F"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Note that trades must be reported within these time frames (as required under rule 190C of the NGR) from 1 March 2019 (see transitional rule Schedule 5, Part 2, rule 3 of the NGR). The commencement of reporting is not linked to the registration of a transportation facility under Part 18 or Part 24 of the NGR.</w:t>
      </w:r>
    </w:p>
  </w:footnote>
  <w:footnote w:id="340">
    <w:p w14:paraId="04FE943F"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190C(5) of the NGR.</w:t>
      </w:r>
    </w:p>
  </w:footnote>
  <w:footnote w:id="341">
    <w:p w14:paraId="3589F480"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170A of the NGR.</w:t>
      </w:r>
    </w:p>
  </w:footnote>
  <w:footnote w:id="342">
    <w:p w14:paraId="0875B483" w14:textId="77777777" w:rsidR="00854EF5" w:rsidRPr="00983327" w:rsidRDefault="00854EF5" w:rsidP="008C7B7D">
      <w:pPr>
        <w:pStyle w:val="FootnoteText"/>
        <w:rPr>
          <w:szCs w:val="16"/>
        </w:rPr>
      </w:pPr>
      <w:r w:rsidRPr="00983327">
        <w:rPr>
          <w:rStyle w:val="FootnoteReference"/>
          <w:szCs w:val="16"/>
        </w:rPr>
        <w:footnoteRef/>
      </w:r>
      <w:r w:rsidRPr="00983327">
        <w:rPr>
          <w:szCs w:val="16"/>
        </w:rPr>
        <w:t xml:space="preserve"> </w:t>
      </w:r>
      <w:r w:rsidRPr="00983327">
        <w:rPr>
          <w:szCs w:val="16"/>
        </w:rPr>
        <w:tab/>
        <w:t>See rule 141 of the NGR.</w:t>
      </w:r>
    </w:p>
  </w:footnote>
  <w:footnote w:id="343">
    <w:p w14:paraId="269AA92F"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165(2) of the NGR.</w:t>
      </w:r>
    </w:p>
  </w:footnote>
  <w:footnote w:id="344">
    <w:p w14:paraId="16592E44"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168(2A) of the NGR.</w:t>
      </w:r>
    </w:p>
  </w:footnote>
  <w:footnote w:id="345">
    <w:p w14:paraId="7650B766"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changes to the definition of remote pipelines in rule 141 of the NGR.</w:t>
      </w:r>
    </w:p>
  </w:footnote>
  <w:footnote w:id="346">
    <w:p w14:paraId="1198B5F3"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5 of the NGR.</w:t>
      </w:r>
    </w:p>
  </w:footnote>
  <w:footnote w:id="347">
    <w:p w14:paraId="2A88E25A" w14:textId="77777777" w:rsidR="00854EF5" w:rsidRPr="00983327" w:rsidRDefault="00854EF5" w:rsidP="008C7B7D">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5, rule 3 of the NGR.</w:t>
      </w:r>
    </w:p>
  </w:footnote>
  <w:footnote w:id="348">
    <w:p w14:paraId="60605D93"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section 74(1)(a)(iii) and Schedule 1 (item 56) of the NGL.</w:t>
      </w:r>
    </w:p>
  </w:footnote>
  <w:footnote w:id="349">
    <w:p w14:paraId="6BF2CA29"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sections 218 and 219 of the NGL.</w:t>
      </w:r>
    </w:p>
  </w:footnote>
  <w:footnote w:id="350">
    <w:p w14:paraId="5C42671A"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223A(1) and (2) of the NGL.</w:t>
      </w:r>
    </w:p>
  </w:footnote>
  <w:footnote w:id="351">
    <w:p w14:paraId="7A7A32F9"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223A(4) of the NGL.</w:t>
      </w:r>
    </w:p>
  </w:footnote>
  <w:footnote w:id="352">
    <w:p w14:paraId="3D027531"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224 of the NGL.</w:t>
      </w:r>
    </w:p>
  </w:footnote>
  <w:footnote w:id="353">
    <w:p w14:paraId="2256A0A9"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223(1)(b) of the NGL.</w:t>
      </w:r>
    </w:p>
  </w:footnote>
  <w:footnote w:id="354">
    <w:p w14:paraId="705E2E49" w14:textId="56F6EEA6"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During the transitional phase for compression facility reporting, the obligation for compression service facility operators to provide AEMO with information and the associated obligations (e.g. the obligation not to provide false and misleading information) arises under sections 91FEE-91FEG.</w:t>
      </w:r>
    </w:p>
  </w:footnote>
  <w:footnote w:id="355">
    <w:p w14:paraId="68229DE1"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 158C of the NGR.</w:t>
      </w:r>
    </w:p>
  </w:footnote>
  <w:footnote w:id="356">
    <w:p w14:paraId="130FA838" w14:textId="7351C0F2" w:rsidR="00854EF5" w:rsidRPr="00983327" w:rsidRDefault="00854EF5" w:rsidP="00772DE6">
      <w:pPr>
        <w:pStyle w:val="FootnoteText"/>
        <w:rPr>
          <w:szCs w:val="16"/>
        </w:rPr>
      </w:pPr>
      <w:r w:rsidRPr="00983327">
        <w:rPr>
          <w:rStyle w:val="FootnoteReference"/>
          <w:szCs w:val="16"/>
        </w:rPr>
        <w:footnoteRef/>
      </w:r>
      <w:r w:rsidRPr="00983327">
        <w:rPr>
          <w:szCs w:val="16"/>
        </w:rPr>
        <w:t xml:space="preserve"> </w:t>
      </w:r>
      <w:r w:rsidRPr="00983327">
        <w:rPr>
          <w:szCs w:val="16"/>
        </w:rPr>
        <w:tab/>
        <w:t>See rules 190C and 141(2A) of the NGR.</w:t>
      </w:r>
    </w:p>
  </w:footnote>
  <w:footnote w:id="357">
    <w:p w14:paraId="5AB519E6" w14:textId="64E835CA" w:rsidR="00854EF5" w:rsidRPr="00983327" w:rsidRDefault="00854EF5" w:rsidP="00772DE6">
      <w:pPr>
        <w:pStyle w:val="FootnoteText"/>
        <w:rPr>
          <w:szCs w:val="16"/>
        </w:rPr>
      </w:pPr>
      <w:r w:rsidRPr="00983327">
        <w:rPr>
          <w:rStyle w:val="FootnoteReference"/>
          <w:szCs w:val="16"/>
        </w:rPr>
        <w:footnoteRef/>
      </w:r>
      <w:r w:rsidRPr="00983327">
        <w:rPr>
          <w:szCs w:val="16"/>
        </w:rPr>
        <w:t xml:space="preserve"> </w:t>
      </w:r>
      <w:r w:rsidRPr="00983327">
        <w:rPr>
          <w:szCs w:val="16"/>
        </w:rPr>
        <w:tab/>
        <w:t>See rule 190E of the NGR for the GSH Operator obligation.</w:t>
      </w:r>
    </w:p>
  </w:footnote>
  <w:footnote w:id="358">
    <w:p w14:paraId="70AF772D" w14:textId="77777777" w:rsidR="00854EF5" w:rsidRPr="00983327" w:rsidRDefault="00854EF5" w:rsidP="00772DE6">
      <w:pPr>
        <w:pStyle w:val="FootnoteText"/>
        <w:rPr>
          <w:b/>
          <w:i/>
          <w:szCs w:val="16"/>
        </w:rPr>
      </w:pPr>
      <w:r w:rsidRPr="00983327">
        <w:rPr>
          <w:rStyle w:val="FootnoteReference"/>
          <w:szCs w:val="16"/>
        </w:rPr>
        <w:footnoteRef/>
      </w:r>
      <w:r w:rsidRPr="00983327">
        <w:rPr>
          <w:szCs w:val="16"/>
        </w:rPr>
        <w:t xml:space="preserve"> </w:t>
      </w:r>
      <w:r w:rsidRPr="00983327">
        <w:rPr>
          <w:szCs w:val="16"/>
        </w:rPr>
        <w:tab/>
        <w:t xml:space="preserve">See rule 195A of the NGR. </w:t>
      </w:r>
    </w:p>
  </w:footnote>
  <w:footnote w:id="359">
    <w:p w14:paraId="167BE566"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190D of the NGR.</w:t>
      </w:r>
    </w:p>
  </w:footnote>
  <w:footnote w:id="360">
    <w:p w14:paraId="2A1C2AD6" w14:textId="25822551" w:rsidR="00854EF5" w:rsidRPr="00983327" w:rsidRDefault="00854EF5" w:rsidP="002863FD">
      <w:pPr>
        <w:pStyle w:val="FootnoteText"/>
        <w:rPr>
          <w:szCs w:val="16"/>
        </w:rPr>
      </w:pPr>
      <w:r w:rsidRPr="00983327">
        <w:rPr>
          <w:rStyle w:val="FootnoteReference"/>
          <w:szCs w:val="16"/>
        </w:rPr>
        <w:footnoteRef/>
      </w:r>
      <w:r w:rsidRPr="00983327">
        <w:rPr>
          <w:szCs w:val="16"/>
        </w:rPr>
        <w:t xml:space="preserve"> </w:t>
      </w:r>
      <w:r w:rsidRPr="00983327">
        <w:rPr>
          <w:szCs w:val="16"/>
        </w:rPr>
        <w:tab/>
        <w:t>See definitions of BB allocation point and BB allocation agent in rule 141(1) of the NGR.</w:t>
      </w:r>
    </w:p>
  </w:footnote>
  <w:footnote w:id="361">
    <w:p w14:paraId="15A410BD" w14:textId="77777777" w:rsidR="00854EF5" w:rsidRPr="00983327" w:rsidRDefault="00854EF5" w:rsidP="00772DE6">
      <w:pPr>
        <w:pStyle w:val="FootnoteText"/>
        <w:rPr>
          <w:szCs w:val="16"/>
        </w:rPr>
      </w:pPr>
      <w:r w:rsidRPr="00983327">
        <w:rPr>
          <w:rStyle w:val="FootnoteReference"/>
          <w:szCs w:val="16"/>
        </w:rPr>
        <w:footnoteRef/>
      </w:r>
      <w:r w:rsidRPr="00983327">
        <w:rPr>
          <w:szCs w:val="16"/>
        </w:rPr>
        <w:t xml:space="preserve"> </w:t>
      </w:r>
      <w:r w:rsidRPr="00983327">
        <w:rPr>
          <w:szCs w:val="16"/>
        </w:rPr>
        <w:tab/>
        <w:t>See rules 158A and 158B of the NGR.</w:t>
      </w:r>
    </w:p>
  </w:footnote>
  <w:footnote w:id="362">
    <w:p w14:paraId="5222D097" w14:textId="77777777" w:rsidR="00854EF5" w:rsidRPr="00983327" w:rsidRDefault="00854EF5" w:rsidP="002863FD">
      <w:pPr>
        <w:pStyle w:val="FootnoteText"/>
        <w:rPr>
          <w:szCs w:val="16"/>
        </w:rPr>
      </w:pPr>
      <w:r w:rsidRPr="00983327">
        <w:rPr>
          <w:rStyle w:val="FootnoteReference"/>
          <w:szCs w:val="16"/>
        </w:rPr>
        <w:footnoteRef/>
      </w:r>
      <w:r w:rsidRPr="00983327">
        <w:rPr>
          <w:szCs w:val="16"/>
        </w:rPr>
        <w:t xml:space="preserve"> </w:t>
      </w:r>
      <w:r w:rsidRPr="00983327">
        <w:rPr>
          <w:szCs w:val="16"/>
        </w:rPr>
        <w:tab/>
        <w:t>See rule 160(5) and (6) of the NGR.</w:t>
      </w:r>
    </w:p>
  </w:footnote>
  <w:footnote w:id="363">
    <w:p w14:paraId="1CA917F6" w14:textId="4B27E4A9" w:rsidR="00854EF5" w:rsidRPr="00983327" w:rsidRDefault="00854EF5" w:rsidP="002863FD">
      <w:pPr>
        <w:pStyle w:val="FootnoteText"/>
        <w:rPr>
          <w:szCs w:val="16"/>
        </w:rPr>
      </w:pPr>
      <w:r w:rsidRPr="00983327">
        <w:rPr>
          <w:rStyle w:val="FootnoteReference"/>
          <w:szCs w:val="16"/>
        </w:rPr>
        <w:footnoteRef/>
      </w:r>
      <w:r w:rsidRPr="00983327">
        <w:rPr>
          <w:szCs w:val="16"/>
        </w:rPr>
        <w:t xml:space="preserve"> </w:t>
      </w:r>
      <w:r w:rsidRPr="00983327">
        <w:rPr>
          <w:szCs w:val="16"/>
        </w:rPr>
        <w:tab/>
        <w:t>See rule 161(6) of the NGR.</w:t>
      </w:r>
    </w:p>
  </w:footnote>
  <w:footnote w:id="364">
    <w:p w14:paraId="1E08E973" w14:textId="77777777" w:rsidR="00854EF5" w:rsidRPr="00983327" w:rsidRDefault="00854EF5" w:rsidP="00772DE6">
      <w:pPr>
        <w:pStyle w:val="FootnoteText"/>
        <w:rPr>
          <w:b/>
          <w:i/>
          <w:szCs w:val="16"/>
        </w:rPr>
      </w:pPr>
      <w:r w:rsidRPr="00983327">
        <w:rPr>
          <w:rStyle w:val="FootnoteReference"/>
          <w:szCs w:val="16"/>
        </w:rPr>
        <w:footnoteRef/>
      </w:r>
      <w:r w:rsidRPr="00983327">
        <w:rPr>
          <w:szCs w:val="16"/>
        </w:rPr>
        <w:t xml:space="preserve"> </w:t>
      </w:r>
      <w:r w:rsidRPr="00983327">
        <w:rPr>
          <w:szCs w:val="16"/>
        </w:rPr>
        <w:tab/>
        <w:t xml:space="preserve">See rule 170A of the NGR. </w:t>
      </w:r>
    </w:p>
  </w:footnote>
  <w:footnote w:id="365">
    <w:p w14:paraId="56F09347" w14:textId="7519C428"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rule 165(2)(c) of the NGR.</w:t>
      </w:r>
    </w:p>
  </w:footnote>
  <w:footnote w:id="366">
    <w:p w14:paraId="664EF4F7" w14:textId="655C976A" w:rsidR="00854EF5" w:rsidRPr="00983327" w:rsidRDefault="00854EF5" w:rsidP="00772DE6">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2, rule 4 of the NGR.</w:t>
      </w:r>
    </w:p>
  </w:footnote>
  <w:footnote w:id="367">
    <w:p w14:paraId="1AB3EDD4" w14:textId="09EA3C58" w:rsidR="00854EF5" w:rsidRPr="00983327" w:rsidRDefault="00854EF5" w:rsidP="00C855EC">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5, rule 1 of the NGR</w:t>
      </w:r>
    </w:p>
  </w:footnote>
  <w:footnote w:id="368">
    <w:p w14:paraId="0F65D63D"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5, rules 5-14 of the NGR.</w:t>
      </w:r>
    </w:p>
  </w:footnote>
  <w:footnote w:id="369">
    <w:p w14:paraId="50D88F0B" w14:textId="77777777" w:rsidR="00854EF5" w:rsidRPr="00983327" w:rsidRDefault="00854EF5" w:rsidP="00A20BC2">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5, rules 3-4 of the NGR.</w:t>
      </w:r>
    </w:p>
  </w:footnote>
  <w:footnote w:id="370">
    <w:p w14:paraId="1EF46B45" w14:textId="526E41DA"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5, rule 4(1) of the NGR.</w:t>
      </w:r>
    </w:p>
  </w:footnote>
  <w:footnote w:id="371">
    <w:p w14:paraId="21C3FA7A" w14:textId="6A45893B" w:rsidR="00854EF5" w:rsidRPr="00983327" w:rsidRDefault="00854EF5" w:rsidP="00122958">
      <w:pPr>
        <w:pStyle w:val="FootnoteText"/>
        <w:rPr>
          <w:szCs w:val="16"/>
        </w:rPr>
      </w:pPr>
      <w:r w:rsidRPr="00983327">
        <w:rPr>
          <w:rStyle w:val="FootnoteReference"/>
          <w:szCs w:val="16"/>
        </w:rPr>
        <w:footnoteRef/>
      </w:r>
      <w:r w:rsidRPr="00983327">
        <w:rPr>
          <w:szCs w:val="16"/>
        </w:rPr>
        <w:t xml:space="preserve"> </w:t>
      </w:r>
      <w:r w:rsidRPr="00983327">
        <w:rPr>
          <w:szCs w:val="16"/>
        </w:rPr>
        <w:tab/>
        <w:t>The reporting obligation has been included in the Part 25 transitional rules rather than Part 18 because a separate amendment to the NGL is currently being progressed that will expand the scope of the Bulletin Board reporting obligations to include compressors. When this amendment is made, the AEMC will consider the second stage of its proposed Part 18 rule change, which provides for similar obligations to be applied to compression service facility operators. Once the new rules are implemented and the compression service facilities are registered under Part 18, the transitional rule in Part 5 of Schedule 5 will lapse.</w:t>
      </w:r>
    </w:p>
  </w:footnote>
  <w:footnote w:id="372">
    <w:p w14:paraId="766CEDF0" w14:textId="1BE38D54" w:rsidR="00854EF5" w:rsidRPr="00983327" w:rsidRDefault="00854EF5" w:rsidP="002863FD">
      <w:pPr>
        <w:pStyle w:val="FootnoteText"/>
        <w:rPr>
          <w:szCs w:val="16"/>
        </w:rPr>
      </w:pPr>
      <w:r w:rsidRPr="00983327">
        <w:rPr>
          <w:rStyle w:val="FootnoteReference"/>
          <w:szCs w:val="16"/>
        </w:rPr>
        <w:footnoteRef/>
      </w:r>
      <w:r w:rsidRPr="00983327">
        <w:rPr>
          <w:szCs w:val="16"/>
        </w:rPr>
        <w:t xml:space="preserve"> </w:t>
      </w:r>
      <w:r w:rsidRPr="00983327">
        <w:rPr>
          <w:szCs w:val="16"/>
        </w:rPr>
        <w:tab/>
        <w:t>See the changes to the definition of ‘daily capacity’ and ‘nameplate rating’ in rule 141(1). See also rule 168(2A) of the NGR.</w:t>
      </w:r>
    </w:p>
  </w:footnote>
  <w:footnote w:id="373">
    <w:p w14:paraId="4BF1054D" w14:textId="77777777" w:rsidR="00854EF5" w:rsidRPr="00983327" w:rsidRDefault="00854EF5" w:rsidP="002863FD">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the change to the definition of ‘remote pipeline’ in rule 141 of the NGR. </w:t>
      </w:r>
    </w:p>
  </w:footnote>
  <w:footnote w:id="374">
    <w:p w14:paraId="78653136"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Note that the obligation for allocation agents to provide AEMO information is also a civil penalty provision by virtue of the amendments to section 223 of the NGL.</w:t>
      </w:r>
    </w:p>
  </w:footnote>
  <w:footnote w:id="375">
    <w:p w14:paraId="5D1DE771"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The gas day start time in the DWGM is already 6 am (AEST).   </w:t>
      </w:r>
    </w:p>
  </w:footnote>
  <w:footnote w:id="376">
    <w:p w14:paraId="5F44B995" w14:textId="0EAFC1EC" w:rsidR="00854EF5" w:rsidRPr="00983327" w:rsidRDefault="00854EF5" w:rsidP="00C861AB">
      <w:pPr>
        <w:pStyle w:val="FootnoteText"/>
        <w:spacing w:beforeLines="20" w:before="48" w:after="0"/>
        <w:rPr>
          <w:szCs w:val="16"/>
        </w:rPr>
      </w:pPr>
      <w:r w:rsidRPr="00983327">
        <w:rPr>
          <w:rStyle w:val="FootnoteReference"/>
          <w:szCs w:val="16"/>
        </w:rPr>
        <w:footnoteRef/>
      </w:r>
      <w:r w:rsidRPr="00983327">
        <w:rPr>
          <w:szCs w:val="16"/>
        </w:rPr>
        <w:t xml:space="preserve"> </w:t>
      </w:r>
      <w:r w:rsidRPr="00983327">
        <w:rPr>
          <w:szCs w:val="16"/>
        </w:rPr>
        <w:tab/>
        <w:t>See AEMC, Final rule determination: National Gas Amendment (Gas Day Harmonisation) Rule 2017, 16 February 2017, pp. 21-24.</w:t>
      </w:r>
    </w:p>
  </w:footnote>
  <w:footnote w:id="377">
    <w:p w14:paraId="6A9079AB" w14:textId="77777777" w:rsidR="00854EF5" w:rsidRPr="00983327" w:rsidRDefault="00854EF5" w:rsidP="00C14918">
      <w:pPr>
        <w:pStyle w:val="FootnoteText"/>
        <w:rPr>
          <w:szCs w:val="16"/>
        </w:rPr>
      </w:pPr>
      <w:r w:rsidRPr="00983327">
        <w:rPr>
          <w:rStyle w:val="FootnoteReference"/>
          <w:szCs w:val="16"/>
        </w:rPr>
        <w:footnoteRef/>
      </w:r>
      <w:r w:rsidRPr="00983327">
        <w:rPr>
          <w:szCs w:val="16"/>
        </w:rPr>
        <w:t xml:space="preserve"> </w:t>
      </w:r>
      <w:r w:rsidRPr="00983327">
        <w:rPr>
          <w:szCs w:val="16"/>
        </w:rPr>
        <w:tab/>
        <w:t>See GMRG, Final Recommendations on the Capacity Trading Reform Package (Standardisation, capacity trading platform and reporting framework for secondary trades), November 2017.</w:t>
      </w:r>
    </w:p>
  </w:footnote>
  <w:footnote w:id="378">
    <w:p w14:paraId="43988E94" w14:textId="4D4F427B" w:rsidR="00854EF5" w:rsidRPr="00983327" w:rsidRDefault="00854EF5" w:rsidP="009A638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rule 676(3) of the NGR. The standard market timetable will not apply in Western Australia until the day an order under section 7A of the National Gas Access (WA) Act 2009 of Western Australia is published in the Western Australian Government Gazette.</w:t>
      </w:r>
    </w:p>
  </w:footnote>
  <w:footnote w:id="379">
    <w:p w14:paraId="4EA2AE77" w14:textId="77777777" w:rsidR="00854EF5" w:rsidRPr="00983327" w:rsidRDefault="00854EF5" w:rsidP="009A638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Schedule 5, Part 6, rule 3 of the NGR.</w:t>
      </w:r>
    </w:p>
  </w:footnote>
  <w:footnote w:id="380">
    <w:p w14:paraId="520BD7E2" w14:textId="77777777" w:rsidR="00854EF5" w:rsidRPr="00983327" w:rsidRDefault="00854EF5" w:rsidP="009A6387">
      <w:pPr>
        <w:pStyle w:val="TableBullet1"/>
        <w:numPr>
          <w:ilvl w:val="0"/>
          <w:numId w:val="0"/>
        </w:numPr>
        <w:spacing w:before="0" w:after="0" w:line="259" w:lineRule="auto"/>
        <w:ind w:left="357" w:right="0" w:hanging="357"/>
        <w:rPr>
          <w:sz w:val="16"/>
          <w:szCs w:val="16"/>
        </w:rPr>
      </w:pPr>
      <w:r w:rsidRPr="00983327">
        <w:rPr>
          <w:rStyle w:val="FootnoteReference"/>
          <w:sz w:val="16"/>
          <w:szCs w:val="16"/>
        </w:rPr>
        <w:footnoteRef/>
      </w:r>
      <w:r w:rsidRPr="00983327">
        <w:rPr>
          <w:sz w:val="16"/>
          <w:szCs w:val="16"/>
        </w:rPr>
        <w:t xml:space="preserve"> </w:t>
      </w:r>
      <w:r w:rsidRPr="00983327">
        <w:rPr>
          <w:sz w:val="16"/>
          <w:szCs w:val="16"/>
        </w:rPr>
        <w:tab/>
      </w:r>
      <w:r w:rsidRPr="00983327">
        <w:rPr>
          <w:rFonts w:asciiTheme="majorHAnsi" w:hAnsiTheme="majorHAnsi" w:cstheme="majorHAnsi"/>
          <w:sz w:val="16"/>
          <w:szCs w:val="16"/>
        </w:rPr>
        <w:t xml:space="preserve">In addition to these measures, affected facility operators </w:t>
      </w:r>
      <w:r w:rsidRPr="00983327">
        <w:rPr>
          <w:sz w:val="16"/>
          <w:szCs w:val="16"/>
        </w:rPr>
        <w:t xml:space="preserve">will be required to: establish and execute a program to make the necessary changes to metering infrastructure, flow control computers, IT and other systems; amend practices and procedures to give effect to the harmonised times; and where necessary, amend contracts to reflect the standard market timetable. </w:t>
      </w:r>
    </w:p>
  </w:footnote>
  <w:footnote w:id="381">
    <w:p w14:paraId="2B65CBF9" w14:textId="77777777" w:rsidR="00854EF5" w:rsidRPr="00983327" w:rsidRDefault="00854EF5" w:rsidP="009A638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Schedule 5, Part 6, rule 4(3) of the NGR.</w:t>
      </w:r>
    </w:p>
  </w:footnote>
  <w:footnote w:id="382">
    <w:p w14:paraId="7B4EE53F" w14:textId="77777777" w:rsidR="00854EF5" w:rsidRPr="00983327" w:rsidRDefault="00854EF5" w:rsidP="009A638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Schedule 5, Part 6, rule 4(4) of the NGR.</w:t>
      </w:r>
    </w:p>
  </w:footnote>
  <w:footnote w:id="383">
    <w:p w14:paraId="1CBDA144" w14:textId="77777777" w:rsidR="00854EF5" w:rsidRPr="00983327" w:rsidRDefault="00854EF5" w:rsidP="009A638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Schedule 5, Part 6, rule 4(2) of the NGR.</w:t>
      </w:r>
    </w:p>
  </w:footnote>
  <w:footnote w:id="384">
    <w:p w14:paraId="31E07F73" w14:textId="77777777" w:rsidR="00854EF5" w:rsidRPr="00983327" w:rsidRDefault="00854EF5" w:rsidP="009A638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Schedule 5, Part 6, rule 5 of the NGR.</w:t>
      </w:r>
    </w:p>
  </w:footnote>
  <w:footnote w:id="385">
    <w:p w14:paraId="0C863F23" w14:textId="4720DA09" w:rsidR="00854EF5" w:rsidRPr="00983327" w:rsidRDefault="00854EF5" w:rsidP="009A6387">
      <w:pPr>
        <w:pStyle w:val="FootnoteText"/>
        <w:spacing w:before="0" w:after="0"/>
        <w:rPr>
          <w:szCs w:val="16"/>
        </w:rPr>
      </w:pPr>
      <w:r w:rsidRPr="00983327">
        <w:rPr>
          <w:rStyle w:val="FootnoteReference"/>
          <w:szCs w:val="16"/>
        </w:rPr>
        <w:footnoteRef/>
      </w:r>
      <w:r w:rsidRPr="00983327">
        <w:rPr>
          <w:szCs w:val="16"/>
        </w:rPr>
        <w:t xml:space="preserve"> </w:t>
      </w:r>
      <w:r w:rsidRPr="00983327">
        <w:rPr>
          <w:szCs w:val="16"/>
        </w:rPr>
        <w:tab/>
        <w:t>See clause 90 in Part 15 of Schedule 3 of the NGL.</w:t>
      </w:r>
    </w:p>
  </w:footnote>
  <w:footnote w:id="386">
    <w:p w14:paraId="1530EBD2"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section 83B(2) and the definitions in section 2 of the NGL.</w:t>
      </w:r>
    </w:p>
  </w:footnote>
  <w:footnote w:id="387">
    <w:p w14:paraId="10D3A36B"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section 83B(3) of the NGL.</w:t>
      </w:r>
    </w:p>
  </w:footnote>
  <w:footnote w:id="388">
    <w:p w14:paraId="22310854"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83C of the NGL.</w:t>
      </w:r>
    </w:p>
  </w:footnote>
  <w:footnote w:id="389">
    <w:p w14:paraId="4E194ACB" w14:textId="5259771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See section 83D of the NGL. </w:t>
      </w:r>
    </w:p>
  </w:footnote>
  <w:footnote w:id="390">
    <w:p w14:paraId="3B572424"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section 322 of the NGL.</w:t>
      </w:r>
    </w:p>
  </w:footnote>
  <w:footnote w:id="391">
    <w:p w14:paraId="19123D1E" w14:textId="40BE7798"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clause 90 in Part 15 of Schedule 3 of the NGL. A ‘pre-harmonisation contract’ means a contract or other arrangement entered into by a person before the commencement of section 90.</w:t>
      </w:r>
    </w:p>
  </w:footnote>
  <w:footnote w:id="392">
    <w:p w14:paraId="6BBF58AD" w14:textId="77777777" w:rsidR="00854EF5" w:rsidRPr="00983327" w:rsidRDefault="00854EF5" w:rsidP="00CF2EAC">
      <w:pPr>
        <w:pStyle w:val="FootnoteText"/>
        <w:rPr>
          <w:szCs w:val="16"/>
        </w:rPr>
      </w:pPr>
      <w:r w:rsidRPr="00983327">
        <w:rPr>
          <w:rStyle w:val="FootnoteReference"/>
          <w:szCs w:val="16"/>
        </w:rPr>
        <w:footnoteRef/>
      </w:r>
      <w:r w:rsidRPr="00983327">
        <w:rPr>
          <w:szCs w:val="16"/>
        </w:rPr>
        <w:t xml:space="preserve"> </w:t>
      </w:r>
      <w:r w:rsidRPr="00983327">
        <w:rPr>
          <w:szCs w:val="16"/>
        </w:rPr>
        <w:tab/>
        <w:t>See section 83B and Schedule 1 (items 68Y and 68Z) of the NGL.</w:t>
      </w:r>
    </w:p>
  </w:footnote>
  <w:footnote w:id="393">
    <w:p w14:paraId="26B9C834"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AEMC, Final rule determination: National Gas Amendment (Gas Day Harmonisation) Rule 2017, 16 February 2017.</w:t>
      </w:r>
    </w:p>
  </w:footnote>
  <w:footnote w:id="394">
    <w:p w14:paraId="40424756"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section 294DA(1)(b) of the NGL.</w:t>
      </w:r>
    </w:p>
  </w:footnote>
  <w:footnote w:id="395">
    <w:p w14:paraId="49B77CEB"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rules 678(1) and (4) of the NGR.</w:t>
      </w:r>
    </w:p>
  </w:footnote>
  <w:footnote w:id="396">
    <w:p w14:paraId="1F401293" w14:textId="77777777" w:rsidR="00854EF5" w:rsidRPr="00983327" w:rsidRDefault="00854EF5" w:rsidP="00156D33">
      <w:pPr>
        <w:pStyle w:val="FootnoteText"/>
        <w:rPr>
          <w:szCs w:val="16"/>
        </w:rPr>
      </w:pPr>
      <w:r w:rsidRPr="00983327">
        <w:rPr>
          <w:rStyle w:val="FootnoteReference"/>
          <w:szCs w:val="16"/>
        </w:rPr>
        <w:footnoteRef/>
      </w:r>
      <w:r w:rsidRPr="00983327">
        <w:rPr>
          <w:szCs w:val="16"/>
        </w:rPr>
        <w:t xml:space="preserve"> </w:t>
      </w:r>
      <w:r w:rsidRPr="00983327">
        <w:rPr>
          <w:szCs w:val="16"/>
        </w:rPr>
        <w:tab/>
        <w:t>See rules 678(2) and (5)-(6) of the NGR.</w:t>
      </w:r>
    </w:p>
  </w:footnote>
  <w:footnote w:id="397">
    <w:p w14:paraId="781544A6" w14:textId="77777777" w:rsidR="00854EF5" w:rsidRPr="00983327" w:rsidRDefault="00854EF5" w:rsidP="00DD59DC">
      <w:pPr>
        <w:pStyle w:val="FootnoteText"/>
        <w:rPr>
          <w:szCs w:val="16"/>
        </w:rPr>
      </w:pPr>
      <w:r w:rsidRPr="00983327">
        <w:rPr>
          <w:rStyle w:val="FootnoteReference"/>
          <w:szCs w:val="16"/>
        </w:rPr>
        <w:footnoteRef/>
      </w:r>
      <w:r w:rsidRPr="00983327">
        <w:rPr>
          <w:szCs w:val="16"/>
        </w:rPr>
        <w:t xml:space="preserve"> </w:t>
      </w:r>
      <w:r w:rsidRPr="00983327">
        <w:rPr>
          <w:szCs w:val="16"/>
        </w:rPr>
        <w:tab/>
        <w:t>See rules 678(3) and (6) of the NGR.</w:t>
      </w:r>
    </w:p>
  </w:footnote>
  <w:footnote w:id="398">
    <w:p w14:paraId="62F79DCC"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As set out in the note to rule 678, this obligation is not intended to extend to basic meters.</w:t>
      </w:r>
    </w:p>
  </w:footnote>
  <w:footnote w:id="399">
    <w:p w14:paraId="506D80F0" w14:textId="77777777" w:rsidR="00854EF5" w:rsidRPr="00983327" w:rsidRDefault="00854EF5" w:rsidP="001B2022">
      <w:pPr>
        <w:pStyle w:val="FootnoteText"/>
        <w:rPr>
          <w:szCs w:val="16"/>
        </w:rPr>
      </w:pPr>
      <w:r w:rsidRPr="00983327">
        <w:rPr>
          <w:rStyle w:val="FootnoteReference"/>
          <w:szCs w:val="16"/>
        </w:rPr>
        <w:footnoteRef/>
      </w:r>
      <w:r w:rsidRPr="00983327">
        <w:rPr>
          <w:szCs w:val="16"/>
        </w:rPr>
        <w:t xml:space="preserve"> </w:t>
      </w:r>
      <w:r w:rsidRPr="00983327">
        <w:rPr>
          <w:szCs w:val="16"/>
        </w:rPr>
        <w:tab/>
        <w:t>See rule 678(8) and (9) of the NGR.</w:t>
      </w:r>
    </w:p>
  </w:footnote>
  <w:footnote w:id="400">
    <w:p w14:paraId="13F84B43"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6, rules 1 and 2 of the NGR.</w:t>
      </w:r>
    </w:p>
  </w:footnote>
  <w:footnote w:id="401">
    <w:p w14:paraId="376BF52C" w14:textId="77777777" w:rsidR="00854EF5" w:rsidRPr="00983327" w:rsidRDefault="00854EF5" w:rsidP="0096110B">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6, rule 3 of the NGR.</w:t>
      </w:r>
    </w:p>
  </w:footnote>
  <w:footnote w:id="402">
    <w:p w14:paraId="43A97CCA"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6, rule 4 of the NGR.</w:t>
      </w:r>
    </w:p>
  </w:footnote>
  <w:footnote w:id="403">
    <w:p w14:paraId="5825291F"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See Schedule 5, Part 6, rule 5 of the NGR.</w:t>
      </w:r>
    </w:p>
  </w:footnote>
  <w:footnote w:id="404">
    <w:p w14:paraId="24A77F01"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Note that this does not extend to amendments that have the effect of depriving a person of a contractual right to be supplied with a certain amount of goods or services under the contract or paid for goods and services supplied under the contract. Note also that if the contract contains a change in law provisions, this provision will prevail over this rule to the extent of any inconsistency. See Schedule 5, Part 6, rules 5(1) and 5(3) of the NGR.</w:t>
      </w:r>
    </w:p>
  </w:footnote>
  <w:footnote w:id="405">
    <w:p w14:paraId="48BFFCB0" w14:textId="77777777" w:rsidR="00854EF5" w:rsidRPr="00983327" w:rsidRDefault="00854EF5" w:rsidP="00047DAB">
      <w:pPr>
        <w:pStyle w:val="FootnoteText"/>
        <w:spacing w:before="0" w:after="20"/>
        <w:rPr>
          <w:rFonts w:asciiTheme="majorHAnsi" w:hAnsiTheme="majorHAnsi" w:cstheme="majorHAnsi"/>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AEMO may, on the application of a service provider, register more than one facility as a single facility for the purposes of the reforms or register a part (or parts) of a transportation facility as separate facilities.</w:t>
      </w:r>
    </w:p>
  </w:footnote>
  <w:footnote w:id="406">
    <w:p w14:paraId="084DD60A" w14:textId="77777777" w:rsidR="00854EF5" w:rsidRPr="00983327" w:rsidRDefault="00854EF5" w:rsidP="00047DAB">
      <w:pPr>
        <w:pStyle w:val="FootnoteText"/>
        <w:spacing w:before="0" w:after="20"/>
        <w:rPr>
          <w:szCs w:val="16"/>
        </w:rPr>
      </w:pPr>
      <w:r w:rsidRPr="00983327">
        <w:rPr>
          <w:rStyle w:val="FootnoteReference"/>
          <w:rFonts w:asciiTheme="majorHAnsi" w:hAnsiTheme="majorHAnsi" w:cstheme="majorHAnsi"/>
          <w:szCs w:val="16"/>
        </w:rPr>
        <w:footnoteRef/>
      </w:r>
      <w:r w:rsidRPr="00983327">
        <w:rPr>
          <w:rFonts w:asciiTheme="majorHAnsi" w:hAnsiTheme="majorHAnsi" w:cstheme="majorHAnsi"/>
          <w:szCs w:val="16"/>
        </w:rPr>
        <w:t xml:space="preserve"> </w:t>
      </w:r>
      <w:r w:rsidRPr="00983327">
        <w:rPr>
          <w:rFonts w:asciiTheme="majorHAnsi" w:hAnsiTheme="majorHAnsi" w:cstheme="majorHAnsi"/>
          <w:szCs w:val="16"/>
        </w:rPr>
        <w:tab/>
        <w:t xml:space="preserve">If an auction facility operator notifies the AER after this date, it will not be able to treat the services as a ‘transitional firm’ service for 30 business days after the notification. </w:t>
      </w:r>
    </w:p>
  </w:footnote>
  <w:footnote w:id="407">
    <w:p w14:paraId="2D18F8E7"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r>
      <w:r w:rsidRPr="00983327">
        <w:rPr>
          <w:rFonts w:asciiTheme="majorHAnsi" w:hAnsiTheme="majorHAnsi" w:cstheme="majorHAnsi"/>
          <w:szCs w:val="16"/>
        </w:rPr>
        <w:t>See Senior Committee of Officials’ Bulletin dated 3 July 2018 for more detail on the derogation.</w:t>
      </w:r>
    </w:p>
  </w:footnote>
  <w:footnote w:id="408">
    <w:p w14:paraId="32118365" w14:textId="77777777" w:rsidR="00854EF5" w:rsidRPr="00983327" w:rsidRDefault="00854EF5" w:rsidP="005163F8">
      <w:pPr>
        <w:pStyle w:val="FootnoteText"/>
        <w:rPr>
          <w:szCs w:val="16"/>
        </w:rPr>
      </w:pPr>
      <w:r w:rsidRPr="00983327">
        <w:rPr>
          <w:rStyle w:val="FootnoteReference"/>
          <w:szCs w:val="16"/>
        </w:rPr>
        <w:footnoteRef/>
      </w:r>
      <w:r w:rsidRPr="00983327">
        <w:rPr>
          <w:szCs w:val="16"/>
        </w:rPr>
        <w:t xml:space="preserve"> </w:t>
      </w:r>
      <w:r w:rsidRPr="00983327">
        <w:rPr>
          <w:szCs w:val="16"/>
        </w:rPr>
        <w:tab/>
        <w:t>Note that one of these submissions was provided on a confidential basis.</w:t>
      </w:r>
    </w:p>
  </w:footnote>
  <w:footnote w:id="409">
    <w:p w14:paraId="5C958774" w14:textId="0D1DFBCE" w:rsidR="00854EF5" w:rsidRPr="00983327" w:rsidRDefault="00854EF5">
      <w:pPr>
        <w:pStyle w:val="FootnoteText"/>
      </w:pPr>
      <w:r w:rsidRPr="00983327">
        <w:rPr>
          <w:rStyle w:val="FootnoteReference"/>
        </w:rPr>
        <w:footnoteRef/>
      </w:r>
      <w:r w:rsidRPr="00983327">
        <w:t xml:space="preserve"> </w:t>
      </w:r>
      <w:r w:rsidRPr="00983327">
        <w:tab/>
        <w:t xml:space="preserve">Note that the compression facilities designated in the Regulations can still apply for an exemption if they are not providing third party access, are a single user facility or have a nameplate rating less than 10TJ/day. </w:t>
      </w:r>
    </w:p>
  </w:footnote>
  <w:footnote w:id="410">
    <w:p w14:paraId="74C82DCA" w14:textId="77777777" w:rsidR="00854EF5" w:rsidRPr="00983327" w:rsidRDefault="00854EF5" w:rsidP="00456349">
      <w:pPr>
        <w:pStyle w:val="FootnoteText"/>
        <w:rPr>
          <w:szCs w:val="16"/>
        </w:rPr>
      </w:pPr>
      <w:r w:rsidRPr="00983327">
        <w:rPr>
          <w:rStyle w:val="FootnoteReference"/>
          <w:szCs w:val="16"/>
        </w:rPr>
        <w:footnoteRef/>
      </w:r>
      <w:r w:rsidRPr="00983327">
        <w:rPr>
          <w:szCs w:val="16"/>
        </w:rPr>
        <w:t xml:space="preserve"> </w:t>
      </w:r>
      <w:r w:rsidRPr="00983327">
        <w:rPr>
          <w:szCs w:val="16"/>
        </w:rPr>
        <w:tab/>
        <w:t>GMRG, Final Recommendations: Design of the Day-Ahead Auction of Contracted but Un-Nominated Capacity, December 2017, p. 102.</w:t>
      </w:r>
    </w:p>
  </w:footnote>
  <w:footnote w:id="411">
    <w:p w14:paraId="7D8AE8EE"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r>
      <w:r w:rsidRPr="00983327">
        <w:rPr>
          <w:rFonts w:cs="Arial"/>
          <w:szCs w:val="16"/>
        </w:rPr>
        <w:t>For example, shippers or service providers could make Code amendment proposals at times when their interests are likely to be better represented through the chair’s casting vote.</w:t>
      </w:r>
    </w:p>
  </w:footnote>
  <w:footnote w:id="412">
    <w:p w14:paraId="5516EA32"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r>
      <w:r w:rsidRPr="00983327">
        <w:rPr>
          <w:rFonts w:cs="Arial"/>
          <w:szCs w:val="16"/>
        </w:rPr>
        <w:t>For example, if the shipper representatives were concerned that an unfavourable proposal may be passed at the meeting they could both decide not to attend the meeting. This could result in the quorum requirements not being met.</w:t>
      </w:r>
    </w:p>
  </w:footnote>
  <w:footnote w:id="413">
    <w:p w14:paraId="6B236431" w14:textId="77777777" w:rsidR="00854EF5" w:rsidRPr="00983327" w:rsidRDefault="00854EF5" w:rsidP="002B13EB">
      <w:pPr>
        <w:pStyle w:val="FootnoteText"/>
        <w:rPr>
          <w:szCs w:val="16"/>
        </w:rPr>
      </w:pPr>
      <w:r w:rsidRPr="00983327">
        <w:rPr>
          <w:rStyle w:val="FootnoteReference"/>
          <w:szCs w:val="16"/>
        </w:rPr>
        <w:footnoteRef/>
      </w:r>
      <w:r w:rsidRPr="00983327">
        <w:rPr>
          <w:szCs w:val="16"/>
        </w:rPr>
        <w:t xml:space="preserve"> </w:t>
      </w:r>
      <w:r w:rsidRPr="00983327">
        <w:rPr>
          <w:szCs w:val="16"/>
        </w:rPr>
        <w:tab/>
        <w:t>The Panel’s and the AER’s obligations to undertake consultation do not apply for amendments that are urgently necessary or non-material.</w:t>
      </w:r>
    </w:p>
  </w:footnote>
  <w:footnote w:id="414">
    <w:p w14:paraId="662199D6" w14:textId="77777777" w:rsidR="00854EF5" w:rsidRPr="00983327" w:rsidRDefault="00854EF5">
      <w:pPr>
        <w:pStyle w:val="FootnoteText"/>
        <w:rPr>
          <w:szCs w:val="16"/>
        </w:rPr>
      </w:pPr>
      <w:r w:rsidRPr="00983327">
        <w:rPr>
          <w:rStyle w:val="FootnoteReference"/>
          <w:szCs w:val="16"/>
        </w:rPr>
        <w:footnoteRef/>
      </w:r>
      <w:r w:rsidRPr="00983327">
        <w:rPr>
          <w:szCs w:val="16"/>
        </w:rPr>
        <w:t xml:space="preserve"> </w:t>
      </w:r>
      <w:r w:rsidRPr="00983327">
        <w:rPr>
          <w:szCs w:val="16"/>
        </w:rPr>
        <w:tab/>
        <w:t>Note that the draft rules only provided for 30 days, so the extension to 30 business days will provide transportation service providers approximately two extra weeks.</w:t>
      </w:r>
    </w:p>
  </w:footnote>
  <w:footnote w:id="415">
    <w:p w14:paraId="4F3035F0" w14:textId="77777777" w:rsidR="00854EF5" w:rsidRPr="00983327" w:rsidRDefault="00854EF5" w:rsidP="002B13EB">
      <w:pPr>
        <w:pStyle w:val="FootnoteText"/>
        <w:rPr>
          <w:szCs w:val="16"/>
        </w:rPr>
      </w:pPr>
      <w:r w:rsidRPr="00983327">
        <w:rPr>
          <w:rStyle w:val="FootnoteReference"/>
          <w:szCs w:val="16"/>
        </w:rPr>
        <w:footnoteRef/>
      </w:r>
      <w:r w:rsidRPr="00983327">
        <w:rPr>
          <w:szCs w:val="16"/>
        </w:rPr>
        <w:t xml:space="preserve"> </w:t>
      </w:r>
      <w:r w:rsidRPr="00983327">
        <w:rPr>
          <w:szCs w:val="16"/>
        </w:rPr>
        <w:tab/>
        <w:t>GMRG, Capacity Trading Reform Package (Standardisation, capacity trading platform and reporting framework for secondary trades), November 2017, p. 50.</w:t>
      </w:r>
    </w:p>
  </w:footnote>
  <w:footnote w:id="416">
    <w:p w14:paraId="76C1C95F" w14:textId="77777777" w:rsidR="00854EF5" w:rsidRPr="00983327" w:rsidRDefault="00854EF5" w:rsidP="002B13EB">
      <w:pPr>
        <w:pStyle w:val="FootnoteText"/>
        <w:rPr>
          <w:szCs w:val="16"/>
        </w:rPr>
      </w:pPr>
      <w:r w:rsidRPr="00983327">
        <w:rPr>
          <w:rStyle w:val="FootnoteReference"/>
          <w:szCs w:val="16"/>
        </w:rPr>
        <w:footnoteRef/>
      </w:r>
      <w:r w:rsidRPr="00983327">
        <w:rPr>
          <w:szCs w:val="16"/>
        </w:rPr>
        <w:t xml:space="preserve"> </w:t>
      </w:r>
      <w:r w:rsidRPr="00983327">
        <w:rPr>
          <w:szCs w:val="16"/>
        </w:rPr>
        <w:tab/>
        <w:t>GMRG, Final recommendations: Capacity Trading Reform Package (Standardisation, capacity trading platform and reporting framework for secondary trades), November 2017, pp. 118-119.</w:t>
      </w:r>
    </w:p>
  </w:footnote>
  <w:footnote w:id="417">
    <w:p w14:paraId="5A346616" w14:textId="77777777" w:rsidR="00854EF5" w:rsidRPr="00983327" w:rsidRDefault="00854EF5" w:rsidP="002B13EB">
      <w:pPr>
        <w:pStyle w:val="FootnoteText"/>
        <w:rPr>
          <w:szCs w:val="16"/>
        </w:rPr>
      </w:pPr>
      <w:r w:rsidRPr="00983327">
        <w:rPr>
          <w:rStyle w:val="FootnoteReference"/>
          <w:szCs w:val="16"/>
        </w:rPr>
        <w:footnoteRef/>
      </w:r>
      <w:r w:rsidRPr="00983327">
        <w:rPr>
          <w:szCs w:val="16"/>
        </w:rPr>
        <w:t xml:space="preserve"> </w:t>
      </w:r>
      <w:r w:rsidRPr="00983327">
        <w:rPr>
          <w:szCs w:val="16"/>
        </w:rPr>
        <w:tab/>
        <w:t>The 3 January 2018 date referred to in (b) is the date that the Energy Council formally agreed to the GMRG’s recommendations on the design of the auction. The selection of this date was intended to counter the incentive that market participants may otherwise have to try and enter into agreements before the reform package is implemented to try and circumvent the reforms.</w:t>
      </w:r>
    </w:p>
  </w:footnote>
  <w:footnote w:id="418">
    <w:p w14:paraId="273D41EB" w14:textId="77777777" w:rsidR="00854EF5" w:rsidRPr="00983327" w:rsidRDefault="00854EF5" w:rsidP="002B13EB">
      <w:pPr>
        <w:pStyle w:val="FootnoteText"/>
        <w:rPr>
          <w:szCs w:val="16"/>
        </w:rPr>
      </w:pPr>
      <w:r w:rsidRPr="00983327">
        <w:rPr>
          <w:rStyle w:val="FootnoteReference"/>
          <w:szCs w:val="16"/>
        </w:rPr>
        <w:footnoteRef/>
      </w:r>
      <w:r w:rsidRPr="00983327">
        <w:rPr>
          <w:szCs w:val="16"/>
        </w:rPr>
        <w:t xml:space="preserve"> </w:t>
      </w:r>
      <w:r w:rsidRPr="00983327">
        <w:rPr>
          <w:szCs w:val="16"/>
        </w:rPr>
        <w:tab/>
        <w:t>These rights will rank ahead of the auction product and result in less CBU capacity being released into the auction.</w:t>
      </w:r>
    </w:p>
  </w:footnote>
  <w:footnote w:id="419">
    <w:p w14:paraId="7416ABBC" w14:textId="77777777" w:rsidR="00854EF5" w:rsidRPr="00983327" w:rsidRDefault="00854EF5" w:rsidP="002B13EB">
      <w:pPr>
        <w:pStyle w:val="FootnoteText"/>
        <w:rPr>
          <w:szCs w:val="16"/>
        </w:rPr>
      </w:pPr>
      <w:r w:rsidRPr="00983327">
        <w:rPr>
          <w:rStyle w:val="FootnoteReference"/>
          <w:szCs w:val="16"/>
        </w:rPr>
        <w:footnoteRef/>
      </w:r>
      <w:r w:rsidRPr="00983327">
        <w:rPr>
          <w:szCs w:val="16"/>
        </w:rPr>
        <w:t xml:space="preserve"> </w:t>
      </w:r>
      <w:r w:rsidRPr="00983327">
        <w:rPr>
          <w:szCs w:val="16"/>
        </w:rPr>
        <w:tab/>
        <w:t>The term ‘static’ is used in this context because any additional forward haul flows generated by the auction will not be allocated to the backhaul auction service.</w:t>
      </w:r>
    </w:p>
  </w:footnote>
  <w:footnote w:id="420">
    <w:p w14:paraId="24C7438F" w14:textId="77777777" w:rsidR="00854EF5" w:rsidRPr="00983327" w:rsidRDefault="00854EF5" w:rsidP="002B13EB">
      <w:pPr>
        <w:pStyle w:val="FootnoteText"/>
        <w:rPr>
          <w:szCs w:val="16"/>
        </w:rPr>
      </w:pPr>
      <w:r w:rsidRPr="00983327">
        <w:rPr>
          <w:rStyle w:val="FootnoteReference"/>
          <w:szCs w:val="16"/>
        </w:rPr>
        <w:footnoteRef/>
      </w:r>
      <w:r w:rsidRPr="00983327">
        <w:rPr>
          <w:szCs w:val="16"/>
        </w:rPr>
        <w:t xml:space="preserve"> </w:t>
      </w:r>
      <w:r w:rsidRPr="00983327">
        <w:rPr>
          <w:szCs w:val="16"/>
        </w:rPr>
        <w:tab/>
        <w:t xml:space="preserve">PWC also raised some concerns about how the hybrid model would apply on the Amadeus Gas Pipeline, which operates on more of an entry-exit basis than a contract path basis. </w:t>
      </w:r>
    </w:p>
  </w:footnote>
  <w:footnote w:id="421">
    <w:p w14:paraId="0B778CF5" w14:textId="77777777" w:rsidR="00854EF5" w:rsidRPr="00983327" w:rsidRDefault="00854EF5" w:rsidP="00D90F6B">
      <w:pPr>
        <w:pStyle w:val="BodyText"/>
        <w:keepNext/>
        <w:spacing w:before="60" w:after="60"/>
        <w:ind w:left="357" w:hanging="357"/>
        <w:rPr>
          <w:rFonts w:eastAsiaTheme="minorEastAsia"/>
          <w:sz w:val="16"/>
          <w:szCs w:val="16"/>
        </w:rPr>
      </w:pPr>
      <w:r w:rsidRPr="00983327">
        <w:rPr>
          <w:rStyle w:val="FootnoteReference"/>
          <w:sz w:val="16"/>
          <w:szCs w:val="16"/>
        </w:rPr>
        <w:footnoteRef/>
      </w:r>
      <w:r w:rsidRPr="00983327">
        <w:rPr>
          <w:sz w:val="16"/>
          <w:szCs w:val="16"/>
        </w:rPr>
        <w:t xml:space="preserve"> </w:t>
      </w:r>
      <w:r w:rsidRPr="00983327">
        <w:rPr>
          <w:sz w:val="16"/>
          <w:szCs w:val="16"/>
        </w:rPr>
        <w:tab/>
      </w:r>
      <w:r w:rsidRPr="00983327">
        <w:rPr>
          <w:rFonts w:eastAsiaTheme="minorEastAsia"/>
          <w:sz w:val="16"/>
          <w:szCs w:val="16"/>
        </w:rPr>
        <w:t xml:space="preserve">The GMRG understands that if a written allocation agreement is not in place, the interconnect party (i.e. producer or end-user) will usually determine the allocation method or perform the allocations and/or all parties default to a standard rule (e.g. pro-rating or service priority).  </w:t>
      </w:r>
    </w:p>
    <w:p w14:paraId="04675BD7" w14:textId="77777777" w:rsidR="00854EF5" w:rsidRPr="00983327" w:rsidRDefault="00854EF5">
      <w:pPr>
        <w:pStyle w:val="FootnoteText"/>
        <w:rPr>
          <w:szCs w:val="16"/>
        </w:rPr>
      </w:pPr>
    </w:p>
  </w:footnote>
  <w:footnote w:id="422">
    <w:p w14:paraId="12CC5305" w14:textId="77777777" w:rsidR="00854EF5" w:rsidRPr="00983327" w:rsidRDefault="00854EF5" w:rsidP="006E24F8">
      <w:pPr>
        <w:pStyle w:val="FootnoteText"/>
        <w:spacing w:before="20" w:after="0"/>
      </w:pPr>
      <w:r w:rsidRPr="00983327">
        <w:rPr>
          <w:rStyle w:val="FootnoteReference"/>
        </w:rPr>
        <w:footnoteRef/>
      </w:r>
      <w:r w:rsidRPr="00983327">
        <w:t xml:space="preserve"> </w:t>
      </w:r>
      <w:r w:rsidRPr="00983327">
        <w:tab/>
        <w:t>See for example sections 42, 60, 91FE and 91FEC.</w:t>
      </w:r>
    </w:p>
  </w:footnote>
  <w:footnote w:id="423">
    <w:p w14:paraId="4399A887" w14:textId="77777777" w:rsidR="00854EF5" w:rsidRPr="00983327" w:rsidRDefault="00854EF5" w:rsidP="006E24F8">
      <w:pPr>
        <w:pStyle w:val="FootnoteText"/>
        <w:spacing w:before="20" w:after="0"/>
      </w:pPr>
      <w:r w:rsidRPr="00983327">
        <w:rPr>
          <w:rStyle w:val="FootnoteReference"/>
        </w:rPr>
        <w:footnoteRef/>
      </w:r>
      <w:r w:rsidRPr="00983327">
        <w:t xml:space="preserve"> </w:t>
      </w:r>
      <w:r w:rsidRPr="00983327">
        <w:tab/>
        <w:t>GMRG, Final Recommendations: Capacity Trading Reform Package (Standardisation, capacity trading platform and reporting framework for secondary trades), November 2017, p. 141.</w:t>
      </w:r>
    </w:p>
  </w:footnote>
  <w:footnote w:id="424">
    <w:p w14:paraId="78E32858" w14:textId="77777777" w:rsidR="00854EF5" w:rsidRDefault="00854EF5" w:rsidP="006E24F8">
      <w:pPr>
        <w:pStyle w:val="FootnoteText"/>
        <w:spacing w:before="20" w:after="0"/>
      </w:pPr>
      <w:r w:rsidRPr="00983327">
        <w:rPr>
          <w:rStyle w:val="FootnoteReference"/>
        </w:rPr>
        <w:footnoteRef/>
      </w:r>
      <w:r w:rsidRPr="00983327">
        <w:t xml:space="preserve"> </w:t>
      </w:r>
      <w:r w:rsidRPr="00983327">
        <w:tab/>
        <w:t>ibid, p. 139.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5211EB" w14:textId="77777777" w:rsidR="00854EF5" w:rsidRDefault="00854EF5">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372F56" w14:textId="77777777" w:rsidR="00854EF5" w:rsidRDefault="00854EF5" w:rsidP="00C0654C">
    <w:pPr>
      <w:pStyle w:val="Header"/>
      <w:ind w:left="-623" w:hanging="142"/>
    </w:pPr>
    <w:r>
      <w:rPr>
        <w:b/>
        <w:noProof/>
        <w:sz w:val="24"/>
        <w:szCs w:val="24"/>
        <w:lang w:eastAsia="en-AU"/>
      </w:rPr>
      <w:drawing>
        <wp:inline distT="0" distB="0" distL="0" distR="0" wp14:anchorId="6B86E88F" wp14:editId="3194ABF6">
          <wp:extent cx="504825" cy="857250"/>
          <wp:effectExtent l="0" t="0" r="9525" b="0"/>
          <wp:docPr id="43" name="Picture 43"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B27A98" w14:textId="77777777" w:rsidR="00854EF5" w:rsidRDefault="00854EF5">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340B73" w14:textId="77777777" w:rsidR="00854EF5" w:rsidRDefault="00854EF5" w:rsidP="005C6231">
    <w:pPr>
      <w:pStyle w:val="Header"/>
      <w:tabs>
        <w:tab w:val="clear" w:pos="7796"/>
        <w:tab w:val="left" w:pos="4621"/>
      </w:tabs>
      <w:ind w:left="-992" w:firstLine="568"/>
      <w:rPr>
        <w:b/>
        <w:noProof/>
        <w:sz w:val="24"/>
        <w:szCs w:val="24"/>
        <w:lang w:eastAsia="en-AU"/>
      </w:rPr>
    </w:pPr>
    <w:r>
      <w:rPr>
        <w:b/>
        <w:noProof/>
        <w:sz w:val="24"/>
        <w:szCs w:val="24"/>
        <w:lang w:eastAsia="en-AU"/>
      </w:rPr>
      <w:drawing>
        <wp:inline distT="0" distB="0" distL="0" distR="0" wp14:anchorId="2F95D981" wp14:editId="22C5FB3D">
          <wp:extent cx="514350" cy="857250"/>
          <wp:effectExtent l="0" t="0" r="0" b="0"/>
          <wp:docPr id="44" name="Picture 44"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857250"/>
                  </a:xfrm>
                  <a:prstGeom prst="rect">
                    <a:avLst/>
                  </a:prstGeom>
                  <a:noFill/>
                  <a:ln>
                    <a:noFill/>
                  </a:ln>
                </pic:spPr>
              </pic:pic>
            </a:graphicData>
          </a:graphic>
        </wp:inline>
      </w:drawing>
    </w:r>
  </w:p>
  <w:p w14:paraId="11A7FFF0" w14:textId="77777777" w:rsidR="00854EF5" w:rsidRPr="004E0E8A" w:rsidRDefault="00854EF5" w:rsidP="005C6231">
    <w:pPr>
      <w:pStyle w:val="Header"/>
      <w:tabs>
        <w:tab w:val="clear" w:pos="7796"/>
        <w:tab w:val="left" w:pos="4621"/>
      </w:tabs>
      <w:ind w:left="-992" w:firstLine="568"/>
      <w:rPr>
        <w:b/>
        <w:noProof/>
        <w:sz w:val="4"/>
        <w:szCs w:val="4"/>
        <w:lang w:eastAsia="en-AU"/>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FD391B" w14:textId="77777777" w:rsidR="00854EF5" w:rsidRDefault="00854EF5">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D108F5" w14:textId="77777777" w:rsidR="00854EF5" w:rsidRDefault="00854EF5" w:rsidP="00C0654C">
    <w:pPr>
      <w:pStyle w:val="Header"/>
      <w:ind w:left="-623" w:hanging="142"/>
    </w:pPr>
    <w:r>
      <w:rPr>
        <w:b/>
        <w:noProof/>
        <w:sz w:val="24"/>
        <w:szCs w:val="24"/>
        <w:lang w:eastAsia="en-AU"/>
      </w:rPr>
      <w:drawing>
        <wp:inline distT="0" distB="0" distL="0" distR="0" wp14:anchorId="204410AE" wp14:editId="6E409B8E">
          <wp:extent cx="504825" cy="857250"/>
          <wp:effectExtent l="0" t="0" r="9525" b="0"/>
          <wp:docPr id="3" name="Picture 3"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0FC06D" w14:textId="77777777" w:rsidR="00854EF5" w:rsidRDefault="00854EF5" w:rsidP="00C0654C">
    <w:pPr>
      <w:pStyle w:val="Header"/>
      <w:ind w:left="-623" w:hanging="142"/>
    </w:pPr>
    <w:r>
      <w:rPr>
        <w:b/>
        <w:noProof/>
        <w:sz w:val="24"/>
        <w:szCs w:val="24"/>
        <w:lang w:eastAsia="en-AU"/>
      </w:rPr>
      <w:drawing>
        <wp:inline distT="0" distB="0" distL="0" distR="0" wp14:anchorId="3F9C8734" wp14:editId="72FBB007">
          <wp:extent cx="504825" cy="857250"/>
          <wp:effectExtent l="0" t="0" r="9525" b="0"/>
          <wp:docPr id="11" name="Picture 11"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021F1" w14:textId="77777777" w:rsidR="00854EF5" w:rsidRPr="00395A4B" w:rsidRDefault="00854EF5" w:rsidP="005E2A3E">
    <w:pPr>
      <w:pStyle w:val="Header"/>
      <w:ind w:left="-623" w:hanging="142"/>
    </w:pPr>
    <w:r>
      <w:rPr>
        <w:b/>
        <w:noProof/>
        <w:sz w:val="24"/>
        <w:szCs w:val="24"/>
        <w:lang w:eastAsia="en-AU"/>
      </w:rPr>
      <w:drawing>
        <wp:inline distT="0" distB="0" distL="0" distR="0" wp14:anchorId="3C9CEA17" wp14:editId="6ACD3D69">
          <wp:extent cx="504825" cy="857250"/>
          <wp:effectExtent l="0" t="0" r="9525" b="0"/>
          <wp:docPr id="5" name="Picture 5"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CF041" w14:textId="77777777" w:rsidR="00854EF5" w:rsidRDefault="00854EF5" w:rsidP="00873F54">
    <w:pPr>
      <w:pStyle w:val="Header"/>
      <w:ind w:left="-623" w:hanging="142"/>
    </w:pPr>
    <w:r>
      <w:rPr>
        <w:b/>
        <w:noProof/>
        <w:sz w:val="24"/>
        <w:szCs w:val="24"/>
        <w:lang w:eastAsia="en-AU"/>
      </w:rPr>
      <w:drawing>
        <wp:inline distT="0" distB="0" distL="0" distR="0" wp14:anchorId="5EB9C2CE" wp14:editId="177334C7">
          <wp:extent cx="504825" cy="857250"/>
          <wp:effectExtent l="0" t="0" r="9525" b="0"/>
          <wp:docPr id="7" name="Picture 7"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AFF955" w14:textId="77777777" w:rsidR="00854EF5" w:rsidRPr="00395A4B" w:rsidRDefault="00854EF5" w:rsidP="005E2A3E">
    <w:pPr>
      <w:pStyle w:val="Header"/>
      <w:ind w:left="-623" w:hanging="142"/>
    </w:pPr>
    <w:r>
      <w:rPr>
        <w:b/>
        <w:noProof/>
        <w:sz w:val="24"/>
        <w:szCs w:val="24"/>
        <w:lang w:eastAsia="en-AU"/>
      </w:rPr>
      <w:drawing>
        <wp:inline distT="0" distB="0" distL="0" distR="0" wp14:anchorId="39BC64E6" wp14:editId="0B77A4A6">
          <wp:extent cx="504825" cy="857250"/>
          <wp:effectExtent l="0" t="0" r="9525" b="0"/>
          <wp:docPr id="10" name="Picture 10"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21D400" w14:textId="77777777" w:rsidR="00854EF5" w:rsidRPr="00395A4B" w:rsidRDefault="00854EF5" w:rsidP="005E2A3E">
    <w:pPr>
      <w:pStyle w:val="Header"/>
      <w:ind w:left="-623" w:hanging="142"/>
    </w:pPr>
    <w:r>
      <w:rPr>
        <w:b/>
        <w:noProof/>
        <w:sz w:val="24"/>
        <w:szCs w:val="24"/>
        <w:lang w:eastAsia="en-AU"/>
      </w:rPr>
      <w:drawing>
        <wp:inline distT="0" distB="0" distL="0" distR="0" wp14:anchorId="07F426A9" wp14:editId="3C7BD745">
          <wp:extent cx="504825" cy="857250"/>
          <wp:effectExtent l="0" t="0" r="9525" b="0"/>
          <wp:docPr id="12" name="Picture 12"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253D3" w14:textId="77777777" w:rsidR="00854EF5" w:rsidRDefault="00A6605E" w:rsidP="005C6231">
    <w:pPr>
      <w:pStyle w:val="Header"/>
      <w:tabs>
        <w:tab w:val="clear" w:pos="7796"/>
        <w:tab w:val="left" w:pos="4621"/>
      </w:tabs>
      <w:ind w:left="-992" w:firstLine="568"/>
      <w:rPr>
        <w:b/>
        <w:noProof/>
        <w:sz w:val="24"/>
        <w:szCs w:val="24"/>
        <w:lang w:eastAsia="en-AU"/>
      </w:rPr>
    </w:pPr>
    <w:r>
      <w:rPr>
        <w:b/>
        <w:noProof/>
        <w:sz w:val="24"/>
        <w:szCs w:val="24"/>
        <w:lang w:eastAsia="en-AU"/>
      </w:rPr>
      <w:pict w14:anchorId="3886F6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5.25pt">
          <v:imagedata r:id="rId1" o:title="GMRG-logo-stacked-small"/>
        </v:shape>
      </w:pict>
    </w:r>
  </w:p>
  <w:p w14:paraId="3406A051" w14:textId="77777777" w:rsidR="00854EF5" w:rsidRPr="00E35A55" w:rsidRDefault="00854EF5" w:rsidP="005C6231">
    <w:pPr>
      <w:pStyle w:val="Header"/>
      <w:tabs>
        <w:tab w:val="clear" w:pos="7796"/>
        <w:tab w:val="left" w:pos="4621"/>
      </w:tabs>
      <w:ind w:left="-992" w:firstLine="568"/>
      <w:rPr>
        <w:b/>
        <w:sz w:val="24"/>
        <w:szCs w:val="24"/>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3854AF" w14:textId="77777777" w:rsidR="00854EF5" w:rsidRPr="00395A4B" w:rsidRDefault="00854EF5" w:rsidP="005E2A3E">
    <w:pPr>
      <w:pStyle w:val="Header"/>
      <w:ind w:left="-623" w:hanging="142"/>
    </w:pPr>
    <w:r>
      <w:rPr>
        <w:b/>
        <w:noProof/>
        <w:sz w:val="24"/>
        <w:szCs w:val="24"/>
        <w:lang w:eastAsia="en-AU"/>
      </w:rPr>
      <w:drawing>
        <wp:inline distT="0" distB="0" distL="0" distR="0" wp14:anchorId="75FE3C8B" wp14:editId="35658F77">
          <wp:extent cx="504825" cy="857250"/>
          <wp:effectExtent l="0" t="0" r="9525" b="0"/>
          <wp:docPr id="16" name="Picture 16"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76B1A8" w14:textId="77777777" w:rsidR="00854EF5" w:rsidRPr="00395A4B" w:rsidRDefault="00854EF5" w:rsidP="005E2A3E">
    <w:pPr>
      <w:pStyle w:val="Header"/>
      <w:ind w:left="-623" w:hanging="142"/>
    </w:pPr>
    <w:r>
      <w:rPr>
        <w:b/>
        <w:noProof/>
        <w:sz w:val="24"/>
        <w:szCs w:val="24"/>
        <w:lang w:eastAsia="en-AU"/>
      </w:rPr>
      <w:drawing>
        <wp:inline distT="0" distB="0" distL="0" distR="0" wp14:anchorId="143DA286" wp14:editId="1B909D70">
          <wp:extent cx="504825" cy="857250"/>
          <wp:effectExtent l="0" t="0" r="9525" b="0"/>
          <wp:docPr id="18" name="Picture 18"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8EFEA3" w14:textId="77777777" w:rsidR="00854EF5" w:rsidRPr="00395A4B" w:rsidRDefault="00854EF5" w:rsidP="005E2A3E">
    <w:pPr>
      <w:pStyle w:val="Header"/>
      <w:ind w:left="-623" w:hanging="142"/>
    </w:pPr>
    <w:r>
      <w:rPr>
        <w:b/>
        <w:noProof/>
        <w:sz w:val="24"/>
        <w:szCs w:val="24"/>
        <w:lang w:eastAsia="en-AU"/>
      </w:rPr>
      <w:drawing>
        <wp:inline distT="0" distB="0" distL="0" distR="0" wp14:anchorId="15F4925A" wp14:editId="629F572B">
          <wp:extent cx="504825" cy="857250"/>
          <wp:effectExtent l="0" t="0" r="9525" b="0"/>
          <wp:docPr id="19" name="Picture 19"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71E1B" w14:textId="77777777" w:rsidR="00854EF5" w:rsidRDefault="00854EF5" w:rsidP="00200CAD">
    <w:pPr>
      <w:pStyle w:val="Header"/>
      <w:spacing w:after="200"/>
      <w:ind w:left="-425"/>
    </w:pPr>
    <w:r>
      <w:rPr>
        <w:b/>
        <w:noProof/>
        <w:sz w:val="24"/>
        <w:szCs w:val="24"/>
        <w:lang w:eastAsia="en-AU"/>
      </w:rPr>
      <w:drawing>
        <wp:inline distT="0" distB="0" distL="0" distR="0" wp14:anchorId="15DFE99C" wp14:editId="4A11C91B">
          <wp:extent cx="514350" cy="838200"/>
          <wp:effectExtent l="0" t="0" r="0" b="0"/>
          <wp:docPr id="52" name="Picture 52"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838200"/>
                  </a:xfrm>
                  <a:prstGeom prst="rect">
                    <a:avLst/>
                  </a:prstGeom>
                  <a:noFill/>
                  <a:ln>
                    <a:noFill/>
                  </a:ln>
                </pic:spPr>
              </pic:pic>
            </a:graphicData>
          </a:graphic>
        </wp:inline>
      </w:drawing>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F67310" w14:textId="77777777" w:rsidR="00854EF5" w:rsidRDefault="00854EF5" w:rsidP="00200CAD">
    <w:pPr>
      <w:pStyle w:val="Header"/>
    </w:pPr>
    <w:r>
      <w:rPr>
        <w:b/>
        <w:noProof/>
        <w:sz w:val="24"/>
        <w:szCs w:val="24"/>
        <w:lang w:eastAsia="en-AU"/>
      </w:rPr>
      <w:drawing>
        <wp:inline distT="0" distB="0" distL="0" distR="0" wp14:anchorId="275CFCEF" wp14:editId="3560146C">
          <wp:extent cx="514350" cy="838200"/>
          <wp:effectExtent l="0" t="0" r="0" b="0"/>
          <wp:docPr id="53" name="Picture 53"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838200"/>
                  </a:xfrm>
                  <a:prstGeom prst="rect">
                    <a:avLst/>
                  </a:prstGeom>
                  <a:noFill/>
                  <a:ln>
                    <a:noFill/>
                  </a:ln>
                </pic:spPr>
              </pic:pic>
            </a:graphicData>
          </a:graphic>
        </wp:inline>
      </w:drawing>
    </w:r>
  </w:p>
  <w:p w14:paraId="3BA9126A" w14:textId="77777777" w:rsidR="00854EF5" w:rsidRDefault="00854EF5"/>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8FA7FD" w14:textId="77777777" w:rsidR="00854EF5" w:rsidRPr="00395A4B" w:rsidRDefault="00854EF5" w:rsidP="005E2A3E">
    <w:pPr>
      <w:pStyle w:val="Header"/>
      <w:ind w:left="-623" w:hanging="142"/>
    </w:pPr>
    <w:r>
      <w:rPr>
        <w:b/>
        <w:noProof/>
        <w:sz w:val="24"/>
        <w:szCs w:val="24"/>
        <w:lang w:eastAsia="en-AU"/>
      </w:rPr>
      <w:drawing>
        <wp:inline distT="0" distB="0" distL="0" distR="0" wp14:anchorId="548F223A" wp14:editId="1220F8EB">
          <wp:extent cx="504825" cy="857250"/>
          <wp:effectExtent l="0" t="0" r="9525" b="0"/>
          <wp:docPr id="9" name="Picture 9"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9177A1" w14:textId="77777777" w:rsidR="00854EF5" w:rsidRPr="00570893" w:rsidRDefault="00854EF5" w:rsidP="00570893">
    <w:pPr>
      <w:pStyle w:val="Header"/>
      <w:ind w:left="-993" w:hanging="28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68CE6F" w14:textId="77777777" w:rsidR="00854EF5" w:rsidRDefault="00854EF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7278EC" w14:textId="77777777" w:rsidR="00854EF5" w:rsidRDefault="00854EF5" w:rsidP="001D0A72">
    <w:pPr>
      <w:pStyle w:val="Header"/>
      <w:ind w:left="-567"/>
    </w:pPr>
    <w:r>
      <w:rPr>
        <w:b/>
        <w:noProof/>
        <w:sz w:val="24"/>
        <w:szCs w:val="24"/>
        <w:lang w:eastAsia="en-AU"/>
      </w:rPr>
      <w:drawing>
        <wp:inline distT="0" distB="0" distL="0" distR="0" wp14:anchorId="2CA02799" wp14:editId="171BD1FB">
          <wp:extent cx="514350" cy="838200"/>
          <wp:effectExtent l="0" t="0" r="0" b="0"/>
          <wp:docPr id="14" name="Picture 14" descr="GMRG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838200"/>
                  </a:xfrm>
                  <a:prstGeom prst="rect">
                    <a:avLst/>
                  </a:prstGeom>
                  <a:noFill/>
                  <a:ln>
                    <a:noFill/>
                  </a:ln>
                </pic:spPr>
              </pic:pic>
            </a:graphicData>
          </a:graphic>
        </wp:inline>
      </w:drawing>
    </w:r>
  </w:p>
  <w:p w14:paraId="5595D32B" w14:textId="77777777" w:rsidR="00854EF5" w:rsidRDefault="00854EF5" w:rsidP="001D0A72">
    <w:pPr>
      <w:pStyle w:val="Header"/>
      <w:ind w:left="-567"/>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DA0980" w14:textId="77777777" w:rsidR="00854EF5" w:rsidRDefault="00854EF5">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59D525" w14:textId="77777777" w:rsidR="00854EF5" w:rsidRDefault="00854EF5" w:rsidP="00C0654C">
    <w:pPr>
      <w:pStyle w:val="Header"/>
      <w:ind w:left="-623" w:hanging="142"/>
    </w:pPr>
    <w:r>
      <w:rPr>
        <w:b/>
        <w:noProof/>
        <w:sz w:val="24"/>
        <w:szCs w:val="24"/>
        <w:lang w:eastAsia="en-AU"/>
      </w:rPr>
      <w:drawing>
        <wp:inline distT="0" distB="0" distL="0" distR="0" wp14:anchorId="215342E8" wp14:editId="123A8504">
          <wp:extent cx="504825" cy="857250"/>
          <wp:effectExtent l="0" t="0" r="9525" b="0"/>
          <wp:docPr id="42" name="Picture 42"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2A5BD1" w14:textId="77777777" w:rsidR="00854EF5" w:rsidRDefault="00854EF5" w:rsidP="001B5338">
    <w:pPr>
      <w:pStyle w:val="Header"/>
      <w:spacing w:line="240" w:lineRule="auto"/>
      <w:ind w:left="-850" w:hanging="142"/>
    </w:pPr>
    <w:r>
      <w:rPr>
        <w:b/>
        <w:noProof/>
        <w:sz w:val="24"/>
        <w:szCs w:val="24"/>
        <w:lang w:eastAsia="en-AU"/>
      </w:rPr>
      <w:drawing>
        <wp:inline distT="0" distB="0" distL="0" distR="0" wp14:anchorId="6A0DAFE9" wp14:editId="2A226619">
          <wp:extent cx="504825" cy="857250"/>
          <wp:effectExtent l="0" t="0" r="9525" b="0"/>
          <wp:docPr id="29" name="Picture 29"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85485E" w14:textId="77777777" w:rsidR="00854EF5" w:rsidRDefault="00854EF5" w:rsidP="00C0654C">
    <w:pPr>
      <w:pStyle w:val="Header"/>
      <w:ind w:left="-623" w:hanging="142"/>
    </w:pPr>
    <w:r>
      <w:rPr>
        <w:b/>
        <w:noProof/>
        <w:sz w:val="24"/>
        <w:szCs w:val="24"/>
        <w:lang w:eastAsia="en-AU"/>
      </w:rPr>
      <w:drawing>
        <wp:inline distT="0" distB="0" distL="0" distR="0" wp14:anchorId="04B38881" wp14:editId="768871E9">
          <wp:extent cx="504825" cy="857250"/>
          <wp:effectExtent l="0" t="0" r="9525" b="0"/>
          <wp:docPr id="17" name="Picture 17"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32DB9"/>
    <w:multiLevelType w:val="multilevel"/>
    <w:tmpl w:val="E5E89F92"/>
    <w:styleLink w:val="BulletList"/>
    <w:lvl w:ilvl="0">
      <w:start w:val="1"/>
      <w:numFmt w:val="bullet"/>
      <w:lvlText w:val=""/>
      <w:lvlJc w:val="left"/>
      <w:pPr>
        <w:ind w:left="369" w:hanging="369"/>
      </w:pPr>
      <w:rPr>
        <w:rFonts w:ascii="Symbol" w:hAnsi="Symbol" w:hint="default"/>
      </w:rPr>
    </w:lvl>
    <w:lvl w:ilvl="1">
      <w:start w:val="1"/>
      <w:numFmt w:val="none"/>
      <w:lvlText w:val="-"/>
      <w:lvlJc w:val="left"/>
      <w:pPr>
        <w:ind w:left="737" w:hanging="368"/>
      </w:pPr>
    </w:lvl>
    <w:lvl w:ilvl="2">
      <w:start w:val="1"/>
      <w:numFmt w:val="none"/>
      <w:lvlText w:val=":"/>
      <w:lvlJc w:val="left"/>
      <w:pPr>
        <w:ind w:left="1106" w:hanging="369"/>
      </w:pPr>
    </w:lvl>
    <w:lvl w:ilvl="3">
      <w:start w:val="1"/>
      <w:numFmt w:val="none"/>
      <w:lvlText w:val=""/>
      <w:lvlJc w:val="left"/>
      <w:pPr>
        <w:ind w:left="1474" w:hanging="368"/>
      </w:pPr>
      <w:rPr>
        <w:color w:val="auto"/>
      </w:rPr>
    </w:lvl>
    <w:lvl w:ilvl="4">
      <w:start w:val="1"/>
      <w:numFmt w:val="none"/>
      <w:lvlText w:val=""/>
      <w:lvlJc w:val="left"/>
      <w:pPr>
        <w:ind w:left="1800" w:hanging="360"/>
      </w:pPr>
      <w:rPr>
        <w:color w:val="auto"/>
      </w:rPr>
    </w:lvl>
    <w:lvl w:ilvl="5">
      <w:start w:val="1"/>
      <w:numFmt w:val="none"/>
      <w:lvlText w:val=""/>
      <w:lvlJc w:val="left"/>
      <w:pPr>
        <w:ind w:left="2160" w:hanging="360"/>
      </w:pPr>
      <w:rPr>
        <w:color w:val="auto"/>
      </w:rPr>
    </w:lvl>
    <w:lvl w:ilvl="6">
      <w:start w:val="1"/>
      <w:numFmt w:val="none"/>
      <w:lvlText w:val=""/>
      <w:lvlJc w:val="left"/>
      <w:pPr>
        <w:ind w:left="2520" w:hanging="360"/>
      </w:pPr>
      <w:rPr>
        <w:color w:val="auto"/>
      </w:rPr>
    </w:lvl>
    <w:lvl w:ilvl="7">
      <w:start w:val="1"/>
      <w:numFmt w:val="none"/>
      <w:lvlText w:val=""/>
      <w:lvlJc w:val="left"/>
      <w:pPr>
        <w:ind w:left="2880" w:hanging="360"/>
      </w:pPr>
      <w:rPr>
        <w:color w:val="auto"/>
      </w:rPr>
    </w:lvl>
    <w:lvl w:ilvl="8">
      <w:start w:val="1"/>
      <w:numFmt w:val="none"/>
      <w:lvlText w:val=""/>
      <w:lvlJc w:val="left"/>
      <w:pPr>
        <w:ind w:left="3240" w:hanging="360"/>
      </w:pPr>
      <w:rPr>
        <w:color w:val="auto"/>
      </w:rPr>
    </w:lvl>
  </w:abstractNum>
  <w:abstractNum w:abstractNumId="1" w15:restartNumberingAfterBreak="0">
    <w:nsid w:val="00F7340A"/>
    <w:multiLevelType w:val="multilevel"/>
    <w:tmpl w:val="1BC81502"/>
    <w:lvl w:ilvl="0">
      <w:start w:val="1"/>
      <w:numFmt w:val="decimal"/>
      <w:pStyle w:val="TableListNumber"/>
      <w:lvlText w:val="%1."/>
      <w:lvlJc w:val="left"/>
      <w:pPr>
        <w:tabs>
          <w:tab w:val="num" w:pos="-31680"/>
        </w:tabs>
        <w:ind w:left="369" w:hanging="284"/>
      </w:pPr>
      <w:rPr>
        <w:rFonts w:hint="default"/>
      </w:rPr>
    </w:lvl>
    <w:lvl w:ilvl="1">
      <w:start w:val="1"/>
      <w:numFmt w:val="lowerLetter"/>
      <w:pStyle w:val="TableListNumber2"/>
      <w:lvlText w:val="%2."/>
      <w:lvlJc w:val="left"/>
      <w:pPr>
        <w:ind w:left="652" w:hanging="283"/>
      </w:pPr>
      <w:rPr>
        <w:rFonts w:hint="default"/>
      </w:rPr>
    </w:lvl>
    <w:lvl w:ilvl="2">
      <w:start w:val="1"/>
      <w:numFmt w:val="lowerRoman"/>
      <w:pStyle w:val="TableListNumber3"/>
      <w:lvlText w:val="%3."/>
      <w:lvlJc w:val="left"/>
      <w:pPr>
        <w:ind w:left="936" w:hanging="28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1FB2144"/>
    <w:multiLevelType w:val="hybridMultilevel"/>
    <w:tmpl w:val="E4727A28"/>
    <w:name w:val="MyNumbering622412222"/>
    <w:lvl w:ilvl="0" w:tplc="0C090005">
      <w:start w:val="1"/>
      <w:numFmt w:val="bullet"/>
      <w:lvlText w:val=""/>
      <w:lvlJc w:val="left"/>
      <w:pPr>
        <w:ind w:left="1077" w:hanging="360"/>
      </w:pPr>
      <w:rPr>
        <w:rFonts w:ascii="Wingdings" w:hAnsi="Wingdings" w:hint="default"/>
      </w:rPr>
    </w:lvl>
    <w:lvl w:ilvl="1" w:tplc="0C090003">
      <w:start w:val="1"/>
      <w:numFmt w:val="bullet"/>
      <w:lvlText w:val="o"/>
      <w:lvlJc w:val="left"/>
      <w:pPr>
        <w:ind w:left="1797" w:hanging="360"/>
      </w:pPr>
      <w:rPr>
        <w:rFonts w:ascii="Courier New" w:hAnsi="Courier New" w:cs="Courier New" w:hint="default"/>
      </w:rPr>
    </w:lvl>
    <w:lvl w:ilvl="2" w:tplc="0C090005">
      <w:start w:val="1"/>
      <w:numFmt w:val="bullet"/>
      <w:lvlText w:val=""/>
      <w:lvlJc w:val="left"/>
      <w:pPr>
        <w:ind w:left="2517" w:hanging="360"/>
      </w:pPr>
      <w:rPr>
        <w:rFonts w:ascii="Wingdings" w:hAnsi="Wingdings" w:hint="default"/>
      </w:rPr>
    </w:lvl>
    <w:lvl w:ilvl="3" w:tplc="0C090001">
      <w:start w:val="1"/>
      <w:numFmt w:val="bullet"/>
      <w:lvlText w:val=""/>
      <w:lvlJc w:val="left"/>
      <w:pPr>
        <w:ind w:left="3237" w:hanging="360"/>
      </w:pPr>
      <w:rPr>
        <w:rFonts w:ascii="Symbol" w:hAnsi="Symbol" w:hint="default"/>
      </w:rPr>
    </w:lvl>
    <w:lvl w:ilvl="4" w:tplc="0C090003">
      <w:start w:val="1"/>
      <w:numFmt w:val="bullet"/>
      <w:lvlText w:val="o"/>
      <w:lvlJc w:val="left"/>
      <w:pPr>
        <w:ind w:left="3957" w:hanging="360"/>
      </w:pPr>
      <w:rPr>
        <w:rFonts w:ascii="Courier New" w:hAnsi="Courier New" w:cs="Courier New" w:hint="default"/>
      </w:rPr>
    </w:lvl>
    <w:lvl w:ilvl="5" w:tplc="0C090005">
      <w:start w:val="1"/>
      <w:numFmt w:val="bullet"/>
      <w:lvlText w:val=""/>
      <w:lvlJc w:val="left"/>
      <w:pPr>
        <w:ind w:left="4677" w:hanging="360"/>
      </w:pPr>
      <w:rPr>
        <w:rFonts w:ascii="Wingdings" w:hAnsi="Wingdings" w:hint="default"/>
      </w:rPr>
    </w:lvl>
    <w:lvl w:ilvl="6" w:tplc="0C090001">
      <w:start w:val="1"/>
      <w:numFmt w:val="bullet"/>
      <w:lvlText w:val=""/>
      <w:lvlJc w:val="left"/>
      <w:pPr>
        <w:ind w:left="5397" w:hanging="360"/>
      </w:pPr>
      <w:rPr>
        <w:rFonts w:ascii="Symbol" w:hAnsi="Symbol" w:hint="default"/>
      </w:rPr>
    </w:lvl>
    <w:lvl w:ilvl="7" w:tplc="0C090003">
      <w:start w:val="1"/>
      <w:numFmt w:val="bullet"/>
      <w:lvlText w:val="o"/>
      <w:lvlJc w:val="left"/>
      <w:pPr>
        <w:ind w:left="6117" w:hanging="360"/>
      </w:pPr>
      <w:rPr>
        <w:rFonts w:ascii="Courier New" w:hAnsi="Courier New" w:cs="Courier New" w:hint="default"/>
      </w:rPr>
    </w:lvl>
    <w:lvl w:ilvl="8" w:tplc="0C090005">
      <w:start w:val="1"/>
      <w:numFmt w:val="bullet"/>
      <w:lvlText w:val=""/>
      <w:lvlJc w:val="left"/>
      <w:pPr>
        <w:ind w:left="6837" w:hanging="360"/>
      </w:pPr>
      <w:rPr>
        <w:rFonts w:ascii="Wingdings" w:hAnsi="Wingdings" w:hint="default"/>
      </w:rPr>
    </w:lvl>
  </w:abstractNum>
  <w:abstractNum w:abstractNumId="3" w15:restartNumberingAfterBreak="0">
    <w:nsid w:val="036F68CE"/>
    <w:multiLevelType w:val="multilevel"/>
    <w:tmpl w:val="9F2A8B76"/>
    <w:styleLink w:val="MyListNumbering"/>
    <w:lvl w:ilvl="0">
      <w:start w:val="1"/>
      <w:numFmt w:val="lowerLetter"/>
      <w:lvlText w:val="(%1)"/>
      <w:lvlJc w:val="left"/>
      <w:pPr>
        <w:tabs>
          <w:tab w:val="num" w:pos="567"/>
        </w:tabs>
        <w:ind w:left="360" w:hanging="360"/>
      </w:pPr>
      <w:rPr>
        <w:rFonts w:hint="default"/>
      </w:rPr>
    </w:lvl>
    <w:lvl w:ilvl="1">
      <w:start w:val="1"/>
      <w:numFmt w:val="lowerRoman"/>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03B57116"/>
    <w:multiLevelType w:val="multilevel"/>
    <w:tmpl w:val="D8C832B8"/>
    <w:name w:val="TableNumbering2"/>
    <w:lvl w:ilvl="0">
      <w:start w:val="1"/>
      <w:numFmt w:val="none"/>
      <w:suff w:val="nothing"/>
      <w:lvlText w:val=""/>
      <w:lvlJc w:val="left"/>
      <w:pPr>
        <w:ind w:left="113" w:firstLine="0"/>
      </w:pPr>
      <w:rPr>
        <w:rFonts w:hint="default"/>
      </w:rPr>
    </w:lvl>
    <w:lvl w:ilvl="1">
      <w:start w:val="1"/>
      <w:numFmt w:val="decimal"/>
      <w:lvlText w:val="(%2)"/>
      <w:lvlJc w:val="left"/>
      <w:pPr>
        <w:tabs>
          <w:tab w:val="num" w:pos="425"/>
        </w:tabs>
        <w:ind w:left="425" w:hanging="425"/>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5" w15:restartNumberingAfterBreak="0">
    <w:nsid w:val="07A921F3"/>
    <w:multiLevelType w:val="hybridMultilevel"/>
    <w:tmpl w:val="470C126C"/>
    <w:name w:val="MyNumbering62249"/>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E7A066A"/>
    <w:multiLevelType w:val="hybridMultilevel"/>
    <w:tmpl w:val="7B62C0B4"/>
    <w:name w:val="MyNumbering2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FB2573F"/>
    <w:multiLevelType w:val="multilevel"/>
    <w:tmpl w:val="DE1A4C60"/>
    <w:name w:val="TableFootnotes"/>
    <w:lvl w:ilvl="0">
      <w:start w:val="1"/>
      <w:numFmt w:val="none"/>
      <w:suff w:val="nothing"/>
      <w:lvlText w:val=""/>
      <w:lvlJc w:val="left"/>
      <w:pPr>
        <w:ind w:left="113" w:firstLine="0"/>
      </w:pPr>
      <w:rPr>
        <w:rFonts w:hint="default"/>
        <w:spacing w:val="-10"/>
      </w:rPr>
    </w:lvl>
    <w:lvl w:ilvl="1">
      <w:start w:val="1"/>
      <w:numFmt w:val="decimal"/>
      <w:lvlText w:val="(%2)"/>
      <w:lvlJc w:val="left"/>
      <w:pPr>
        <w:tabs>
          <w:tab w:val="num" w:pos="425"/>
        </w:tabs>
        <w:ind w:left="425" w:hanging="425"/>
      </w:pPr>
      <w:rPr>
        <w:rFonts w:hint="default"/>
        <w:spacing w:val="0"/>
        <w:w w:val="100"/>
        <w:kern w:val="0"/>
        <w:position w:val="0"/>
      </w:rPr>
    </w:lvl>
    <w:lvl w:ilvl="2">
      <w:start w:val="1"/>
      <w:numFmt w:val="none"/>
      <w:lvlRestart w:val="1"/>
      <w:lvlText w:val=""/>
      <w:lvlJc w:val="left"/>
      <w:pPr>
        <w:tabs>
          <w:tab w:val="num" w:pos="284"/>
        </w:tabs>
        <w:ind w:left="284" w:hanging="284"/>
      </w:pPr>
      <w:rPr>
        <w:rFonts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8" w15:restartNumberingAfterBreak="0">
    <w:nsid w:val="11E07DA6"/>
    <w:multiLevelType w:val="hybridMultilevel"/>
    <w:tmpl w:val="16FC19FA"/>
    <w:name w:val="MyBullets222"/>
    <w:lvl w:ilvl="0" w:tplc="8F8EC1A6">
      <w:start w:val="1"/>
      <w:numFmt w:val="bullet"/>
      <w:lvlText w:val="-"/>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4890D1D"/>
    <w:multiLevelType w:val="multilevel"/>
    <w:tmpl w:val="583A35FA"/>
    <w:name w:val="MyBullets"/>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 w15:restartNumberingAfterBreak="0">
    <w:nsid w:val="18DB37BE"/>
    <w:multiLevelType w:val="multilevel"/>
    <w:tmpl w:val="59A8F944"/>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1" w15:restartNumberingAfterBreak="0">
    <w:nsid w:val="1E752802"/>
    <w:multiLevelType w:val="hybridMultilevel"/>
    <w:tmpl w:val="57084850"/>
    <w:name w:val="MyNumbering33"/>
    <w:lvl w:ilvl="0" w:tplc="62EEBF52">
      <w:start w:val="1"/>
      <w:numFmt w:val="lowerLetter"/>
      <w:lvlText w:val="(%1)"/>
      <w:lvlJc w:val="left"/>
      <w:pPr>
        <w:ind w:left="720" w:hanging="360"/>
      </w:pPr>
      <w:rPr>
        <w:rFonts w:ascii="Arial" w:hAnsi="Arial" w:hint="default"/>
        <w:b w:val="0"/>
        <w:i w:val="0"/>
        <w:color w:val="231F20"/>
        <w:w w:val="100"/>
        <w:sz w:val="22"/>
        <w:szCs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1F6515F6"/>
    <w:multiLevelType w:val="hybridMultilevel"/>
    <w:tmpl w:val="7E0650BE"/>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3" w15:restartNumberingAfterBreak="0">
    <w:nsid w:val="1FF6579C"/>
    <w:multiLevelType w:val="multilevel"/>
    <w:tmpl w:val="E0E2EF94"/>
    <w:name w:val="MyNumbering"/>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pStyle w:val="ListNumber2"/>
      <w:lvlText w:val="%2."/>
      <w:lvlJc w:val="left"/>
      <w:pPr>
        <w:ind w:left="714" w:hanging="357"/>
      </w:pPr>
      <w:rPr>
        <w:rFonts w:hint="default"/>
      </w:rPr>
    </w:lvl>
    <w:lvl w:ilvl="2">
      <w:start w:val="1"/>
      <w:numFmt w:val="lowerRoman"/>
      <w:pStyle w:val="ListNumber3"/>
      <w:lvlText w:val="%3."/>
      <w:lvlJc w:val="left"/>
      <w:pPr>
        <w:ind w:left="1071" w:hanging="357"/>
      </w:pPr>
      <w:rPr>
        <w:rFonts w:hint="default"/>
      </w:rPr>
    </w:lvl>
    <w:lvl w:ilvl="3">
      <w:start w:val="1"/>
      <w:numFmt w:val="upperLetter"/>
      <w:pStyle w:val="ListNumber4"/>
      <w:lvlText w:val="%4."/>
      <w:lvlJc w:val="left"/>
      <w:pPr>
        <w:ind w:left="1428" w:hanging="357"/>
      </w:pPr>
      <w:rPr>
        <w:rFonts w:hint="default"/>
      </w:rPr>
    </w:lvl>
    <w:lvl w:ilvl="4">
      <w:start w:val="1"/>
      <w:numFmt w:val="upperRoman"/>
      <w:pStyle w:val="ListNumber5"/>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4" w15:restartNumberingAfterBreak="0">
    <w:nsid w:val="226A6EE6"/>
    <w:multiLevelType w:val="multilevel"/>
    <w:tmpl w:val="E4FE780E"/>
    <w:lvl w:ilvl="0">
      <w:start w:val="1"/>
      <w:numFmt w:val="bullet"/>
      <w:pStyle w:val="TableBullet1"/>
      <w:lvlText w:val=""/>
      <w:lvlJc w:val="left"/>
      <w:pPr>
        <w:tabs>
          <w:tab w:val="num" w:pos="312"/>
        </w:tabs>
        <w:ind w:left="312" w:hanging="227"/>
      </w:pPr>
      <w:rPr>
        <w:rFonts w:ascii="Wingdings" w:hAnsi="Wingdings" w:hint="default"/>
        <w:color w:val="auto"/>
        <w:position w:val="0"/>
        <w:sz w:val="18"/>
      </w:rPr>
    </w:lvl>
    <w:lvl w:ilvl="1">
      <w:start w:val="1"/>
      <w:numFmt w:val="bullet"/>
      <w:pStyle w:val="TableBullet2"/>
      <w:lvlText w:val="–"/>
      <w:lvlJc w:val="left"/>
      <w:pPr>
        <w:tabs>
          <w:tab w:val="num" w:pos="539"/>
        </w:tabs>
        <w:ind w:left="539" w:hanging="227"/>
      </w:pPr>
      <w:rPr>
        <w:rFonts w:ascii="Arial" w:hAnsi="Arial" w:hint="default"/>
        <w:color w:val="auto"/>
        <w:position w:val="0"/>
        <w:sz w:val="18"/>
      </w:rPr>
    </w:lvl>
    <w:lvl w:ilvl="2">
      <w:start w:val="1"/>
      <w:numFmt w:val="bullet"/>
      <w:pStyle w:val="TableBullet3"/>
      <w:lvlText w:val="•"/>
      <w:lvlJc w:val="left"/>
      <w:pPr>
        <w:tabs>
          <w:tab w:val="num" w:pos="765"/>
        </w:tabs>
        <w:ind w:left="765" w:hanging="226"/>
      </w:pPr>
      <w:rPr>
        <w:rFonts w:ascii="Book Antiqua" w:hAnsi="Book Antiqua" w:hint="default"/>
        <w:color w:val="auto"/>
        <w:position w:val="0"/>
        <w:sz w:val="18"/>
      </w:rPr>
    </w:lvl>
    <w:lvl w:ilvl="3">
      <w:start w:val="1"/>
      <w:numFmt w:val="none"/>
      <w:lvlText w:val=""/>
      <w:lvlJc w:val="left"/>
      <w:pPr>
        <w:tabs>
          <w:tab w:val="num" w:pos="1021"/>
        </w:tabs>
        <w:ind w:left="908" w:hanging="227"/>
      </w:pPr>
      <w:rPr>
        <w:rFonts w:hint="default"/>
        <w:color w:val="214C90" w:themeColor="text2"/>
        <w:sz w:val="16"/>
      </w:rPr>
    </w:lvl>
    <w:lvl w:ilvl="4">
      <w:start w:val="1"/>
      <w:numFmt w:val="none"/>
      <w:lvlText w:val=""/>
      <w:lvlJc w:val="left"/>
      <w:pPr>
        <w:tabs>
          <w:tab w:val="num" w:pos="1248"/>
        </w:tabs>
        <w:ind w:left="1135" w:hanging="227"/>
      </w:pPr>
      <w:rPr>
        <w:rFonts w:hint="default"/>
        <w:color w:val="214C90" w:themeColor="text2"/>
      </w:rPr>
    </w:lvl>
    <w:lvl w:ilvl="5">
      <w:start w:val="1"/>
      <w:numFmt w:val="none"/>
      <w:lvlText w:val=""/>
      <w:lvlJc w:val="left"/>
      <w:pPr>
        <w:tabs>
          <w:tab w:val="num" w:pos="1475"/>
        </w:tabs>
        <w:ind w:left="1362" w:hanging="227"/>
      </w:pPr>
      <w:rPr>
        <w:rFonts w:hint="default"/>
      </w:rPr>
    </w:lvl>
    <w:lvl w:ilvl="6">
      <w:start w:val="1"/>
      <w:numFmt w:val="none"/>
      <w:lvlText w:val=""/>
      <w:lvlJc w:val="left"/>
      <w:pPr>
        <w:tabs>
          <w:tab w:val="num" w:pos="1702"/>
        </w:tabs>
        <w:ind w:left="1589" w:hanging="227"/>
      </w:pPr>
      <w:rPr>
        <w:rFonts w:hint="default"/>
      </w:rPr>
    </w:lvl>
    <w:lvl w:ilvl="7">
      <w:start w:val="1"/>
      <w:numFmt w:val="none"/>
      <w:lvlText w:val=""/>
      <w:lvlJc w:val="left"/>
      <w:pPr>
        <w:tabs>
          <w:tab w:val="num" w:pos="1929"/>
        </w:tabs>
        <w:ind w:left="1816" w:hanging="227"/>
      </w:pPr>
      <w:rPr>
        <w:rFonts w:hint="default"/>
      </w:rPr>
    </w:lvl>
    <w:lvl w:ilvl="8">
      <w:start w:val="1"/>
      <w:numFmt w:val="none"/>
      <w:lvlText w:val=""/>
      <w:lvlJc w:val="left"/>
      <w:pPr>
        <w:tabs>
          <w:tab w:val="num" w:pos="2156"/>
        </w:tabs>
        <w:ind w:left="2043" w:hanging="227"/>
      </w:pPr>
      <w:rPr>
        <w:rFonts w:hint="default"/>
      </w:rPr>
    </w:lvl>
  </w:abstractNum>
  <w:abstractNum w:abstractNumId="15" w15:restartNumberingAfterBreak="0">
    <w:nsid w:val="23594EC4"/>
    <w:multiLevelType w:val="hybridMultilevel"/>
    <w:tmpl w:val="D11474C2"/>
    <w:lvl w:ilvl="0" w:tplc="1F52F16E">
      <w:start w:val="1"/>
      <w:numFmt w:val="decimal"/>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254A468D"/>
    <w:multiLevelType w:val="hybridMultilevel"/>
    <w:tmpl w:val="A3568734"/>
    <w:name w:val="MyNumbering32"/>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254B6A47"/>
    <w:multiLevelType w:val="multilevel"/>
    <w:tmpl w:val="305A6728"/>
    <w:name w:val="AlphaList"/>
    <w:lvl w:ilvl="0">
      <w:start w:val="1"/>
      <w:numFmt w:val="lowerLetter"/>
      <w:lvlText w:val="(%1)"/>
      <w:lvlJc w:val="left"/>
      <w:pPr>
        <w:tabs>
          <w:tab w:val="num" w:pos="397"/>
        </w:tabs>
        <w:ind w:left="397" w:hanging="397"/>
      </w:pPr>
      <w:rPr>
        <w:rFonts w:hint="default"/>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none"/>
      <w:lvlText w:val=""/>
      <w:lvlJc w:val="left"/>
      <w:pPr>
        <w:tabs>
          <w:tab w:val="num" w:pos="2013"/>
        </w:tabs>
        <w:ind w:left="1985" w:hanging="397"/>
      </w:pPr>
      <w:rPr>
        <w:rFonts w:hint="default"/>
      </w:rPr>
    </w:lvl>
    <w:lvl w:ilvl="5">
      <w:start w:val="1"/>
      <w:numFmt w:val="none"/>
      <w:lvlText w:val=""/>
      <w:lvlJc w:val="left"/>
      <w:pPr>
        <w:tabs>
          <w:tab w:val="num" w:pos="2410"/>
        </w:tabs>
        <w:ind w:left="2382" w:hanging="397"/>
      </w:pPr>
      <w:rPr>
        <w:rFonts w:hint="default"/>
      </w:rPr>
    </w:lvl>
    <w:lvl w:ilvl="6">
      <w:start w:val="1"/>
      <w:numFmt w:val="none"/>
      <w:lvlText w:val=""/>
      <w:lvlJc w:val="left"/>
      <w:pPr>
        <w:tabs>
          <w:tab w:val="num" w:pos="2807"/>
        </w:tabs>
        <w:ind w:left="2779" w:hanging="397"/>
      </w:pPr>
      <w:rPr>
        <w:rFonts w:hint="default"/>
      </w:rPr>
    </w:lvl>
    <w:lvl w:ilvl="7">
      <w:start w:val="1"/>
      <w:numFmt w:val="none"/>
      <w:lvlText w:val=""/>
      <w:lvlJc w:val="left"/>
      <w:pPr>
        <w:tabs>
          <w:tab w:val="num" w:pos="3204"/>
        </w:tabs>
        <w:ind w:left="3176" w:hanging="397"/>
      </w:pPr>
      <w:rPr>
        <w:rFonts w:hint="default"/>
      </w:rPr>
    </w:lvl>
    <w:lvl w:ilvl="8">
      <w:start w:val="1"/>
      <w:numFmt w:val="none"/>
      <w:lvlText w:val=""/>
      <w:lvlJc w:val="left"/>
      <w:pPr>
        <w:tabs>
          <w:tab w:val="num" w:pos="3601"/>
        </w:tabs>
        <w:ind w:left="3573" w:hanging="397"/>
      </w:pPr>
      <w:rPr>
        <w:rFonts w:hint="default"/>
      </w:rPr>
    </w:lvl>
  </w:abstractNum>
  <w:abstractNum w:abstractNumId="18" w15:restartNumberingAfterBreak="0">
    <w:nsid w:val="27C445F5"/>
    <w:multiLevelType w:val="multilevel"/>
    <w:tmpl w:val="0EDEA0D8"/>
    <w:styleLink w:val="HangingList"/>
    <w:lvl w:ilvl="0">
      <w:start w:val="1"/>
      <w:numFmt w:val="none"/>
      <w:suff w:val="nothing"/>
      <w:lvlText w:val=""/>
      <w:lvlJc w:val="left"/>
      <w:pPr>
        <w:ind w:left="992" w:hanging="992"/>
      </w:pPr>
      <w:rPr>
        <w:rFonts w:hint="default"/>
      </w:rPr>
    </w:lvl>
    <w:lvl w:ilvl="1">
      <w:start w:val="1"/>
      <w:numFmt w:val="none"/>
      <w:suff w:val="nothing"/>
      <w:lvlText w:val=""/>
      <w:lvlJc w:val="left"/>
      <w:pPr>
        <w:ind w:left="1701" w:hanging="709"/>
      </w:pPr>
      <w:rPr>
        <w:rFonts w:hint="default"/>
      </w:rPr>
    </w:lvl>
    <w:lvl w:ilvl="2">
      <w:start w:val="1"/>
      <w:numFmt w:val="none"/>
      <w:suff w:val="nothing"/>
      <w:lvlText w:val=""/>
      <w:lvlJc w:val="left"/>
      <w:pPr>
        <w:ind w:left="2410" w:hanging="709"/>
      </w:pPr>
      <w:rPr>
        <w:rFonts w:hint="default"/>
      </w:rPr>
    </w:lvl>
    <w:lvl w:ilvl="3">
      <w:start w:val="1"/>
      <w:numFmt w:val="none"/>
      <w:suff w:val="nothing"/>
      <w:lvlText w:val=""/>
      <w:lvlJc w:val="left"/>
      <w:pPr>
        <w:ind w:left="3119" w:hanging="709"/>
      </w:pPr>
      <w:rPr>
        <w:rFonts w:hint="default"/>
      </w:rPr>
    </w:lvl>
    <w:lvl w:ilvl="4">
      <w:start w:val="1"/>
      <w:numFmt w:val="none"/>
      <w:suff w:val="nothing"/>
      <w:lvlText w:val=""/>
      <w:lvlJc w:val="left"/>
      <w:pPr>
        <w:ind w:left="3828" w:hanging="709"/>
      </w:pPr>
      <w:rPr>
        <w:rFonts w:hint="default"/>
      </w:rPr>
    </w:lvl>
    <w:lvl w:ilvl="5">
      <w:start w:val="1"/>
      <w:numFmt w:val="none"/>
      <w:suff w:val="nothing"/>
      <w:lvlText w:val=""/>
      <w:lvlJc w:val="left"/>
      <w:pPr>
        <w:ind w:left="4537" w:hanging="710"/>
      </w:pPr>
      <w:rPr>
        <w:rFonts w:hint="default"/>
      </w:rPr>
    </w:lvl>
    <w:lvl w:ilvl="6">
      <w:start w:val="1"/>
      <w:numFmt w:val="none"/>
      <w:suff w:val="nothing"/>
      <w:lvlText w:val=""/>
      <w:lvlJc w:val="left"/>
      <w:pPr>
        <w:ind w:left="5246" w:hanging="710"/>
      </w:pPr>
      <w:rPr>
        <w:rFonts w:hint="default"/>
      </w:rPr>
    </w:lvl>
    <w:lvl w:ilvl="7">
      <w:start w:val="1"/>
      <w:numFmt w:val="none"/>
      <w:suff w:val="nothing"/>
      <w:lvlText w:val=""/>
      <w:lvlJc w:val="left"/>
      <w:pPr>
        <w:ind w:left="5955" w:hanging="992"/>
      </w:pPr>
      <w:rPr>
        <w:rFonts w:hint="default"/>
      </w:rPr>
    </w:lvl>
    <w:lvl w:ilvl="8">
      <w:start w:val="1"/>
      <w:numFmt w:val="none"/>
      <w:suff w:val="nothing"/>
      <w:lvlText w:val=""/>
      <w:lvlJc w:val="left"/>
      <w:pPr>
        <w:ind w:left="6664" w:hanging="992"/>
      </w:pPr>
      <w:rPr>
        <w:rFonts w:hint="default"/>
      </w:rPr>
    </w:lvl>
  </w:abstractNum>
  <w:abstractNum w:abstractNumId="19" w15:restartNumberingAfterBreak="0">
    <w:nsid w:val="2911260D"/>
    <w:multiLevelType w:val="multilevel"/>
    <w:tmpl w:val="BB8EE6B2"/>
    <w:lvl w:ilvl="0">
      <w:start w:val="1"/>
      <w:numFmt w:val="decimal"/>
      <w:pStyle w:val="NotesNumbered"/>
      <w:lvlText w:val="%1."/>
      <w:lvlJc w:val="left"/>
      <w:pPr>
        <w:tabs>
          <w:tab w:val="num" w:pos="284"/>
        </w:tabs>
        <w:ind w:left="284" w:hanging="28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29E20C04"/>
    <w:multiLevelType w:val="multilevel"/>
    <w:tmpl w:val="775ED5F2"/>
    <w:lvl w:ilvl="0">
      <w:start w:val="1"/>
      <w:numFmt w:val="upperLetter"/>
      <w:pStyle w:val="AppendixLevel1"/>
      <w:lvlText w:val="%1."/>
      <w:lvlJc w:val="left"/>
      <w:pPr>
        <w:ind w:left="1134" w:hanging="1134"/>
      </w:pPr>
    </w:lvl>
    <w:lvl w:ilvl="1">
      <w:start w:val="1"/>
      <w:numFmt w:val="decimal"/>
      <w:pStyle w:val="AppendixLevel2"/>
      <w:lvlText w:val="%1.%2"/>
      <w:lvlJc w:val="left"/>
      <w:pPr>
        <w:ind w:left="1134" w:hanging="1134"/>
      </w:pPr>
    </w:lvl>
    <w:lvl w:ilvl="2">
      <w:start w:val="1"/>
      <w:numFmt w:val="decimal"/>
      <w:pStyle w:val="AppendixLevel3"/>
      <w:lvlText w:val="%1.%2.%3"/>
      <w:lvlJc w:val="left"/>
      <w:pPr>
        <w:ind w:left="1134" w:hanging="1134"/>
      </w:pPr>
    </w:lvl>
    <w:lvl w:ilvl="3">
      <w:start w:val="1"/>
      <w:numFmt w:val="none"/>
      <w:lvlText w:val="(%4)"/>
      <w:lvlJc w:val="left"/>
      <w:pPr>
        <w:ind w:left="1808" w:hanging="737"/>
      </w:pPr>
    </w:lvl>
    <w:lvl w:ilvl="4">
      <w:start w:val="1"/>
      <w:numFmt w:val="lowerLetter"/>
      <w:lvlText w:val="(%5)"/>
      <w:lvlJc w:val="left"/>
      <w:pPr>
        <w:ind w:left="2165" w:hanging="737"/>
      </w:pPr>
    </w:lvl>
    <w:lvl w:ilvl="5">
      <w:start w:val="1"/>
      <w:numFmt w:val="lowerRoman"/>
      <w:lvlText w:val="(%6)"/>
      <w:lvlJc w:val="left"/>
      <w:pPr>
        <w:ind w:left="2522" w:hanging="737"/>
      </w:pPr>
    </w:lvl>
    <w:lvl w:ilvl="6">
      <w:start w:val="1"/>
      <w:numFmt w:val="decimal"/>
      <w:lvlText w:val="%7."/>
      <w:lvlJc w:val="left"/>
      <w:pPr>
        <w:ind w:left="2879" w:hanging="737"/>
      </w:pPr>
    </w:lvl>
    <w:lvl w:ilvl="7">
      <w:start w:val="1"/>
      <w:numFmt w:val="lowerLetter"/>
      <w:lvlText w:val="%8."/>
      <w:lvlJc w:val="left"/>
      <w:pPr>
        <w:ind w:left="3236" w:hanging="737"/>
      </w:pPr>
    </w:lvl>
    <w:lvl w:ilvl="8">
      <w:start w:val="1"/>
      <w:numFmt w:val="lowerRoman"/>
      <w:lvlText w:val="%9."/>
      <w:lvlJc w:val="left"/>
      <w:pPr>
        <w:ind w:left="3593" w:hanging="737"/>
      </w:pPr>
    </w:lvl>
  </w:abstractNum>
  <w:abstractNum w:abstractNumId="21" w15:restartNumberingAfterBreak="0">
    <w:nsid w:val="2C976934"/>
    <w:multiLevelType w:val="multilevel"/>
    <w:tmpl w:val="C9881CB4"/>
    <w:name w:val="TableBullets"/>
    <w:styleLink w:val="TableBullets"/>
    <w:lvl w:ilvl="0">
      <w:start w:val="1"/>
      <w:numFmt w:val="bullet"/>
      <w:suff w:val="nothing"/>
      <w:lvlText w:val=""/>
      <w:lvlJc w:val="left"/>
      <w:pPr>
        <w:ind w:left="284" w:hanging="171"/>
      </w:pPr>
      <w:rPr>
        <w:rFonts w:ascii="Symbol" w:hAnsi="Symbol" w:hint="default"/>
        <w:color w:val="auto"/>
      </w:rPr>
    </w:lvl>
    <w:lvl w:ilvl="1">
      <w:start w:val="1"/>
      <w:numFmt w:val="bullet"/>
      <w:lvlText w:val="–"/>
      <w:lvlJc w:val="left"/>
      <w:pPr>
        <w:ind w:left="454" w:hanging="170"/>
      </w:pPr>
      <w:rPr>
        <w:rFonts w:ascii="Georgia" w:hAnsi="Georgia" w:hint="default"/>
        <w:color w:val="auto"/>
      </w:rPr>
    </w:lvl>
    <w:lvl w:ilvl="2">
      <w:start w:val="1"/>
      <w:numFmt w:val="bullet"/>
      <w:lvlText w:val="o"/>
      <w:lvlJc w:val="left"/>
      <w:pPr>
        <w:tabs>
          <w:tab w:val="num" w:pos="454"/>
        </w:tabs>
        <w:ind w:left="624" w:hanging="170"/>
      </w:pPr>
      <w:rPr>
        <w:rFonts w:ascii="Courier New" w:hAnsi="Courier New"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22" w15:restartNumberingAfterBreak="0">
    <w:nsid w:val="315672CA"/>
    <w:multiLevelType w:val="multilevel"/>
    <w:tmpl w:val="938274C0"/>
    <w:name w:val="Table Numbering"/>
    <w:lvl w:ilvl="0">
      <w:start w:val="1"/>
      <w:numFmt w:val="decimal"/>
      <w:lvlText w:val="%1."/>
      <w:lvlJc w:val="left"/>
      <w:pPr>
        <w:tabs>
          <w:tab w:val="num" w:pos="425"/>
        </w:tabs>
        <w:ind w:left="425" w:hanging="425"/>
      </w:pPr>
      <w:rPr>
        <w:rFonts w:hint="default"/>
        <w:b/>
        <w:i w:val="0"/>
        <w:color w:val="auto"/>
      </w:rPr>
    </w:lvl>
    <w:lvl w:ilvl="1">
      <w:start w:val="1"/>
      <w:numFmt w:val="lowerLetter"/>
      <w:lvlText w:val="%2)"/>
      <w:lvlJc w:val="left"/>
      <w:pPr>
        <w:tabs>
          <w:tab w:val="num" w:pos="851"/>
        </w:tabs>
        <w:ind w:left="850" w:hanging="425"/>
      </w:pPr>
      <w:rPr>
        <w:rFonts w:hint="default"/>
        <w:b/>
        <w:i w:val="0"/>
        <w:color w:val="auto"/>
      </w:rPr>
    </w:lvl>
    <w:lvl w:ilvl="2">
      <w:start w:val="1"/>
      <w:numFmt w:val="lowerRoman"/>
      <w:lvlText w:val="%3)"/>
      <w:lvlJc w:val="left"/>
      <w:pPr>
        <w:tabs>
          <w:tab w:val="num" w:pos="1276"/>
        </w:tabs>
        <w:ind w:left="1275" w:hanging="425"/>
      </w:pPr>
      <w:rPr>
        <w:rFonts w:hint="default"/>
        <w:b/>
        <w:i w:val="0"/>
        <w:color w:val="auto"/>
        <w:sz w:val="18"/>
      </w:rPr>
    </w:lvl>
    <w:lvl w:ilvl="3">
      <w:start w:val="1"/>
      <w:numFmt w:val="none"/>
      <w:lvlText w:val="%4"/>
      <w:lvlJc w:val="left"/>
      <w:pPr>
        <w:tabs>
          <w:tab w:val="num" w:pos="1701"/>
        </w:tabs>
        <w:ind w:left="1700" w:hanging="425"/>
      </w:pPr>
      <w:rPr>
        <w:rFonts w:hint="default"/>
        <w:b/>
        <w:i w:val="0"/>
        <w:color w:val="000000" w:themeColor="text1"/>
      </w:rPr>
    </w:lvl>
    <w:lvl w:ilvl="4">
      <w:start w:val="1"/>
      <w:numFmt w:val="none"/>
      <w:lvlText w:val="%5"/>
      <w:lvlJc w:val="left"/>
      <w:pPr>
        <w:tabs>
          <w:tab w:val="num" w:pos="2126"/>
        </w:tabs>
        <w:ind w:left="2125" w:hanging="425"/>
      </w:pPr>
      <w:rPr>
        <w:rFonts w:hint="default"/>
        <w:b/>
        <w:i w:val="0"/>
        <w:color w:val="000000" w:themeColor="text1"/>
      </w:rPr>
    </w:lvl>
    <w:lvl w:ilvl="5">
      <w:start w:val="1"/>
      <w:numFmt w:val="none"/>
      <w:lvlText w:val=""/>
      <w:lvlJc w:val="left"/>
      <w:pPr>
        <w:tabs>
          <w:tab w:val="num" w:pos="2522"/>
        </w:tabs>
        <w:ind w:left="2550" w:hanging="425"/>
      </w:pPr>
      <w:rPr>
        <w:rFonts w:hint="default"/>
      </w:rPr>
    </w:lvl>
    <w:lvl w:ilvl="6">
      <w:start w:val="1"/>
      <w:numFmt w:val="none"/>
      <w:lvlText w:val=""/>
      <w:lvlJc w:val="left"/>
      <w:pPr>
        <w:tabs>
          <w:tab w:val="num" w:pos="2947"/>
        </w:tabs>
        <w:ind w:left="2975" w:hanging="425"/>
      </w:pPr>
      <w:rPr>
        <w:rFonts w:hint="default"/>
      </w:rPr>
    </w:lvl>
    <w:lvl w:ilvl="7">
      <w:start w:val="1"/>
      <w:numFmt w:val="none"/>
      <w:lvlText w:val=""/>
      <w:lvlJc w:val="left"/>
      <w:pPr>
        <w:tabs>
          <w:tab w:val="num" w:pos="3372"/>
        </w:tabs>
        <w:ind w:left="3400" w:hanging="425"/>
      </w:pPr>
      <w:rPr>
        <w:rFonts w:hint="default"/>
      </w:rPr>
    </w:lvl>
    <w:lvl w:ilvl="8">
      <w:start w:val="1"/>
      <w:numFmt w:val="none"/>
      <w:lvlText w:val=""/>
      <w:lvlJc w:val="left"/>
      <w:pPr>
        <w:tabs>
          <w:tab w:val="num" w:pos="3797"/>
        </w:tabs>
        <w:ind w:left="3825" w:hanging="425"/>
      </w:pPr>
      <w:rPr>
        <w:rFonts w:hint="default"/>
      </w:rPr>
    </w:lvl>
  </w:abstractNum>
  <w:abstractNum w:abstractNumId="23" w15:restartNumberingAfterBreak="0">
    <w:nsid w:val="31D03952"/>
    <w:multiLevelType w:val="hybridMultilevel"/>
    <w:tmpl w:val="089E0BAA"/>
    <w:lvl w:ilvl="0" w:tplc="4EBCF2D8">
      <w:start w:val="1"/>
      <w:numFmt w:val="lowerLetter"/>
      <w:lvlText w:val="(%1)"/>
      <w:lvlJc w:val="left"/>
      <w:pPr>
        <w:ind w:left="445" w:hanging="360"/>
      </w:pPr>
      <w:rPr>
        <w:rFonts w:hint="default"/>
      </w:rPr>
    </w:lvl>
    <w:lvl w:ilvl="1" w:tplc="0C090019" w:tentative="1">
      <w:start w:val="1"/>
      <w:numFmt w:val="lowerLetter"/>
      <w:lvlText w:val="%2."/>
      <w:lvlJc w:val="left"/>
      <w:pPr>
        <w:ind w:left="1165" w:hanging="360"/>
      </w:pPr>
    </w:lvl>
    <w:lvl w:ilvl="2" w:tplc="0C09001B" w:tentative="1">
      <w:start w:val="1"/>
      <w:numFmt w:val="lowerRoman"/>
      <w:lvlText w:val="%3."/>
      <w:lvlJc w:val="right"/>
      <w:pPr>
        <w:ind w:left="1885" w:hanging="180"/>
      </w:pPr>
    </w:lvl>
    <w:lvl w:ilvl="3" w:tplc="0C09000F" w:tentative="1">
      <w:start w:val="1"/>
      <w:numFmt w:val="decimal"/>
      <w:lvlText w:val="%4."/>
      <w:lvlJc w:val="left"/>
      <w:pPr>
        <w:ind w:left="2605" w:hanging="360"/>
      </w:pPr>
    </w:lvl>
    <w:lvl w:ilvl="4" w:tplc="0C090019" w:tentative="1">
      <w:start w:val="1"/>
      <w:numFmt w:val="lowerLetter"/>
      <w:lvlText w:val="%5."/>
      <w:lvlJc w:val="left"/>
      <w:pPr>
        <w:ind w:left="3325" w:hanging="360"/>
      </w:pPr>
    </w:lvl>
    <w:lvl w:ilvl="5" w:tplc="0C09001B" w:tentative="1">
      <w:start w:val="1"/>
      <w:numFmt w:val="lowerRoman"/>
      <w:lvlText w:val="%6."/>
      <w:lvlJc w:val="right"/>
      <w:pPr>
        <w:ind w:left="4045" w:hanging="180"/>
      </w:pPr>
    </w:lvl>
    <w:lvl w:ilvl="6" w:tplc="0C09000F" w:tentative="1">
      <w:start w:val="1"/>
      <w:numFmt w:val="decimal"/>
      <w:lvlText w:val="%7."/>
      <w:lvlJc w:val="left"/>
      <w:pPr>
        <w:ind w:left="4765" w:hanging="360"/>
      </w:pPr>
    </w:lvl>
    <w:lvl w:ilvl="7" w:tplc="0C090019" w:tentative="1">
      <w:start w:val="1"/>
      <w:numFmt w:val="lowerLetter"/>
      <w:lvlText w:val="%8."/>
      <w:lvlJc w:val="left"/>
      <w:pPr>
        <w:ind w:left="5485" w:hanging="360"/>
      </w:pPr>
    </w:lvl>
    <w:lvl w:ilvl="8" w:tplc="0C09001B" w:tentative="1">
      <w:start w:val="1"/>
      <w:numFmt w:val="lowerRoman"/>
      <w:lvlText w:val="%9."/>
      <w:lvlJc w:val="right"/>
      <w:pPr>
        <w:ind w:left="6205" w:hanging="180"/>
      </w:pPr>
    </w:lvl>
  </w:abstractNum>
  <w:abstractNum w:abstractNumId="24" w15:restartNumberingAfterBreak="0">
    <w:nsid w:val="34E75186"/>
    <w:multiLevelType w:val="hybridMultilevel"/>
    <w:tmpl w:val="089E0BAA"/>
    <w:lvl w:ilvl="0" w:tplc="4EBCF2D8">
      <w:start w:val="1"/>
      <w:numFmt w:val="lowerLetter"/>
      <w:lvlText w:val="(%1)"/>
      <w:lvlJc w:val="left"/>
      <w:pPr>
        <w:ind w:left="445" w:hanging="360"/>
      </w:pPr>
      <w:rPr>
        <w:rFonts w:hint="default"/>
      </w:rPr>
    </w:lvl>
    <w:lvl w:ilvl="1" w:tplc="0C090019" w:tentative="1">
      <w:start w:val="1"/>
      <w:numFmt w:val="lowerLetter"/>
      <w:lvlText w:val="%2."/>
      <w:lvlJc w:val="left"/>
      <w:pPr>
        <w:ind w:left="1165" w:hanging="360"/>
      </w:pPr>
    </w:lvl>
    <w:lvl w:ilvl="2" w:tplc="0C09001B" w:tentative="1">
      <w:start w:val="1"/>
      <w:numFmt w:val="lowerRoman"/>
      <w:lvlText w:val="%3."/>
      <w:lvlJc w:val="right"/>
      <w:pPr>
        <w:ind w:left="1885" w:hanging="180"/>
      </w:pPr>
    </w:lvl>
    <w:lvl w:ilvl="3" w:tplc="0C09000F" w:tentative="1">
      <w:start w:val="1"/>
      <w:numFmt w:val="decimal"/>
      <w:lvlText w:val="%4."/>
      <w:lvlJc w:val="left"/>
      <w:pPr>
        <w:ind w:left="2605" w:hanging="360"/>
      </w:pPr>
    </w:lvl>
    <w:lvl w:ilvl="4" w:tplc="0C090019" w:tentative="1">
      <w:start w:val="1"/>
      <w:numFmt w:val="lowerLetter"/>
      <w:lvlText w:val="%5."/>
      <w:lvlJc w:val="left"/>
      <w:pPr>
        <w:ind w:left="3325" w:hanging="360"/>
      </w:pPr>
    </w:lvl>
    <w:lvl w:ilvl="5" w:tplc="0C09001B" w:tentative="1">
      <w:start w:val="1"/>
      <w:numFmt w:val="lowerRoman"/>
      <w:lvlText w:val="%6."/>
      <w:lvlJc w:val="right"/>
      <w:pPr>
        <w:ind w:left="4045" w:hanging="180"/>
      </w:pPr>
    </w:lvl>
    <w:lvl w:ilvl="6" w:tplc="0C09000F" w:tentative="1">
      <w:start w:val="1"/>
      <w:numFmt w:val="decimal"/>
      <w:lvlText w:val="%7."/>
      <w:lvlJc w:val="left"/>
      <w:pPr>
        <w:ind w:left="4765" w:hanging="360"/>
      </w:pPr>
    </w:lvl>
    <w:lvl w:ilvl="7" w:tplc="0C090019" w:tentative="1">
      <w:start w:val="1"/>
      <w:numFmt w:val="lowerLetter"/>
      <w:lvlText w:val="%8."/>
      <w:lvlJc w:val="left"/>
      <w:pPr>
        <w:ind w:left="5485" w:hanging="360"/>
      </w:pPr>
    </w:lvl>
    <w:lvl w:ilvl="8" w:tplc="0C09001B" w:tentative="1">
      <w:start w:val="1"/>
      <w:numFmt w:val="lowerRoman"/>
      <w:lvlText w:val="%9."/>
      <w:lvlJc w:val="right"/>
      <w:pPr>
        <w:ind w:left="6205" w:hanging="180"/>
      </w:pPr>
    </w:lvl>
  </w:abstractNum>
  <w:abstractNum w:abstractNumId="25" w15:restartNumberingAfterBreak="0">
    <w:nsid w:val="34F673A6"/>
    <w:multiLevelType w:val="hybridMultilevel"/>
    <w:tmpl w:val="DC680D1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359A0D6E"/>
    <w:multiLevelType w:val="multilevel"/>
    <w:tmpl w:val="583A35FA"/>
    <w:name w:val="MyBullets3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7" w15:restartNumberingAfterBreak="0">
    <w:nsid w:val="3A243020"/>
    <w:multiLevelType w:val="hybridMultilevel"/>
    <w:tmpl w:val="089E0BAA"/>
    <w:lvl w:ilvl="0" w:tplc="4EBCF2D8">
      <w:start w:val="1"/>
      <w:numFmt w:val="lowerLetter"/>
      <w:lvlText w:val="(%1)"/>
      <w:lvlJc w:val="left"/>
      <w:pPr>
        <w:ind w:left="445" w:hanging="360"/>
      </w:pPr>
      <w:rPr>
        <w:rFonts w:hint="default"/>
      </w:rPr>
    </w:lvl>
    <w:lvl w:ilvl="1" w:tplc="0C090019" w:tentative="1">
      <w:start w:val="1"/>
      <w:numFmt w:val="lowerLetter"/>
      <w:lvlText w:val="%2."/>
      <w:lvlJc w:val="left"/>
      <w:pPr>
        <w:ind w:left="1165" w:hanging="360"/>
      </w:pPr>
    </w:lvl>
    <w:lvl w:ilvl="2" w:tplc="0C09001B" w:tentative="1">
      <w:start w:val="1"/>
      <w:numFmt w:val="lowerRoman"/>
      <w:lvlText w:val="%3."/>
      <w:lvlJc w:val="right"/>
      <w:pPr>
        <w:ind w:left="1885" w:hanging="180"/>
      </w:pPr>
    </w:lvl>
    <w:lvl w:ilvl="3" w:tplc="0C09000F" w:tentative="1">
      <w:start w:val="1"/>
      <w:numFmt w:val="decimal"/>
      <w:lvlText w:val="%4."/>
      <w:lvlJc w:val="left"/>
      <w:pPr>
        <w:ind w:left="2605" w:hanging="360"/>
      </w:pPr>
    </w:lvl>
    <w:lvl w:ilvl="4" w:tplc="0C090019" w:tentative="1">
      <w:start w:val="1"/>
      <w:numFmt w:val="lowerLetter"/>
      <w:lvlText w:val="%5."/>
      <w:lvlJc w:val="left"/>
      <w:pPr>
        <w:ind w:left="3325" w:hanging="360"/>
      </w:pPr>
    </w:lvl>
    <w:lvl w:ilvl="5" w:tplc="0C09001B" w:tentative="1">
      <w:start w:val="1"/>
      <w:numFmt w:val="lowerRoman"/>
      <w:lvlText w:val="%6."/>
      <w:lvlJc w:val="right"/>
      <w:pPr>
        <w:ind w:left="4045" w:hanging="180"/>
      </w:pPr>
    </w:lvl>
    <w:lvl w:ilvl="6" w:tplc="0C09000F" w:tentative="1">
      <w:start w:val="1"/>
      <w:numFmt w:val="decimal"/>
      <w:lvlText w:val="%7."/>
      <w:lvlJc w:val="left"/>
      <w:pPr>
        <w:ind w:left="4765" w:hanging="360"/>
      </w:pPr>
    </w:lvl>
    <w:lvl w:ilvl="7" w:tplc="0C090019" w:tentative="1">
      <w:start w:val="1"/>
      <w:numFmt w:val="lowerLetter"/>
      <w:lvlText w:val="%8."/>
      <w:lvlJc w:val="left"/>
      <w:pPr>
        <w:ind w:left="5485" w:hanging="360"/>
      </w:pPr>
    </w:lvl>
    <w:lvl w:ilvl="8" w:tplc="0C09001B" w:tentative="1">
      <w:start w:val="1"/>
      <w:numFmt w:val="lowerRoman"/>
      <w:lvlText w:val="%9."/>
      <w:lvlJc w:val="right"/>
      <w:pPr>
        <w:ind w:left="6205" w:hanging="180"/>
      </w:pPr>
    </w:lvl>
  </w:abstractNum>
  <w:abstractNum w:abstractNumId="28" w15:restartNumberingAfterBreak="0">
    <w:nsid w:val="3AC734CF"/>
    <w:multiLevelType w:val="hybridMultilevel"/>
    <w:tmpl w:val="6E9E426C"/>
    <w:name w:val="MyNumbering5"/>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3DBE5D95"/>
    <w:multiLevelType w:val="hybridMultilevel"/>
    <w:tmpl w:val="D8001B4A"/>
    <w:name w:val="MyBullets22"/>
    <w:lvl w:ilvl="0" w:tplc="8F8EC1A6">
      <w:start w:val="1"/>
      <w:numFmt w:val="bullet"/>
      <w:lvlText w:val="-"/>
      <w:lvlJc w:val="left"/>
      <w:pPr>
        <w:ind w:left="1080" w:hanging="360"/>
      </w:pPr>
      <w:rPr>
        <w:rFonts w:ascii="Arial" w:hAnsi="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0" w15:restartNumberingAfterBreak="0">
    <w:nsid w:val="3EDB238B"/>
    <w:multiLevelType w:val="multilevel"/>
    <w:tmpl w:val="761CA308"/>
    <w:lvl w:ilvl="0">
      <w:start w:val="1"/>
      <w:numFmt w:val="decimal"/>
      <w:pStyle w:val="Heading1"/>
      <w:lvlText w:val="%1."/>
      <w:lvlJc w:val="left"/>
      <w:pPr>
        <w:ind w:left="624" w:hanging="624"/>
      </w:pPr>
      <w:rPr>
        <w:rFonts w:hint="default"/>
      </w:rPr>
    </w:lvl>
    <w:lvl w:ilvl="1">
      <w:start w:val="1"/>
      <w:numFmt w:val="decimal"/>
      <w:pStyle w:val="Heading2"/>
      <w:lvlText w:val="%1.%2"/>
      <w:lvlJc w:val="left"/>
      <w:pPr>
        <w:ind w:left="3460" w:hanging="624"/>
      </w:pPr>
      <w:rPr>
        <w:rFonts w:hint="default"/>
      </w:rPr>
    </w:lvl>
    <w:lvl w:ilvl="2">
      <w:start w:val="1"/>
      <w:numFmt w:val="decimal"/>
      <w:pStyle w:val="Heading3"/>
      <w:lvlText w:val="%1.%2.%3"/>
      <w:lvlJc w:val="left"/>
      <w:pPr>
        <w:ind w:left="1192" w:hanging="624"/>
      </w:pPr>
      <w:rPr>
        <w:rFonts w:hint="default"/>
        <w:b/>
      </w:rPr>
    </w:lvl>
    <w:lvl w:ilvl="3">
      <w:start w:val="1"/>
      <w:numFmt w:val="decimal"/>
      <w:pStyle w:val="Heading4"/>
      <w:lvlText w:val="%1.%2.%3.%4"/>
      <w:lvlJc w:val="left"/>
      <w:pPr>
        <w:ind w:left="907" w:hanging="907"/>
      </w:pPr>
      <w:rPr>
        <w:rFonts w:hint="default"/>
      </w:rPr>
    </w:lvl>
    <w:lvl w:ilvl="4">
      <w:start w:val="1"/>
      <w:numFmt w:val="decimal"/>
      <w:pStyle w:val="Heading5"/>
      <w:lvlText w:val="%1.%2.%3.%4.%5"/>
      <w:lvlJc w:val="left"/>
      <w:pPr>
        <w:ind w:left="1134" w:hanging="1134"/>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1" w15:restartNumberingAfterBreak="0">
    <w:nsid w:val="3F240BDB"/>
    <w:multiLevelType w:val="hybridMultilevel"/>
    <w:tmpl w:val="EDE639C2"/>
    <w:name w:val="MyNumbering4"/>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45730BB8"/>
    <w:multiLevelType w:val="hybridMultilevel"/>
    <w:tmpl w:val="089E0BAA"/>
    <w:lvl w:ilvl="0" w:tplc="4EBCF2D8">
      <w:start w:val="1"/>
      <w:numFmt w:val="lowerLetter"/>
      <w:lvlText w:val="(%1)"/>
      <w:lvlJc w:val="left"/>
      <w:pPr>
        <w:ind w:left="445" w:hanging="360"/>
      </w:pPr>
      <w:rPr>
        <w:rFonts w:hint="default"/>
      </w:rPr>
    </w:lvl>
    <w:lvl w:ilvl="1" w:tplc="0C090019" w:tentative="1">
      <w:start w:val="1"/>
      <w:numFmt w:val="lowerLetter"/>
      <w:lvlText w:val="%2."/>
      <w:lvlJc w:val="left"/>
      <w:pPr>
        <w:ind w:left="1165" w:hanging="360"/>
      </w:pPr>
    </w:lvl>
    <w:lvl w:ilvl="2" w:tplc="0C09001B" w:tentative="1">
      <w:start w:val="1"/>
      <w:numFmt w:val="lowerRoman"/>
      <w:lvlText w:val="%3."/>
      <w:lvlJc w:val="right"/>
      <w:pPr>
        <w:ind w:left="1885" w:hanging="180"/>
      </w:pPr>
    </w:lvl>
    <w:lvl w:ilvl="3" w:tplc="0C09000F" w:tentative="1">
      <w:start w:val="1"/>
      <w:numFmt w:val="decimal"/>
      <w:lvlText w:val="%4."/>
      <w:lvlJc w:val="left"/>
      <w:pPr>
        <w:ind w:left="2605" w:hanging="360"/>
      </w:pPr>
    </w:lvl>
    <w:lvl w:ilvl="4" w:tplc="0C090019" w:tentative="1">
      <w:start w:val="1"/>
      <w:numFmt w:val="lowerLetter"/>
      <w:lvlText w:val="%5."/>
      <w:lvlJc w:val="left"/>
      <w:pPr>
        <w:ind w:left="3325" w:hanging="360"/>
      </w:pPr>
    </w:lvl>
    <w:lvl w:ilvl="5" w:tplc="0C09001B" w:tentative="1">
      <w:start w:val="1"/>
      <w:numFmt w:val="lowerRoman"/>
      <w:lvlText w:val="%6."/>
      <w:lvlJc w:val="right"/>
      <w:pPr>
        <w:ind w:left="4045" w:hanging="180"/>
      </w:pPr>
    </w:lvl>
    <w:lvl w:ilvl="6" w:tplc="0C09000F" w:tentative="1">
      <w:start w:val="1"/>
      <w:numFmt w:val="decimal"/>
      <w:lvlText w:val="%7."/>
      <w:lvlJc w:val="left"/>
      <w:pPr>
        <w:ind w:left="4765" w:hanging="360"/>
      </w:pPr>
    </w:lvl>
    <w:lvl w:ilvl="7" w:tplc="0C090019" w:tentative="1">
      <w:start w:val="1"/>
      <w:numFmt w:val="lowerLetter"/>
      <w:lvlText w:val="%8."/>
      <w:lvlJc w:val="left"/>
      <w:pPr>
        <w:ind w:left="5485" w:hanging="360"/>
      </w:pPr>
    </w:lvl>
    <w:lvl w:ilvl="8" w:tplc="0C09001B" w:tentative="1">
      <w:start w:val="1"/>
      <w:numFmt w:val="lowerRoman"/>
      <w:lvlText w:val="%9."/>
      <w:lvlJc w:val="right"/>
      <w:pPr>
        <w:ind w:left="6205" w:hanging="180"/>
      </w:pPr>
    </w:lvl>
  </w:abstractNum>
  <w:abstractNum w:abstractNumId="33" w15:restartNumberingAfterBreak="0">
    <w:nsid w:val="4684033D"/>
    <w:multiLevelType w:val="multilevel"/>
    <w:tmpl w:val="583A35FA"/>
    <w:name w:val="MyBullets3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4" w15:restartNumberingAfterBreak="0">
    <w:nsid w:val="46AD2637"/>
    <w:multiLevelType w:val="hybridMultilevel"/>
    <w:tmpl w:val="9F20044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15:restartNumberingAfterBreak="0">
    <w:nsid w:val="49C129F8"/>
    <w:multiLevelType w:val="multilevel"/>
    <w:tmpl w:val="C1568912"/>
    <w:name w:val="HeadingsList"/>
    <w:styleLink w:val="HeadingsList"/>
    <w:lvl w:ilvl="0">
      <w:start w:val="1"/>
      <w:numFmt w:val="decimal"/>
      <w:lvlRestart w:val="0"/>
      <w:lvlText w:val="%1."/>
      <w:lvlJc w:val="left"/>
      <w:pPr>
        <w:ind w:left="936" w:hanging="936"/>
      </w:pPr>
      <w:rPr>
        <w:rFonts w:asciiTheme="majorHAnsi" w:eastAsiaTheme="majorEastAsia" w:hAnsiTheme="majorHAnsi" w:cstheme="majorBidi" w:hint="default"/>
        <w:b/>
        <w:bCs/>
        <w:i w:val="0"/>
        <w:iCs w:val="0"/>
        <w:sz w:val="28"/>
        <w:szCs w:val="28"/>
      </w:rPr>
    </w:lvl>
    <w:lvl w:ilvl="1">
      <w:start w:val="1"/>
      <w:numFmt w:val="decimal"/>
      <w:lvlText w:val="%1.%2."/>
      <w:lvlJc w:val="left"/>
      <w:pPr>
        <w:ind w:left="936" w:hanging="936"/>
      </w:pPr>
      <w:rPr>
        <w:rFonts w:asciiTheme="majorHAnsi" w:eastAsiaTheme="majorEastAsia" w:hAnsiTheme="majorHAnsi" w:cstheme="majorBidi" w:hint="default"/>
        <w:b/>
        <w:bCs/>
        <w:i w:val="0"/>
        <w:iCs w:val="0"/>
        <w:sz w:val="26"/>
        <w:szCs w:val="26"/>
      </w:rPr>
    </w:lvl>
    <w:lvl w:ilvl="2">
      <w:start w:val="1"/>
      <w:numFmt w:val="decimal"/>
      <w:lvlText w:val="%1.%2.%3."/>
      <w:lvlJc w:val="left"/>
      <w:pPr>
        <w:ind w:left="936" w:hanging="936"/>
      </w:pPr>
      <w:rPr>
        <w:rFonts w:asciiTheme="majorHAnsi" w:eastAsiaTheme="majorEastAsia" w:hAnsiTheme="majorHAnsi" w:cstheme="majorBidi" w:hint="default"/>
        <w:b/>
        <w:bCs/>
        <w:i w:val="0"/>
        <w:iCs w:val="0"/>
        <w:sz w:val="24"/>
        <w:szCs w:val="24"/>
      </w:rPr>
    </w:lvl>
    <w:lvl w:ilvl="3">
      <w:start w:val="1"/>
      <w:numFmt w:val="decimal"/>
      <w:lvlText w:val="%1.%2.%3.%4."/>
      <w:lvlJc w:val="left"/>
      <w:pPr>
        <w:ind w:left="1296" w:hanging="1296"/>
      </w:pPr>
      <w:rPr>
        <w:rFonts w:asciiTheme="majorHAnsi" w:eastAsiaTheme="majorEastAsia" w:hAnsiTheme="majorHAnsi" w:cstheme="majorBidi" w:hint="default"/>
        <w:b w:val="0"/>
        <w:bCs w:val="0"/>
        <w:i w:val="0"/>
        <w:iCs w:val="0"/>
        <w:sz w:val="24"/>
        <w:szCs w:val="24"/>
      </w:rPr>
    </w:lvl>
    <w:lvl w:ilvl="4">
      <w:start w:val="1"/>
      <w:numFmt w:val="decimal"/>
      <w:lvlText w:val="%1.%2.%3.%4.%5."/>
      <w:lvlJc w:val="left"/>
      <w:pPr>
        <w:ind w:left="1296" w:hanging="1296"/>
      </w:pPr>
      <w:rPr>
        <w:rFonts w:asciiTheme="majorHAnsi" w:eastAsiaTheme="majorEastAsia" w:hAnsiTheme="majorHAnsi" w:cstheme="majorBidi" w:hint="default"/>
        <w:b w:val="0"/>
        <w:bCs w:val="0"/>
        <w:i/>
        <w:iCs/>
        <w:sz w:val="24"/>
        <w:szCs w:val="24"/>
      </w:rPr>
    </w:lvl>
    <w:lvl w:ilvl="5">
      <w:start w:val="1"/>
      <w:numFmt w:val="decimal"/>
      <w:lvlText w:val="%1.%2.%3.%4.%5.%6."/>
      <w:lvlJc w:val="left"/>
      <w:pPr>
        <w:ind w:left="1296" w:hanging="1296"/>
      </w:pPr>
      <w:rPr>
        <w:rFonts w:hint="default"/>
        <w:b w:val="0"/>
        <w:bCs w:val="0"/>
        <w:i w:val="0"/>
        <w:iCs/>
        <w:sz w:val="24"/>
        <w:szCs w:val="24"/>
      </w:rPr>
    </w:lvl>
    <w:lvl w:ilvl="6">
      <w:start w:val="1"/>
      <w:numFmt w:val="decimal"/>
      <w:lvlText w:val="%1.%2.%3.%4.%5.%6.%7."/>
      <w:lvlJc w:val="left"/>
      <w:pPr>
        <w:ind w:left="1296" w:hanging="1296"/>
      </w:pPr>
      <w:rPr>
        <w:rFonts w:hint="default"/>
        <w:b w:val="0"/>
        <w:bCs w:val="0"/>
        <w:i w:val="0"/>
        <w:iCs/>
        <w:sz w:val="24"/>
        <w:szCs w:val="24"/>
      </w:rPr>
    </w:lvl>
    <w:lvl w:ilvl="7">
      <w:start w:val="1"/>
      <w:numFmt w:val="decimal"/>
      <w:lvlText w:val="%1.%2.%3.%4.%5.%6.%7.%8."/>
      <w:lvlJc w:val="left"/>
      <w:pPr>
        <w:ind w:left="1296" w:hanging="1296"/>
      </w:pPr>
      <w:rPr>
        <w:rFonts w:hint="default"/>
        <w:b w:val="0"/>
        <w:bCs w:val="0"/>
        <w:i w:val="0"/>
        <w:iCs w:val="0"/>
        <w:sz w:val="20"/>
        <w:szCs w:val="24"/>
      </w:rPr>
    </w:lvl>
    <w:lvl w:ilvl="8">
      <w:start w:val="1"/>
      <w:numFmt w:val="decimal"/>
      <w:lvlText w:val="%1.%2.%3.%4.%5.%6.%7.%8.%9."/>
      <w:lvlJc w:val="left"/>
      <w:pPr>
        <w:ind w:left="1296" w:hanging="1296"/>
      </w:pPr>
      <w:rPr>
        <w:rFonts w:hint="default"/>
        <w:b w:val="0"/>
        <w:bCs w:val="0"/>
        <w:i w:val="0"/>
        <w:iCs/>
        <w:sz w:val="20"/>
        <w:szCs w:val="24"/>
      </w:rPr>
    </w:lvl>
  </w:abstractNum>
  <w:abstractNum w:abstractNumId="36" w15:restartNumberingAfterBreak="0">
    <w:nsid w:val="49ED4D06"/>
    <w:multiLevelType w:val="hybridMultilevel"/>
    <w:tmpl w:val="44E430D2"/>
    <w:lvl w:ilvl="0" w:tplc="0214F168">
      <w:start w:val="1"/>
      <w:numFmt w:val="bullet"/>
      <w:lvlText w:val="o"/>
      <w:lvlJc w:val="left"/>
      <w:pPr>
        <w:ind w:left="720" w:hanging="360"/>
      </w:pPr>
      <w:rPr>
        <w:rFonts w:ascii="Courier New" w:hAnsi="Courier New" w:cs="Courier New" w:hint="default"/>
      </w:rPr>
    </w:lvl>
    <w:lvl w:ilvl="1" w:tplc="8F8EC1A6">
      <w:start w:val="1"/>
      <w:numFmt w:val="bullet"/>
      <w:lvlText w:val="-"/>
      <w:lvlJc w:val="left"/>
      <w:pPr>
        <w:ind w:left="1440" w:hanging="360"/>
      </w:pPr>
      <w:rPr>
        <w:rFonts w:ascii="Arial" w:hAnsi="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4BFF2C71"/>
    <w:multiLevelType w:val="hybridMultilevel"/>
    <w:tmpl w:val="7160E82E"/>
    <w:name w:val="MyNumbering3"/>
    <w:lvl w:ilvl="0" w:tplc="9036DE78">
      <w:start w:val="1"/>
      <w:numFmt w:val="decimal"/>
      <w:lvlText w:val="(%1)"/>
      <w:lvlJc w:val="left"/>
      <w:pPr>
        <w:ind w:left="644"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4EF67232"/>
    <w:multiLevelType w:val="multilevel"/>
    <w:tmpl w:val="3F1C65C6"/>
    <w:name w:val="Axiom Appendices"/>
    <w:lvl w:ilvl="0">
      <w:start w:val="1"/>
      <w:numFmt w:val="upperLetter"/>
      <w:lvlRestart w:val="0"/>
      <w:pStyle w:val="Heading9"/>
      <w:lvlText w:val="Appendix %1"/>
      <w:lvlJc w:val="left"/>
      <w:pPr>
        <w:ind w:left="2268" w:hanging="2268"/>
      </w:pPr>
      <w:rPr>
        <w:rFonts w:hint="default"/>
      </w:rPr>
    </w:lvl>
    <w:lvl w:ilvl="1">
      <w:start w:val="1"/>
      <w:numFmt w:val="decimal"/>
      <w:pStyle w:val="AppendixHeading2"/>
      <w:lvlText w:val="%1.%2"/>
      <w:lvlJc w:val="left"/>
      <w:pPr>
        <w:ind w:left="851" w:hanging="851"/>
      </w:pPr>
      <w:rPr>
        <w:rFonts w:hint="default"/>
      </w:rPr>
    </w:lvl>
    <w:lvl w:ilvl="2">
      <w:start w:val="1"/>
      <w:numFmt w:val="decimal"/>
      <w:pStyle w:val="AppendixHeading3"/>
      <w:lvlText w:val="%1.%2.%3"/>
      <w:lvlJc w:val="left"/>
      <w:pPr>
        <w:ind w:left="851" w:hanging="851"/>
      </w:pPr>
      <w:rPr>
        <w:rFonts w:hint="default"/>
      </w:rPr>
    </w:lvl>
    <w:lvl w:ilvl="3">
      <w:start w:val="1"/>
      <w:numFmt w:val="decimal"/>
      <w:pStyle w:val="AppendixHeading4"/>
      <w:lvlText w:val="%1.%2.%3.%4"/>
      <w:lvlJc w:val="left"/>
      <w:pPr>
        <w:ind w:left="851" w:hanging="851"/>
      </w:pPr>
      <w:rPr>
        <w:rFonts w:hint="default"/>
        <w:b/>
        <w:i w:val="0"/>
      </w:rPr>
    </w:lvl>
    <w:lvl w:ilvl="4">
      <w:start w:val="1"/>
      <w:numFmt w:val="none"/>
      <w:suff w:val="spac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39" w15:restartNumberingAfterBreak="0">
    <w:nsid w:val="4FE25902"/>
    <w:multiLevelType w:val="multilevel"/>
    <w:tmpl w:val="E89892DA"/>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40" w15:restartNumberingAfterBreak="0">
    <w:nsid w:val="516027D0"/>
    <w:multiLevelType w:val="hybridMultilevel"/>
    <w:tmpl w:val="AC2A6BDC"/>
    <w:lvl w:ilvl="0" w:tplc="0C090003">
      <w:start w:val="1"/>
      <w:numFmt w:val="bullet"/>
      <w:lvlText w:val="o"/>
      <w:lvlJc w:val="left"/>
      <w:pPr>
        <w:ind w:left="720" w:hanging="360"/>
      </w:pPr>
      <w:rPr>
        <w:rFonts w:ascii="Courier New" w:hAnsi="Courier New" w:cs="Courier New" w:hint="default"/>
      </w:rPr>
    </w:lvl>
    <w:lvl w:ilvl="1" w:tplc="8F8EC1A6">
      <w:start w:val="1"/>
      <w:numFmt w:val="bullet"/>
      <w:lvlText w:val="-"/>
      <w:lvlJc w:val="left"/>
      <w:pPr>
        <w:ind w:left="1440" w:hanging="360"/>
      </w:pPr>
      <w:rPr>
        <w:rFonts w:ascii="Arial" w:hAnsi="Aria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52415E93"/>
    <w:multiLevelType w:val="hybridMultilevel"/>
    <w:tmpl w:val="D382B080"/>
    <w:lvl w:ilvl="0" w:tplc="155EFEC0">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52456C28"/>
    <w:multiLevelType w:val="multilevel"/>
    <w:tmpl w:val="472A8ED0"/>
    <w:name w:val="U1_Legal Numbering"/>
    <w:lvl w:ilvl="0">
      <w:start w:val="1"/>
      <w:numFmt w:val="decimal"/>
      <w:lvlText w:val="%1."/>
      <w:lvlJc w:val="left"/>
      <w:pPr>
        <w:ind w:left="567" w:hanging="567"/>
      </w:pPr>
      <w:rPr>
        <w:rFonts w:hint="default"/>
      </w:rPr>
    </w:lvl>
    <w:lvl w:ilvl="1">
      <w:start w:val="1"/>
      <w:numFmt w:val="decimal"/>
      <w:lvlText w:val="%1.%2"/>
      <w:lvlJc w:val="left"/>
      <w:pPr>
        <w:ind w:left="1134" w:hanging="567"/>
      </w:pPr>
      <w:rPr>
        <w:rFonts w:hint="default"/>
      </w:rPr>
    </w:lvl>
    <w:lvl w:ilvl="2">
      <w:start w:val="1"/>
      <w:numFmt w:val="decimal"/>
      <w:lvlText w:val="%1.%2.%3"/>
      <w:lvlJc w:val="left"/>
      <w:pPr>
        <w:tabs>
          <w:tab w:val="num" w:pos="1134"/>
        </w:tabs>
        <w:ind w:left="1814" w:hanging="680"/>
      </w:pPr>
      <w:rPr>
        <w:rFonts w:hint="default"/>
      </w:rPr>
    </w:lvl>
    <w:lvl w:ilvl="3">
      <w:start w:val="1"/>
      <w:numFmt w:val="decimal"/>
      <w:suff w:val="space"/>
      <w:lvlText w:val="%1.%2.%3.%4  "/>
      <w:lvlJc w:val="left"/>
      <w:pPr>
        <w:ind w:left="2268" w:hanging="454"/>
      </w:pPr>
      <w:rPr>
        <w:rFonts w:hint="default"/>
      </w:rPr>
    </w:lvl>
    <w:lvl w:ilvl="4">
      <w:start w:val="1"/>
      <w:numFmt w:val="none"/>
      <w:suff w:val="space"/>
      <w:lvlText w:val=""/>
      <w:lvlJc w:val="left"/>
      <w:pPr>
        <w:ind w:left="2835" w:hanging="567"/>
      </w:pPr>
      <w:rPr>
        <w:rFonts w:hint="default"/>
      </w:rPr>
    </w:lvl>
    <w:lvl w:ilvl="5">
      <w:start w:val="1"/>
      <w:numFmt w:val="none"/>
      <w:suff w:val="space"/>
      <w:lvlText w:val=""/>
      <w:lvlJc w:val="left"/>
      <w:pPr>
        <w:ind w:left="3402" w:hanging="567"/>
      </w:pPr>
      <w:rPr>
        <w:rFonts w:hint="default"/>
      </w:rPr>
    </w:lvl>
    <w:lvl w:ilvl="6">
      <w:start w:val="1"/>
      <w:numFmt w:val="none"/>
      <w:suff w:val="space"/>
      <w:lvlText w:val=""/>
      <w:lvlJc w:val="left"/>
      <w:pPr>
        <w:ind w:left="3969" w:hanging="567"/>
      </w:pPr>
      <w:rPr>
        <w:rFonts w:hint="default"/>
      </w:rPr>
    </w:lvl>
    <w:lvl w:ilvl="7">
      <w:start w:val="1"/>
      <w:numFmt w:val="none"/>
      <w:suff w:val="space"/>
      <w:lvlText w:val=""/>
      <w:lvlJc w:val="left"/>
      <w:pPr>
        <w:ind w:left="4536" w:hanging="567"/>
      </w:pPr>
      <w:rPr>
        <w:rFonts w:hint="default"/>
      </w:rPr>
    </w:lvl>
    <w:lvl w:ilvl="8">
      <w:start w:val="1"/>
      <w:numFmt w:val="none"/>
      <w:suff w:val="space"/>
      <w:lvlText w:val=""/>
      <w:lvlJc w:val="left"/>
      <w:pPr>
        <w:ind w:left="5103" w:hanging="567"/>
      </w:pPr>
      <w:rPr>
        <w:rFonts w:hint="default"/>
      </w:rPr>
    </w:lvl>
  </w:abstractNum>
  <w:abstractNum w:abstractNumId="43" w15:restartNumberingAfterBreak="0">
    <w:nsid w:val="52890B29"/>
    <w:multiLevelType w:val="hybridMultilevel"/>
    <w:tmpl w:val="067CFC18"/>
    <w:name w:val="MyHeadings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53681175"/>
    <w:multiLevelType w:val="hybridMultilevel"/>
    <w:tmpl w:val="C3D41AEA"/>
    <w:lvl w:ilvl="0" w:tplc="8F8EC1A6">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57BA40B1"/>
    <w:multiLevelType w:val="hybridMultilevel"/>
    <w:tmpl w:val="F0547A34"/>
    <w:name w:val="MyNumbering62247"/>
    <w:lvl w:ilvl="0" w:tplc="8F8EC1A6">
      <w:start w:val="1"/>
      <w:numFmt w:val="bullet"/>
      <w:lvlText w:val="-"/>
      <w:lvlJc w:val="left"/>
      <w:pPr>
        <w:ind w:left="1032" w:hanging="360"/>
      </w:pPr>
      <w:rPr>
        <w:rFonts w:ascii="Arial" w:hAnsi="Arial" w:hint="default"/>
      </w:rPr>
    </w:lvl>
    <w:lvl w:ilvl="1" w:tplc="0C090003" w:tentative="1">
      <w:start w:val="1"/>
      <w:numFmt w:val="bullet"/>
      <w:lvlText w:val="o"/>
      <w:lvlJc w:val="left"/>
      <w:pPr>
        <w:ind w:left="1752" w:hanging="360"/>
      </w:pPr>
      <w:rPr>
        <w:rFonts w:ascii="Courier New" w:hAnsi="Courier New" w:cs="Courier New" w:hint="default"/>
      </w:rPr>
    </w:lvl>
    <w:lvl w:ilvl="2" w:tplc="0C090005" w:tentative="1">
      <w:start w:val="1"/>
      <w:numFmt w:val="bullet"/>
      <w:lvlText w:val=""/>
      <w:lvlJc w:val="left"/>
      <w:pPr>
        <w:ind w:left="2472" w:hanging="360"/>
      </w:pPr>
      <w:rPr>
        <w:rFonts w:ascii="Wingdings" w:hAnsi="Wingdings" w:hint="default"/>
      </w:rPr>
    </w:lvl>
    <w:lvl w:ilvl="3" w:tplc="0C090001" w:tentative="1">
      <w:start w:val="1"/>
      <w:numFmt w:val="bullet"/>
      <w:lvlText w:val=""/>
      <w:lvlJc w:val="left"/>
      <w:pPr>
        <w:ind w:left="3192" w:hanging="360"/>
      </w:pPr>
      <w:rPr>
        <w:rFonts w:ascii="Symbol" w:hAnsi="Symbol" w:hint="default"/>
      </w:rPr>
    </w:lvl>
    <w:lvl w:ilvl="4" w:tplc="0C090003" w:tentative="1">
      <w:start w:val="1"/>
      <w:numFmt w:val="bullet"/>
      <w:lvlText w:val="o"/>
      <w:lvlJc w:val="left"/>
      <w:pPr>
        <w:ind w:left="3912" w:hanging="360"/>
      </w:pPr>
      <w:rPr>
        <w:rFonts w:ascii="Courier New" w:hAnsi="Courier New" w:cs="Courier New" w:hint="default"/>
      </w:rPr>
    </w:lvl>
    <w:lvl w:ilvl="5" w:tplc="0C090005" w:tentative="1">
      <w:start w:val="1"/>
      <w:numFmt w:val="bullet"/>
      <w:lvlText w:val=""/>
      <w:lvlJc w:val="left"/>
      <w:pPr>
        <w:ind w:left="4632" w:hanging="360"/>
      </w:pPr>
      <w:rPr>
        <w:rFonts w:ascii="Wingdings" w:hAnsi="Wingdings" w:hint="default"/>
      </w:rPr>
    </w:lvl>
    <w:lvl w:ilvl="6" w:tplc="0C090001" w:tentative="1">
      <w:start w:val="1"/>
      <w:numFmt w:val="bullet"/>
      <w:lvlText w:val=""/>
      <w:lvlJc w:val="left"/>
      <w:pPr>
        <w:ind w:left="5352" w:hanging="360"/>
      </w:pPr>
      <w:rPr>
        <w:rFonts w:ascii="Symbol" w:hAnsi="Symbol" w:hint="default"/>
      </w:rPr>
    </w:lvl>
    <w:lvl w:ilvl="7" w:tplc="0C090003" w:tentative="1">
      <w:start w:val="1"/>
      <w:numFmt w:val="bullet"/>
      <w:lvlText w:val="o"/>
      <w:lvlJc w:val="left"/>
      <w:pPr>
        <w:ind w:left="6072" w:hanging="360"/>
      </w:pPr>
      <w:rPr>
        <w:rFonts w:ascii="Courier New" w:hAnsi="Courier New" w:cs="Courier New" w:hint="default"/>
      </w:rPr>
    </w:lvl>
    <w:lvl w:ilvl="8" w:tplc="0C090005" w:tentative="1">
      <w:start w:val="1"/>
      <w:numFmt w:val="bullet"/>
      <w:lvlText w:val=""/>
      <w:lvlJc w:val="left"/>
      <w:pPr>
        <w:ind w:left="6792" w:hanging="360"/>
      </w:pPr>
      <w:rPr>
        <w:rFonts w:ascii="Wingdings" w:hAnsi="Wingdings" w:hint="default"/>
      </w:rPr>
    </w:lvl>
  </w:abstractNum>
  <w:abstractNum w:abstractNumId="46" w15:restartNumberingAfterBreak="0">
    <w:nsid w:val="58587BBB"/>
    <w:multiLevelType w:val="hybridMultilevel"/>
    <w:tmpl w:val="EA80CFF8"/>
    <w:lvl w:ilvl="0" w:tplc="8F8EC1A6">
      <w:start w:val="1"/>
      <w:numFmt w:val="bullet"/>
      <w:lvlText w:val="-"/>
      <w:lvlJc w:val="left"/>
      <w:pPr>
        <w:ind w:left="1080" w:hanging="360"/>
      </w:pPr>
      <w:rPr>
        <w:rFonts w:ascii="Arial" w:hAnsi="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7" w15:restartNumberingAfterBreak="0">
    <w:nsid w:val="58741D25"/>
    <w:multiLevelType w:val="multilevel"/>
    <w:tmpl w:val="10107B4A"/>
    <w:name w:val="TableNumbering"/>
    <w:styleLink w:val="TableFootnotes"/>
    <w:lvl w:ilvl="0">
      <w:start w:val="1"/>
      <w:numFmt w:val="none"/>
      <w:suff w:val="nothing"/>
      <w:lvlText w:val=""/>
      <w:lvlJc w:val="left"/>
      <w:pPr>
        <w:ind w:left="0" w:firstLine="0"/>
      </w:pPr>
      <w:rPr>
        <w:rFonts w:hint="default"/>
      </w:rPr>
    </w:lvl>
    <w:lvl w:ilvl="1">
      <w:start w:val="1"/>
      <w:numFmt w:val="decimal"/>
      <w:lvlText w:val="(%2)"/>
      <w:lvlJc w:val="left"/>
      <w:pPr>
        <w:ind w:left="340" w:hanging="340"/>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48" w15:restartNumberingAfterBreak="0">
    <w:nsid w:val="5AE6625A"/>
    <w:multiLevelType w:val="multilevel"/>
    <w:tmpl w:val="FF203CF0"/>
    <w:name w:val="MyHeadings"/>
    <w:lvl w:ilvl="0">
      <w:start w:val="1"/>
      <w:numFmt w:val="decimal"/>
      <w:suff w:val="space"/>
      <w:lvlText w:val="%1."/>
      <w:lvlJc w:val="left"/>
      <w:pPr>
        <w:ind w:left="0" w:firstLine="0"/>
      </w:pPr>
      <w:rPr>
        <w:rFonts w:asciiTheme="majorHAnsi" w:hAnsiTheme="majorHAnsi" w:hint="default"/>
        <w:b/>
        <w:i w:val="0"/>
        <w:color w:val="E1E2E7" w:themeColor="background2"/>
        <w:sz w:val="40"/>
      </w:rPr>
    </w:lvl>
    <w:lvl w:ilvl="1">
      <w:start w:val="1"/>
      <w:numFmt w:val="decimal"/>
      <w:suff w:val="space"/>
      <w:lvlText w:val="%1.%2"/>
      <w:lvlJc w:val="left"/>
      <w:pPr>
        <w:ind w:left="0" w:firstLine="0"/>
      </w:pPr>
      <w:rPr>
        <w:rFonts w:asciiTheme="majorHAnsi" w:hAnsiTheme="majorHAnsi" w:hint="default"/>
        <w:b/>
        <w:i w:val="0"/>
        <w:color w:val="214C90" w:themeColor="text2"/>
        <w:spacing w:val="-6"/>
        <w:sz w:val="32"/>
      </w:rPr>
    </w:lvl>
    <w:lvl w:ilvl="2">
      <w:start w:val="1"/>
      <w:numFmt w:val="decimal"/>
      <w:suff w:val="space"/>
      <w:lvlText w:val="%1.%2.%3"/>
      <w:lvlJc w:val="left"/>
      <w:pPr>
        <w:ind w:left="0" w:firstLine="0"/>
      </w:pPr>
      <w:rPr>
        <w:rFonts w:asciiTheme="majorHAnsi" w:hAnsiTheme="majorHAnsi" w:hint="default"/>
        <w:b/>
        <w:i w:val="0"/>
        <w:color w:val="46A6A9" w:themeColor="accent2"/>
        <w:spacing w:val="-4"/>
        <w:sz w:val="24"/>
      </w:rPr>
    </w:lvl>
    <w:lvl w:ilvl="3">
      <w:start w:val="1"/>
      <w:numFmt w:val="decimal"/>
      <w:suff w:val="space"/>
      <w:lvlText w:val="%1.%2.%3.%4"/>
      <w:lvlJc w:val="left"/>
      <w:pPr>
        <w:ind w:left="0" w:firstLine="0"/>
      </w:pPr>
      <w:rPr>
        <w:rFonts w:asciiTheme="majorHAnsi" w:hAnsiTheme="majorHAnsi" w:hint="default"/>
        <w:b/>
        <w:i w:val="0"/>
        <w:color w:val="auto"/>
        <w:sz w:val="20"/>
      </w:rPr>
    </w:lvl>
    <w:lvl w:ilvl="4">
      <w:start w:val="1"/>
      <w:numFmt w:val="none"/>
      <w:suff w:val="space"/>
      <w:lvlText w:val=""/>
      <w:lvlJc w:val="left"/>
      <w:pPr>
        <w:ind w:left="0" w:firstLine="0"/>
      </w:pPr>
      <w:rPr>
        <w:rFonts w:hint="default"/>
      </w:rPr>
    </w:lvl>
    <w:lvl w:ilvl="5">
      <w:start w:val="1"/>
      <w:numFmt w:val="none"/>
      <w:lvlText w:val=""/>
      <w:lvlJc w:val="left"/>
      <w:pPr>
        <w:tabs>
          <w:tab w:val="num" w:pos="-31680"/>
        </w:tabs>
        <w:ind w:left="0" w:firstLine="0"/>
      </w:pPr>
      <w:rPr>
        <w:rFonts w:hint="default"/>
      </w:rPr>
    </w:lvl>
    <w:lvl w:ilvl="6">
      <w:start w:val="1"/>
      <w:numFmt w:val="none"/>
      <w:lvlText w:val=""/>
      <w:lvlJc w:val="left"/>
      <w:pPr>
        <w:tabs>
          <w:tab w:val="num" w:pos="-31680"/>
        </w:tabs>
        <w:ind w:left="0" w:firstLine="0"/>
      </w:pPr>
      <w:rPr>
        <w:rFonts w:hint="default"/>
      </w:rPr>
    </w:lvl>
    <w:lvl w:ilvl="7">
      <w:start w:val="1"/>
      <w:numFmt w:val="none"/>
      <w:lvlText w:val=""/>
      <w:lvlJc w:val="left"/>
      <w:pPr>
        <w:tabs>
          <w:tab w:val="num" w:pos="-31680"/>
        </w:tabs>
        <w:ind w:left="0" w:firstLine="0"/>
      </w:pPr>
      <w:rPr>
        <w:rFonts w:hint="default"/>
      </w:rPr>
    </w:lvl>
    <w:lvl w:ilvl="8">
      <w:start w:val="1"/>
      <w:numFmt w:val="none"/>
      <w:lvlText w:val=""/>
      <w:lvlJc w:val="left"/>
      <w:pPr>
        <w:tabs>
          <w:tab w:val="num" w:pos="-31680"/>
        </w:tabs>
        <w:ind w:left="0" w:firstLine="0"/>
      </w:pPr>
      <w:rPr>
        <w:rFonts w:hint="default"/>
      </w:rPr>
    </w:lvl>
  </w:abstractNum>
  <w:abstractNum w:abstractNumId="49" w15:restartNumberingAfterBreak="0">
    <w:nsid w:val="5B3A7D91"/>
    <w:multiLevelType w:val="hybridMultilevel"/>
    <w:tmpl w:val="0C56B464"/>
    <w:name w:val="MyNumbering2"/>
    <w:lvl w:ilvl="0" w:tplc="0214F168">
      <w:start w:val="1"/>
      <w:numFmt w:val="bullet"/>
      <w:pStyle w:val="ListBullet2"/>
      <w:lvlText w:val="o"/>
      <w:lvlJc w:val="left"/>
      <w:pPr>
        <w:ind w:left="72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15:restartNumberingAfterBreak="0">
    <w:nsid w:val="5CEE543D"/>
    <w:multiLevelType w:val="multilevel"/>
    <w:tmpl w:val="583A35FA"/>
    <w:name w:val="MyBullets31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1" w15:restartNumberingAfterBreak="0">
    <w:nsid w:val="5D0540A9"/>
    <w:multiLevelType w:val="multilevel"/>
    <w:tmpl w:val="DBC00818"/>
    <w:name w:val="MyAppendicesNumbering"/>
    <w:lvl w:ilvl="0">
      <w:start w:val="1"/>
      <w:numFmt w:val="upperLetter"/>
      <w:suff w:val="space"/>
      <w:lvlText w:val="Appendix %1."/>
      <w:lvlJc w:val="left"/>
      <w:pPr>
        <w:ind w:left="0" w:firstLine="0"/>
      </w:pPr>
      <w:rPr>
        <w:rFonts w:asciiTheme="majorHAnsi" w:hAnsiTheme="majorHAnsi" w:hint="default"/>
        <w:b/>
        <w:i w:val="0"/>
        <w:sz w:val="40"/>
      </w:rPr>
    </w:lvl>
    <w:lvl w:ilvl="1">
      <w:start w:val="1"/>
      <w:numFmt w:val="decimal"/>
      <w:suff w:val="space"/>
      <w:lvlText w:val="%1.%2"/>
      <w:lvlJc w:val="left"/>
      <w:pPr>
        <w:ind w:left="0" w:firstLine="0"/>
      </w:pPr>
      <w:rPr>
        <w:rFonts w:hint="default"/>
        <w:sz w:val="32"/>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none"/>
      <w:lvlText w:val=""/>
      <w:lvlJc w:val="right"/>
      <w:pPr>
        <w:tabs>
          <w:tab w:val="num" w:pos="2268"/>
        </w:tabs>
        <w:ind w:left="0" w:firstLine="0"/>
      </w:pPr>
      <w:rPr>
        <w:rFonts w:hint="default"/>
      </w:rPr>
    </w:lvl>
    <w:lvl w:ilvl="6">
      <w:start w:val="1"/>
      <w:numFmt w:val="none"/>
      <w:lvlText w:val=""/>
      <w:lvlJc w:val="left"/>
      <w:pPr>
        <w:tabs>
          <w:tab w:val="num" w:pos="2268"/>
        </w:tabs>
        <w:ind w:left="0" w:firstLine="0"/>
      </w:pPr>
      <w:rPr>
        <w:rFonts w:hint="default"/>
      </w:rPr>
    </w:lvl>
    <w:lvl w:ilvl="7">
      <w:start w:val="1"/>
      <w:numFmt w:val="none"/>
      <w:lvlText w:val=""/>
      <w:lvlJc w:val="left"/>
      <w:pPr>
        <w:tabs>
          <w:tab w:val="num" w:pos="2268"/>
        </w:tabs>
        <w:ind w:left="0" w:firstLine="0"/>
      </w:pPr>
      <w:rPr>
        <w:rFonts w:hint="default"/>
      </w:rPr>
    </w:lvl>
    <w:lvl w:ilvl="8">
      <w:start w:val="1"/>
      <w:numFmt w:val="none"/>
      <w:lvlText w:val=""/>
      <w:lvlJc w:val="right"/>
      <w:pPr>
        <w:tabs>
          <w:tab w:val="num" w:pos="2268"/>
        </w:tabs>
        <w:ind w:left="0" w:firstLine="0"/>
      </w:pPr>
      <w:rPr>
        <w:rFonts w:hint="default"/>
      </w:rPr>
    </w:lvl>
  </w:abstractNum>
  <w:abstractNum w:abstractNumId="52" w15:restartNumberingAfterBreak="0">
    <w:nsid w:val="5E813F3A"/>
    <w:multiLevelType w:val="hybridMultilevel"/>
    <w:tmpl w:val="484E2818"/>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53" w15:restartNumberingAfterBreak="0">
    <w:nsid w:val="5F7268E2"/>
    <w:multiLevelType w:val="multilevel"/>
    <w:tmpl w:val="0506FB92"/>
    <w:lvl w:ilvl="0">
      <w:start w:val="1"/>
      <w:numFmt w:val="bullet"/>
      <w:lvlText w:val=""/>
      <w:lvlJc w:val="left"/>
      <w:pPr>
        <w:tabs>
          <w:tab w:val="num" w:pos="357"/>
        </w:tabs>
        <w:ind w:left="357" w:hanging="357"/>
      </w:pPr>
      <w:rPr>
        <w:rFonts w:ascii="Wingdings" w:hAnsi="Wingdings" w:hint="default"/>
        <w:color w:val="auto"/>
        <w:position w:val="1"/>
        <w:sz w:val="16"/>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4" w15:restartNumberingAfterBreak="0">
    <w:nsid w:val="60561366"/>
    <w:multiLevelType w:val="multilevel"/>
    <w:tmpl w:val="088A0D40"/>
    <w:lvl w:ilvl="0">
      <w:start w:val="1"/>
      <w:numFmt w:val="bullet"/>
      <w:lvlText w:val="§"/>
      <w:lvlJc w:val="left"/>
      <w:pPr>
        <w:ind w:left="720" w:hanging="360"/>
      </w:pPr>
      <w:rPr>
        <w:rFonts w:ascii="Wingdings" w:hAnsi="Wingdings" w:hint="default"/>
        <w:sz w:val="18"/>
        <w:szCs w:val="26"/>
      </w:rPr>
    </w:lvl>
    <w:lvl w:ilvl="1">
      <w:start w:val="1"/>
      <w:numFmt w:val="bullet"/>
      <w:lvlText w:val="o"/>
      <w:lvlJc w:val="left"/>
      <w:pPr>
        <w:ind w:left="1440" w:hanging="360"/>
      </w:pPr>
      <w:rPr>
        <w:rFonts w:ascii="Courier New" w:hAnsi="Courier New" w:cs="Courier New" w:hint="default"/>
      </w:rPr>
    </w:lvl>
    <w:lvl w:ilvl="2">
      <w:start w:val="1"/>
      <w:numFmt w:val="lowerLetter"/>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5" w15:restartNumberingAfterBreak="0">
    <w:nsid w:val="628C6BDD"/>
    <w:multiLevelType w:val="hybridMultilevel"/>
    <w:tmpl w:val="85463EBA"/>
    <w:lvl w:ilvl="0" w:tplc="0C090003">
      <w:start w:val="1"/>
      <w:numFmt w:val="bullet"/>
      <w:lvlText w:val="o"/>
      <w:lvlJc w:val="left"/>
      <w:pPr>
        <w:ind w:left="360" w:hanging="360"/>
      </w:pPr>
      <w:rPr>
        <w:rFonts w:ascii="Courier New" w:hAnsi="Courier New" w:cs="Courier New" w:hint="default"/>
        <w:color w:val="000000" w:themeColor="text1"/>
        <w:sz w:val="22"/>
        <w:szCs w:val="2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15:restartNumberingAfterBreak="0">
    <w:nsid w:val="62D54977"/>
    <w:multiLevelType w:val="multilevel"/>
    <w:tmpl w:val="4F909688"/>
    <w:lvl w:ilvl="0">
      <w:start w:val="1"/>
      <w:numFmt w:val="decimal"/>
      <w:lvlText w:val="%1."/>
      <w:lvlJc w:val="left"/>
      <w:pPr>
        <w:ind w:left="360" w:hanging="360"/>
      </w:pPr>
      <w:rPr>
        <w:b w:val="0"/>
        <w:i w:val="0"/>
        <w:color w:val="auto"/>
        <w:sz w:val="21"/>
        <w:szCs w:val="21"/>
      </w:rPr>
    </w:lvl>
    <w:lvl w:ilvl="1">
      <w:start w:val="1"/>
      <w:numFmt w:val="lowerLetter"/>
      <w:lvlText w:val="%2."/>
      <w:lvlJc w:val="left"/>
      <w:pPr>
        <w:ind w:left="714" w:hanging="357"/>
      </w:pPr>
    </w:lvl>
    <w:lvl w:ilvl="2">
      <w:start w:val="1"/>
      <w:numFmt w:val="lowerRoman"/>
      <w:lvlText w:val="%3."/>
      <w:lvlJc w:val="left"/>
      <w:pPr>
        <w:ind w:left="1071" w:hanging="357"/>
      </w:pPr>
    </w:lvl>
    <w:lvl w:ilvl="3">
      <w:start w:val="1"/>
      <w:numFmt w:val="upperLetter"/>
      <w:lvlText w:val="%4."/>
      <w:lvlJc w:val="left"/>
      <w:pPr>
        <w:ind w:left="1428" w:hanging="357"/>
      </w:pPr>
    </w:lvl>
    <w:lvl w:ilvl="4">
      <w:start w:val="1"/>
      <w:numFmt w:val="upperRoman"/>
      <w:lvlText w:val="%5."/>
      <w:lvlJc w:val="left"/>
      <w:pPr>
        <w:ind w:left="1785" w:hanging="357"/>
      </w:pPr>
    </w:lvl>
    <w:lvl w:ilvl="5">
      <w:start w:val="1"/>
      <w:numFmt w:val="lowerRoman"/>
      <w:lvlText w:val="%6."/>
      <w:lvlJc w:val="right"/>
      <w:pPr>
        <w:ind w:left="2142" w:hanging="357"/>
      </w:pPr>
    </w:lvl>
    <w:lvl w:ilvl="6">
      <w:start w:val="1"/>
      <w:numFmt w:val="decimal"/>
      <w:lvlText w:val="%7."/>
      <w:lvlJc w:val="left"/>
      <w:pPr>
        <w:ind w:left="2499" w:hanging="357"/>
      </w:pPr>
    </w:lvl>
    <w:lvl w:ilvl="7">
      <w:start w:val="1"/>
      <w:numFmt w:val="lowerLetter"/>
      <w:lvlText w:val="%8."/>
      <w:lvlJc w:val="left"/>
      <w:pPr>
        <w:ind w:left="2856" w:hanging="357"/>
      </w:pPr>
    </w:lvl>
    <w:lvl w:ilvl="8">
      <w:start w:val="1"/>
      <w:numFmt w:val="lowerRoman"/>
      <w:lvlText w:val="%9."/>
      <w:lvlJc w:val="right"/>
      <w:pPr>
        <w:ind w:left="3213" w:hanging="357"/>
      </w:pPr>
    </w:lvl>
  </w:abstractNum>
  <w:abstractNum w:abstractNumId="57" w15:restartNumberingAfterBreak="0">
    <w:nsid w:val="6313234F"/>
    <w:multiLevelType w:val="multilevel"/>
    <w:tmpl w:val="D6EA4628"/>
    <w:name w:val="MyNumbering6224"/>
    <w:lvl w:ilvl="0">
      <w:start w:val="1"/>
      <w:numFmt w:val="decimal"/>
      <w:lvlText w:val="%1."/>
      <w:lvlJc w:val="left"/>
      <w:pPr>
        <w:ind w:left="360" w:hanging="360"/>
      </w:pPr>
      <w:rPr>
        <w:rFonts w:ascii="Arial" w:hAnsi="Arial" w:hint="default"/>
        <w:b w:val="0"/>
        <w:i w:val="0"/>
        <w:color w:val="auto"/>
        <w:sz w:val="20"/>
        <w:szCs w:val="20"/>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58" w15:restartNumberingAfterBreak="0">
    <w:nsid w:val="63A205C1"/>
    <w:multiLevelType w:val="hybridMultilevel"/>
    <w:tmpl w:val="D7FC9866"/>
    <w:lvl w:ilvl="0" w:tplc="3B907FE8">
      <w:start w:val="1"/>
      <w:numFmt w:val="lowerLetter"/>
      <w:lvlText w:val="(%1)"/>
      <w:lvlJc w:val="left"/>
      <w:pPr>
        <w:ind w:left="720" w:hanging="360"/>
      </w:pPr>
      <w:rPr>
        <w:rFonts w:ascii="Arial" w:hAnsi="Arial" w:hint="default"/>
        <w:b w:val="0"/>
        <w:i w:val="0"/>
        <w:sz w:val="22"/>
        <w:vertAlign w:val="baseline"/>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15:restartNumberingAfterBreak="0">
    <w:nsid w:val="659B38C9"/>
    <w:multiLevelType w:val="multilevel"/>
    <w:tmpl w:val="5B4E4206"/>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60" w15:restartNumberingAfterBreak="0">
    <w:nsid w:val="664A7BD1"/>
    <w:multiLevelType w:val="multilevel"/>
    <w:tmpl w:val="583A35FA"/>
    <w:name w:val="MyBullets31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1" w15:restartNumberingAfterBreak="0">
    <w:nsid w:val="68135F4C"/>
    <w:multiLevelType w:val="hybridMultilevel"/>
    <w:tmpl w:val="45E4C338"/>
    <w:name w:val="MyNumbering62248"/>
    <w:lvl w:ilvl="0" w:tplc="8F8EC1A6">
      <w:start w:val="1"/>
      <w:numFmt w:val="bullet"/>
      <w:lvlText w:val="-"/>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2" w15:restartNumberingAfterBreak="0">
    <w:nsid w:val="69411D4B"/>
    <w:multiLevelType w:val="multilevel"/>
    <w:tmpl w:val="EE9C9BBC"/>
    <w:lvl w:ilvl="0">
      <w:start w:val="1"/>
      <w:numFmt w:val="lowerLetter"/>
      <w:lvlText w:val="(%1)"/>
      <w:lvlJc w:val="left"/>
      <w:pPr>
        <w:ind w:left="360" w:hanging="360"/>
      </w:pPr>
      <w:rPr>
        <w:rFonts w:ascii="Arial" w:hAnsi="Arial" w:hint="default"/>
        <w:b w:val="0"/>
        <w:i w:val="0"/>
        <w:color w:val="auto"/>
        <w:sz w:val="22"/>
        <w:szCs w:val="26"/>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63" w15:restartNumberingAfterBreak="0">
    <w:nsid w:val="69884CA8"/>
    <w:multiLevelType w:val="multilevel"/>
    <w:tmpl w:val="1716F1D0"/>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64" w15:restartNumberingAfterBreak="0">
    <w:nsid w:val="69BC1D94"/>
    <w:multiLevelType w:val="hybridMultilevel"/>
    <w:tmpl w:val="089E0BAA"/>
    <w:lvl w:ilvl="0" w:tplc="4EBCF2D8">
      <w:start w:val="1"/>
      <w:numFmt w:val="lowerLetter"/>
      <w:lvlText w:val="(%1)"/>
      <w:lvlJc w:val="left"/>
      <w:pPr>
        <w:ind w:left="445" w:hanging="360"/>
      </w:pPr>
      <w:rPr>
        <w:rFonts w:hint="default"/>
      </w:rPr>
    </w:lvl>
    <w:lvl w:ilvl="1" w:tplc="0C090019" w:tentative="1">
      <w:start w:val="1"/>
      <w:numFmt w:val="lowerLetter"/>
      <w:lvlText w:val="%2."/>
      <w:lvlJc w:val="left"/>
      <w:pPr>
        <w:ind w:left="1165" w:hanging="360"/>
      </w:pPr>
    </w:lvl>
    <w:lvl w:ilvl="2" w:tplc="0C09001B" w:tentative="1">
      <w:start w:val="1"/>
      <w:numFmt w:val="lowerRoman"/>
      <w:lvlText w:val="%3."/>
      <w:lvlJc w:val="right"/>
      <w:pPr>
        <w:ind w:left="1885" w:hanging="180"/>
      </w:pPr>
    </w:lvl>
    <w:lvl w:ilvl="3" w:tplc="0C09000F" w:tentative="1">
      <w:start w:val="1"/>
      <w:numFmt w:val="decimal"/>
      <w:lvlText w:val="%4."/>
      <w:lvlJc w:val="left"/>
      <w:pPr>
        <w:ind w:left="2605" w:hanging="360"/>
      </w:pPr>
    </w:lvl>
    <w:lvl w:ilvl="4" w:tplc="0C090019" w:tentative="1">
      <w:start w:val="1"/>
      <w:numFmt w:val="lowerLetter"/>
      <w:lvlText w:val="%5."/>
      <w:lvlJc w:val="left"/>
      <w:pPr>
        <w:ind w:left="3325" w:hanging="360"/>
      </w:pPr>
    </w:lvl>
    <w:lvl w:ilvl="5" w:tplc="0C09001B" w:tentative="1">
      <w:start w:val="1"/>
      <w:numFmt w:val="lowerRoman"/>
      <w:lvlText w:val="%6."/>
      <w:lvlJc w:val="right"/>
      <w:pPr>
        <w:ind w:left="4045" w:hanging="180"/>
      </w:pPr>
    </w:lvl>
    <w:lvl w:ilvl="6" w:tplc="0C09000F" w:tentative="1">
      <w:start w:val="1"/>
      <w:numFmt w:val="decimal"/>
      <w:lvlText w:val="%7."/>
      <w:lvlJc w:val="left"/>
      <w:pPr>
        <w:ind w:left="4765" w:hanging="360"/>
      </w:pPr>
    </w:lvl>
    <w:lvl w:ilvl="7" w:tplc="0C090019" w:tentative="1">
      <w:start w:val="1"/>
      <w:numFmt w:val="lowerLetter"/>
      <w:lvlText w:val="%8."/>
      <w:lvlJc w:val="left"/>
      <w:pPr>
        <w:ind w:left="5485" w:hanging="360"/>
      </w:pPr>
    </w:lvl>
    <w:lvl w:ilvl="8" w:tplc="0C09001B" w:tentative="1">
      <w:start w:val="1"/>
      <w:numFmt w:val="lowerRoman"/>
      <w:lvlText w:val="%9."/>
      <w:lvlJc w:val="right"/>
      <w:pPr>
        <w:ind w:left="6205" w:hanging="180"/>
      </w:pPr>
    </w:lvl>
  </w:abstractNum>
  <w:abstractNum w:abstractNumId="65" w15:restartNumberingAfterBreak="0">
    <w:nsid w:val="6A481EE0"/>
    <w:multiLevelType w:val="hybridMultilevel"/>
    <w:tmpl w:val="722A4884"/>
    <w:lvl w:ilvl="0" w:tplc="0C090001">
      <w:start w:val="1"/>
      <w:numFmt w:val="bullet"/>
      <w:lvlText w:val=""/>
      <w:lvlJc w:val="left"/>
      <w:pPr>
        <w:ind w:left="805" w:hanging="360"/>
      </w:pPr>
      <w:rPr>
        <w:rFonts w:ascii="Symbol" w:hAnsi="Symbol" w:hint="default"/>
      </w:rPr>
    </w:lvl>
    <w:lvl w:ilvl="1" w:tplc="0C090003">
      <w:start w:val="1"/>
      <w:numFmt w:val="bullet"/>
      <w:lvlText w:val="o"/>
      <w:lvlJc w:val="left"/>
      <w:pPr>
        <w:ind w:left="1525" w:hanging="360"/>
      </w:pPr>
      <w:rPr>
        <w:rFonts w:ascii="Courier New" w:hAnsi="Courier New" w:cs="Courier New" w:hint="default"/>
      </w:rPr>
    </w:lvl>
    <w:lvl w:ilvl="2" w:tplc="0C090005" w:tentative="1">
      <w:start w:val="1"/>
      <w:numFmt w:val="bullet"/>
      <w:lvlText w:val=""/>
      <w:lvlJc w:val="left"/>
      <w:pPr>
        <w:ind w:left="2245" w:hanging="360"/>
      </w:pPr>
      <w:rPr>
        <w:rFonts w:ascii="Wingdings" w:hAnsi="Wingdings" w:hint="default"/>
      </w:rPr>
    </w:lvl>
    <w:lvl w:ilvl="3" w:tplc="0C090001" w:tentative="1">
      <w:start w:val="1"/>
      <w:numFmt w:val="bullet"/>
      <w:lvlText w:val=""/>
      <w:lvlJc w:val="left"/>
      <w:pPr>
        <w:ind w:left="2965" w:hanging="360"/>
      </w:pPr>
      <w:rPr>
        <w:rFonts w:ascii="Symbol" w:hAnsi="Symbol" w:hint="default"/>
      </w:rPr>
    </w:lvl>
    <w:lvl w:ilvl="4" w:tplc="0C090003" w:tentative="1">
      <w:start w:val="1"/>
      <w:numFmt w:val="bullet"/>
      <w:lvlText w:val="o"/>
      <w:lvlJc w:val="left"/>
      <w:pPr>
        <w:ind w:left="3685" w:hanging="360"/>
      </w:pPr>
      <w:rPr>
        <w:rFonts w:ascii="Courier New" w:hAnsi="Courier New" w:cs="Courier New" w:hint="default"/>
      </w:rPr>
    </w:lvl>
    <w:lvl w:ilvl="5" w:tplc="0C090005" w:tentative="1">
      <w:start w:val="1"/>
      <w:numFmt w:val="bullet"/>
      <w:lvlText w:val=""/>
      <w:lvlJc w:val="left"/>
      <w:pPr>
        <w:ind w:left="4405" w:hanging="360"/>
      </w:pPr>
      <w:rPr>
        <w:rFonts w:ascii="Wingdings" w:hAnsi="Wingdings" w:hint="default"/>
      </w:rPr>
    </w:lvl>
    <w:lvl w:ilvl="6" w:tplc="0C090001" w:tentative="1">
      <w:start w:val="1"/>
      <w:numFmt w:val="bullet"/>
      <w:lvlText w:val=""/>
      <w:lvlJc w:val="left"/>
      <w:pPr>
        <w:ind w:left="5125" w:hanging="360"/>
      </w:pPr>
      <w:rPr>
        <w:rFonts w:ascii="Symbol" w:hAnsi="Symbol" w:hint="default"/>
      </w:rPr>
    </w:lvl>
    <w:lvl w:ilvl="7" w:tplc="0C090003" w:tentative="1">
      <w:start w:val="1"/>
      <w:numFmt w:val="bullet"/>
      <w:lvlText w:val="o"/>
      <w:lvlJc w:val="left"/>
      <w:pPr>
        <w:ind w:left="5845" w:hanging="360"/>
      </w:pPr>
      <w:rPr>
        <w:rFonts w:ascii="Courier New" w:hAnsi="Courier New" w:cs="Courier New" w:hint="default"/>
      </w:rPr>
    </w:lvl>
    <w:lvl w:ilvl="8" w:tplc="0C090005" w:tentative="1">
      <w:start w:val="1"/>
      <w:numFmt w:val="bullet"/>
      <w:lvlText w:val=""/>
      <w:lvlJc w:val="left"/>
      <w:pPr>
        <w:ind w:left="6565" w:hanging="360"/>
      </w:pPr>
      <w:rPr>
        <w:rFonts w:ascii="Wingdings" w:hAnsi="Wingdings" w:hint="default"/>
      </w:rPr>
    </w:lvl>
  </w:abstractNum>
  <w:abstractNum w:abstractNumId="66" w15:restartNumberingAfterBreak="0">
    <w:nsid w:val="6A4B05C5"/>
    <w:multiLevelType w:val="hybridMultilevel"/>
    <w:tmpl w:val="20861B48"/>
    <w:lvl w:ilvl="0" w:tplc="155EFEC0">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7" w15:restartNumberingAfterBreak="0">
    <w:nsid w:val="6B364270"/>
    <w:multiLevelType w:val="hybridMultilevel"/>
    <w:tmpl w:val="2F0EA38E"/>
    <w:lvl w:ilvl="0" w:tplc="E6BAED44">
      <w:start w:val="1"/>
      <w:numFmt w:val="bullet"/>
      <w:pStyle w:val="ListBullet"/>
      <w:lvlText w:val=""/>
      <w:lvlJc w:val="left"/>
      <w:pPr>
        <w:ind w:left="360" w:hanging="360"/>
      </w:pPr>
      <w:rPr>
        <w:rFonts w:ascii="Wingdings" w:hAnsi="Wingdings" w:hint="default"/>
        <w:color w:val="000000" w:themeColor="text1"/>
        <w:sz w:val="22"/>
        <w:szCs w:val="26"/>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8" w15:restartNumberingAfterBreak="0">
    <w:nsid w:val="6CDB4AAD"/>
    <w:multiLevelType w:val="multilevel"/>
    <w:tmpl w:val="015CA19A"/>
    <w:lvl w:ilvl="0">
      <w:start w:val="1"/>
      <w:numFmt w:val="bullet"/>
      <w:pStyle w:val="BulletsL1"/>
      <w:lvlText w:val=""/>
      <w:lvlJc w:val="left"/>
      <w:pPr>
        <w:tabs>
          <w:tab w:val="num" w:pos="851"/>
        </w:tabs>
        <w:ind w:left="851" w:hanging="851"/>
      </w:pPr>
      <w:rPr>
        <w:rFonts w:ascii="Symbol" w:hAnsi="Symbol" w:hint="default"/>
        <w:b w:val="0"/>
        <w:i w:val="0"/>
        <w:sz w:val="22"/>
        <w:szCs w:val="16"/>
      </w:rPr>
    </w:lvl>
    <w:lvl w:ilvl="1">
      <w:start w:val="1"/>
      <w:numFmt w:val="bullet"/>
      <w:pStyle w:val="BulletsL2"/>
      <w:lvlText w:val=""/>
      <w:lvlJc w:val="left"/>
      <w:pPr>
        <w:tabs>
          <w:tab w:val="num" w:pos="1701"/>
        </w:tabs>
        <w:ind w:left="1701" w:hanging="850"/>
      </w:pPr>
      <w:rPr>
        <w:rFonts w:ascii="Symbol" w:hAnsi="Symbol" w:hint="default"/>
        <w:sz w:val="22"/>
        <w:szCs w:val="18"/>
      </w:rPr>
    </w:lvl>
    <w:lvl w:ilvl="2">
      <w:start w:val="1"/>
      <w:numFmt w:val="bullet"/>
      <w:pStyle w:val="BulletsL3"/>
      <w:lvlText w:val=""/>
      <w:lvlJc w:val="left"/>
      <w:pPr>
        <w:tabs>
          <w:tab w:val="num" w:pos="2552"/>
        </w:tabs>
        <w:ind w:left="2552" w:hanging="851"/>
      </w:pPr>
      <w:rPr>
        <w:rFonts w:ascii="Symbol" w:hAnsi="Symbol" w:hint="default"/>
        <w:color w:val="auto"/>
        <w:sz w:val="22"/>
      </w:rPr>
    </w:lvl>
    <w:lvl w:ilvl="3">
      <w:start w:val="1"/>
      <w:numFmt w:val="bullet"/>
      <w:lvlText w:val="o"/>
      <w:lvlJc w:val="left"/>
      <w:pPr>
        <w:tabs>
          <w:tab w:val="num" w:pos="2948"/>
        </w:tabs>
        <w:ind w:left="737" w:firstLine="1474"/>
      </w:pPr>
      <w:rPr>
        <w:rFonts w:ascii="Courier" w:hAnsi="Courier" w:hint="default"/>
      </w:rPr>
    </w:lvl>
    <w:lvl w:ilvl="4">
      <w:start w:val="1"/>
      <w:numFmt w:val="bullet"/>
      <w:lvlText w:val=""/>
      <w:lvlJc w:val="left"/>
      <w:pPr>
        <w:tabs>
          <w:tab w:val="num" w:pos="2948"/>
        </w:tabs>
        <w:ind w:left="737" w:firstLine="2211"/>
      </w:pPr>
      <w:rPr>
        <w:rFonts w:ascii="Symbol" w:hAnsi="Symbol" w:hint="default"/>
        <w:color w:val="auto"/>
      </w:rPr>
    </w:lvl>
    <w:lvl w:ilvl="5">
      <w:start w:val="1"/>
      <w:numFmt w:val="bullet"/>
      <w:lvlText w:val="o"/>
      <w:lvlJc w:val="left"/>
      <w:pPr>
        <w:tabs>
          <w:tab w:val="num" w:pos="3686"/>
        </w:tabs>
        <w:ind w:left="737" w:firstLine="2949"/>
      </w:pPr>
      <w:rPr>
        <w:rFonts w:ascii="Courier" w:hAnsi="Courier" w:hint="default"/>
      </w:rPr>
    </w:lvl>
    <w:lvl w:ilvl="6">
      <w:start w:val="1"/>
      <w:numFmt w:val="none"/>
      <w:suff w:val="nothing"/>
      <w:lvlText w:val=""/>
      <w:lvlJc w:val="left"/>
      <w:pPr>
        <w:ind w:left="0" w:firstLine="0"/>
      </w:pPr>
    </w:lvl>
    <w:lvl w:ilvl="7">
      <w:start w:val="1"/>
      <w:numFmt w:val="none"/>
      <w:lvlText w:val=""/>
      <w:lvlJc w:val="left"/>
      <w:pPr>
        <w:tabs>
          <w:tab w:val="num" w:pos="737"/>
        </w:tabs>
        <w:ind w:left="0" w:firstLine="0"/>
      </w:pPr>
      <w:rPr>
        <w:rFonts w:ascii="Tms Rmn" w:hAnsi="Tms Rmn" w:hint="default"/>
      </w:rPr>
    </w:lvl>
    <w:lvl w:ilvl="8">
      <w:start w:val="1"/>
      <w:numFmt w:val="none"/>
      <w:lvlText w:val=""/>
      <w:lvlJc w:val="left"/>
      <w:pPr>
        <w:tabs>
          <w:tab w:val="num" w:pos="737"/>
        </w:tabs>
        <w:ind w:left="0" w:firstLine="0"/>
      </w:pPr>
      <w:rPr>
        <w:rFonts w:ascii="Tms Rmn" w:hAnsi="Tms Rmn" w:hint="default"/>
      </w:rPr>
    </w:lvl>
  </w:abstractNum>
  <w:abstractNum w:abstractNumId="69" w15:restartNumberingAfterBreak="0">
    <w:nsid w:val="6D0C31B9"/>
    <w:multiLevelType w:val="multilevel"/>
    <w:tmpl w:val="583A35FA"/>
    <w:name w:val="MyBullets4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0" w15:restartNumberingAfterBreak="0">
    <w:nsid w:val="72224F0A"/>
    <w:multiLevelType w:val="multilevel"/>
    <w:tmpl w:val="4F5E492C"/>
    <w:name w:val="Bullets"/>
    <w:lvl w:ilvl="0">
      <w:start w:val="1"/>
      <w:numFmt w:val="bullet"/>
      <w:lvlText w:val=""/>
      <w:lvlJc w:val="left"/>
      <w:pPr>
        <w:tabs>
          <w:tab w:val="num" w:pos="425"/>
        </w:tabs>
        <w:ind w:left="425" w:hanging="425"/>
      </w:pPr>
      <w:rPr>
        <w:rFonts w:ascii="Wingdings" w:hAnsi="Wingdings" w:hint="default"/>
        <w:color w:val="214C90" w:themeColor="text2"/>
        <w:position w:val="0"/>
        <w:sz w:val="20"/>
      </w:rPr>
    </w:lvl>
    <w:lvl w:ilvl="1">
      <w:start w:val="1"/>
      <w:numFmt w:val="bullet"/>
      <w:lvlText w:val=""/>
      <w:lvlJc w:val="left"/>
      <w:pPr>
        <w:tabs>
          <w:tab w:val="num" w:pos="851"/>
        </w:tabs>
        <w:ind w:left="850" w:hanging="425"/>
      </w:pPr>
      <w:rPr>
        <w:rFonts w:ascii="Wingdings" w:hAnsi="Wingdings" w:hint="default"/>
        <w:color w:val="214C90" w:themeColor="text2"/>
      </w:rPr>
    </w:lvl>
    <w:lvl w:ilvl="2">
      <w:start w:val="1"/>
      <w:numFmt w:val="bullet"/>
      <w:lvlText w:val=""/>
      <w:lvlJc w:val="left"/>
      <w:pPr>
        <w:tabs>
          <w:tab w:val="num" w:pos="1276"/>
        </w:tabs>
        <w:ind w:left="1275" w:hanging="425"/>
      </w:pPr>
      <w:rPr>
        <w:rFonts w:ascii="Symbol" w:hAnsi="Symbol" w:hint="default"/>
        <w:color w:val="214C90" w:themeColor="text2"/>
      </w:rPr>
    </w:lvl>
    <w:lvl w:ilvl="3">
      <w:start w:val="1"/>
      <w:numFmt w:val="bullet"/>
      <w:lvlText w:val=""/>
      <w:lvlJc w:val="left"/>
      <w:pPr>
        <w:tabs>
          <w:tab w:val="num" w:pos="1701"/>
        </w:tabs>
        <w:ind w:left="1700" w:hanging="425"/>
      </w:pPr>
      <w:rPr>
        <w:rFonts w:ascii="Symbol" w:hAnsi="Symbol" w:hint="default"/>
        <w:color w:val="214C90" w:themeColor="text2"/>
        <w:sz w:val="20"/>
      </w:rPr>
    </w:lvl>
    <w:lvl w:ilvl="4">
      <w:start w:val="1"/>
      <w:numFmt w:val="bullet"/>
      <w:lvlText w:val=""/>
      <w:lvlJc w:val="left"/>
      <w:pPr>
        <w:tabs>
          <w:tab w:val="num" w:pos="2126"/>
        </w:tabs>
        <w:ind w:left="2125" w:hanging="425"/>
      </w:pPr>
      <w:rPr>
        <w:rFonts w:ascii="Wingdings" w:hAnsi="Wingdings" w:hint="default"/>
        <w:color w:val="214C90" w:themeColor="text2"/>
      </w:rPr>
    </w:lvl>
    <w:lvl w:ilvl="5">
      <w:start w:val="1"/>
      <w:numFmt w:val="lowerRoman"/>
      <w:lvlText w:val="(%6)"/>
      <w:lvlJc w:val="left"/>
      <w:pPr>
        <w:tabs>
          <w:tab w:val="num" w:pos="3630"/>
        </w:tabs>
        <w:ind w:left="2550" w:hanging="425"/>
      </w:pPr>
      <w:rPr>
        <w:rFonts w:hint="default"/>
      </w:rPr>
    </w:lvl>
    <w:lvl w:ilvl="6">
      <w:start w:val="1"/>
      <w:numFmt w:val="decimal"/>
      <w:lvlText w:val="%7."/>
      <w:lvlJc w:val="left"/>
      <w:pPr>
        <w:tabs>
          <w:tab w:val="num" w:pos="4055"/>
        </w:tabs>
        <w:ind w:left="2975" w:hanging="425"/>
      </w:pPr>
      <w:rPr>
        <w:rFonts w:hint="default"/>
      </w:rPr>
    </w:lvl>
    <w:lvl w:ilvl="7">
      <w:start w:val="1"/>
      <w:numFmt w:val="lowerLetter"/>
      <w:lvlText w:val="%8."/>
      <w:lvlJc w:val="left"/>
      <w:pPr>
        <w:tabs>
          <w:tab w:val="num" w:pos="4480"/>
        </w:tabs>
        <w:ind w:left="3400" w:hanging="425"/>
      </w:pPr>
      <w:rPr>
        <w:rFonts w:hint="default"/>
      </w:rPr>
    </w:lvl>
    <w:lvl w:ilvl="8">
      <w:start w:val="1"/>
      <w:numFmt w:val="lowerRoman"/>
      <w:lvlText w:val="%9."/>
      <w:lvlJc w:val="left"/>
      <w:pPr>
        <w:tabs>
          <w:tab w:val="num" w:pos="4905"/>
        </w:tabs>
        <w:ind w:left="3825" w:hanging="425"/>
      </w:pPr>
      <w:rPr>
        <w:rFonts w:hint="default"/>
      </w:rPr>
    </w:lvl>
  </w:abstractNum>
  <w:abstractNum w:abstractNumId="71" w15:restartNumberingAfterBreak="0">
    <w:nsid w:val="73166C2E"/>
    <w:multiLevelType w:val="hybridMultilevel"/>
    <w:tmpl w:val="01848930"/>
    <w:lvl w:ilvl="0" w:tplc="0C090003">
      <w:start w:val="1"/>
      <w:numFmt w:val="bullet"/>
      <w:lvlText w:val="o"/>
      <w:lvlJc w:val="left"/>
      <w:pPr>
        <w:ind w:left="72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762964D5"/>
    <w:multiLevelType w:val="multilevel"/>
    <w:tmpl w:val="E898CC72"/>
    <w:styleLink w:val="KeyPoints"/>
    <w:lvl w:ilvl="0">
      <w:start w:val="1"/>
      <w:numFmt w:val="decimal"/>
      <w:pStyle w:val="Bullet2b"/>
      <w:lvlText w:val="%1."/>
      <w:lvlJc w:val="left"/>
      <w:pPr>
        <w:ind w:left="369" w:hanging="369"/>
      </w:pPr>
      <w:rPr>
        <w:rFonts w:ascii="Arial" w:hAnsi="Arial" w:hint="default"/>
        <w:sz w:val="22"/>
      </w:rPr>
    </w:lvl>
    <w:lvl w:ilvl="1">
      <w:start w:val="1"/>
      <w:numFmt w:val="lowerLetter"/>
      <w:lvlText w:val="%2."/>
      <w:lvlJc w:val="left"/>
      <w:pPr>
        <w:ind w:left="738" w:hanging="369"/>
      </w:pPr>
      <w:rPr>
        <w:rFonts w:hint="default"/>
      </w:rPr>
    </w:lvl>
    <w:lvl w:ilvl="2">
      <w:start w:val="1"/>
      <w:numFmt w:val="lowerRoman"/>
      <w:lvlText w:val="%3."/>
      <w:lvlJc w:val="left"/>
      <w:pPr>
        <w:ind w:left="1107" w:hanging="369"/>
      </w:pPr>
      <w:rPr>
        <w:rFonts w:hint="default"/>
      </w:rPr>
    </w:lvl>
    <w:lvl w:ilvl="3">
      <w:start w:val="1"/>
      <w:numFmt w:val="none"/>
      <w:lvlText w:val="%4"/>
      <w:lvlJc w:val="left"/>
      <w:pPr>
        <w:ind w:left="1476" w:hanging="369"/>
      </w:pPr>
      <w:rPr>
        <w:rFonts w:hint="default"/>
      </w:rPr>
    </w:lvl>
    <w:lvl w:ilvl="4">
      <w:start w:val="1"/>
      <w:numFmt w:val="none"/>
      <w:lvlText w:val=""/>
      <w:lvlJc w:val="left"/>
      <w:pPr>
        <w:ind w:left="1845" w:hanging="369"/>
      </w:pPr>
      <w:rPr>
        <w:rFonts w:hint="default"/>
      </w:rPr>
    </w:lvl>
    <w:lvl w:ilvl="5">
      <w:start w:val="1"/>
      <w:numFmt w:val="none"/>
      <w:lvlText w:val=""/>
      <w:lvlJc w:val="left"/>
      <w:pPr>
        <w:ind w:left="2214" w:hanging="369"/>
      </w:pPr>
      <w:rPr>
        <w:rFonts w:hint="default"/>
      </w:rPr>
    </w:lvl>
    <w:lvl w:ilvl="6">
      <w:start w:val="1"/>
      <w:numFmt w:val="none"/>
      <w:lvlText w:val=""/>
      <w:lvlJc w:val="left"/>
      <w:pPr>
        <w:ind w:left="2583" w:hanging="369"/>
      </w:pPr>
      <w:rPr>
        <w:rFonts w:hint="default"/>
      </w:rPr>
    </w:lvl>
    <w:lvl w:ilvl="7">
      <w:start w:val="1"/>
      <w:numFmt w:val="none"/>
      <w:lvlText w:val=""/>
      <w:lvlJc w:val="left"/>
      <w:pPr>
        <w:ind w:left="2952" w:hanging="369"/>
      </w:pPr>
      <w:rPr>
        <w:rFonts w:hint="default"/>
      </w:rPr>
    </w:lvl>
    <w:lvl w:ilvl="8">
      <w:start w:val="1"/>
      <w:numFmt w:val="none"/>
      <w:lvlText w:val=""/>
      <w:lvlJc w:val="left"/>
      <w:pPr>
        <w:ind w:left="3321" w:hanging="369"/>
      </w:pPr>
      <w:rPr>
        <w:rFonts w:hint="default"/>
      </w:rPr>
    </w:lvl>
  </w:abstractNum>
  <w:abstractNum w:abstractNumId="73" w15:restartNumberingAfterBreak="0">
    <w:nsid w:val="7665407D"/>
    <w:multiLevelType w:val="hybridMultilevel"/>
    <w:tmpl w:val="9ED26028"/>
    <w:name w:val="MyBullets2"/>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74" w15:restartNumberingAfterBreak="0">
    <w:nsid w:val="7DA451FF"/>
    <w:multiLevelType w:val="hybridMultilevel"/>
    <w:tmpl w:val="AF747166"/>
    <w:lvl w:ilvl="0" w:tplc="0C090001">
      <w:start w:val="1"/>
      <w:numFmt w:val="bullet"/>
      <w:lvlText w:val=""/>
      <w:lvlJc w:val="left"/>
      <w:pPr>
        <w:ind w:left="1032" w:hanging="360"/>
      </w:pPr>
      <w:rPr>
        <w:rFonts w:ascii="Symbol" w:hAnsi="Symbol" w:hint="default"/>
      </w:rPr>
    </w:lvl>
    <w:lvl w:ilvl="1" w:tplc="0C090003" w:tentative="1">
      <w:start w:val="1"/>
      <w:numFmt w:val="bullet"/>
      <w:lvlText w:val="o"/>
      <w:lvlJc w:val="left"/>
      <w:pPr>
        <w:ind w:left="1752" w:hanging="360"/>
      </w:pPr>
      <w:rPr>
        <w:rFonts w:ascii="Courier New" w:hAnsi="Courier New" w:cs="Courier New" w:hint="default"/>
      </w:rPr>
    </w:lvl>
    <w:lvl w:ilvl="2" w:tplc="0C090005" w:tentative="1">
      <w:start w:val="1"/>
      <w:numFmt w:val="bullet"/>
      <w:lvlText w:val=""/>
      <w:lvlJc w:val="left"/>
      <w:pPr>
        <w:ind w:left="2472" w:hanging="360"/>
      </w:pPr>
      <w:rPr>
        <w:rFonts w:ascii="Wingdings" w:hAnsi="Wingdings" w:hint="default"/>
      </w:rPr>
    </w:lvl>
    <w:lvl w:ilvl="3" w:tplc="0C090001" w:tentative="1">
      <w:start w:val="1"/>
      <w:numFmt w:val="bullet"/>
      <w:lvlText w:val=""/>
      <w:lvlJc w:val="left"/>
      <w:pPr>
        <w:ind w:left="3192" w:hanging="360"/>
      </w:pPr>
      <w:rPr>
        <w:rFonts w:ascii="Symbol" w:hAnsi="Symbol" w:hint="default"/>
      </w:rPr>
    </w:lvl>
    <w:lvl w:ilvl="4" w:tplc="0C090003" w:tentative="1">
      <w:start w:val="1"/>
      <w:numFmt w:val="bullet"/>
      <w:lvlText w:val="o"/>
      <w:lvlJc w:val="left"/>
      <w:pPr>
        <w:ind w:left="3912" w:hanging="360"/>
      </w:pPr>
      <w:rPr>
        <w:rFonts w:ascii="Courier New" w:hAnsi="Courier New" w:cs="Courier New" w:hint="default"/>
      </w:rPr>
    </w:lvl>
    <w:lvl w:ilvl="5" w:tplc="0C090005" w:tentative="1">
      <w:start w:val="1"/>
      <w:numFmt w:val="bullet"/>
      <w:lvlText w:val=""/>
      <w:lvlJc w:val="left"/>
      <w:pPr>
        <w:ind w:left="4632" w:hanging="360"/>
      </w:pPr>
      <w:rPr>
        <w:rFonts w:ascii="Wingdings" w:hAnsi="Wingdings" w:hint="default"/>
      </w:rPr>
    </w:lvl>
    <w:lvl w:ilvl="6" w:tplc="0C090001" w:tentative="1">
      <w:start w:val="1"/>
      <w:numFmt w:val="bullet"/>
      <w:lvlText w:val=""/>
      <w:lvlJc w:val="left"/>
      <w:pPr>
        <w:ind w:left="5352" w:hanging="360"/>
      </w:pPr>
      <w:rPr>
        <w:rFonts w:ascii="Symbol" w:hAnsi="Symbol" w:hint="default"/>
      </w:rPr>
    </w:lvl>
    <w:lvl w:ilvl="7" w:tplc="0C090003" w:tentative="1">
      <w:start w:val="1"/>
      <w:numFmt w:val="bullet"/>
      <w:lvlText w:val="o"/>
      <w:lvlJc w:val="left"/>
      <w:pPr>
        <w:ind w:left="6072" w:hanging="360"/>
      </w:pPr>
      <w:rPr>
        <w:rFonts w:ascii="Courier New" w:hAnsi="Courier New" w:cs="Courier New" w:hint="default"/>
      </w:rPr>
    </w:lvl>
    <w:lvl w:ilvl="8" w:tplc="0C090005" w:tentative="1">
      <w:start w:val="1"/>
      <w:numFmt w:val="bullet"/>
      <w:lvlText w:val=""/>
      <w:lvlJc w:val="left"/>
      <w:pPr>
        <w:ind w:left="6792" w:hanging="360"/>
      </w:pPr>
      <w:rPr>
        <w:rFonts w:ascii="Wingdings" w:hAnsi="Wingdings" w:hint="default"/>
      </w:rPr>
    </w:lvl>
  </w:abstractNum>
  <w:abstractNum w:abstractNumId="75" w15:restartNumberingAfterBreak="0">
    <w:nsid w:val="7E030DAE"/>
    <w:multiLevelType w:val="multilevel"/>
    <w:tmpl w:val="0C09001D"/>
    <w:name w:val="MyNumbering"/>
    <w:lvl w:ilvl="0">
      <w:start w:val="1"/>
      <w:numFmt w:val="decimal"/>
      <w:lvlText w:val="%1)"/>
      <w:lvlJc w:val="left"/>
      <w:pPr>
        <w:ind w:left="1779" w:hanging="360"/>
      </w:pPr>
      <w:rPr>
        <w:rFonts w:hint="default"/>
        <w:b w:val="0"/>
        <w:i w:val="0"/>
        <w:color w:val="auto"/>
        <w:sz w:val="22"/>
      </w:rPr>
    </w:lvl>
    <w:lvl w:ilvl="1">
      <w:start w:val="1"/>
      <w:numFmt w:val="lowerLetter"/>
      <w:lvlText w:val="%2)"/>
      <w:lvlJc w:val="left"/>
      <w:pPr>
        <w:ind w:left="2139" w:hanging="360"/>
      </w:pPr>
      <w:rPr>
        <w:rFonts w:hint="default"/>
        <w:b w:val="0"/>
        <w:i w:val="0"/>
        <w:color w:val="auto"/>
        <w:sz w:val="22"/>
      </w:rPr>
    </w:lvl>
    <w:lvl w:ilvl="2">
      <w:start w:val="1"/>
      <w:numFmt w:val="lowerRoman"/>
      <w:lvlText w:val="%3)"/>
      <w:lvlJc w:val="left"/>
      <w:pPr>
        <w:ind w:left="2499" w:hanging="360"/>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2859" w:hanging="360"/>
      </w:pPr>
      <w:rPr>
        <w:rFonts w:hint="default"/>
        <w:b w:val="0"/>
        <w:i w:val="0"/>
        <w:color w:val="auto"/>
      </w:rPr>
    </w:lvl>
    <w:lvl w:ilvl="4">
      <w:start w:val="1"/>
      <w:numFmt w:val="lowerLetter"/>
      <w:lvlText w:val="(%5)"/>
      <w:lvlJc w:val="left"/>
      <w:pPr>
        <w:ind w:left="3219" w:hanging="360"/>
      </w:pPr>
      <w:rPr>
        <w:rFonts w:hint="default"/>
        <w:b w:val="0"/>
        <w:i w:val="0"/>
        <w:color w:val="auto"/>
      </w:rPr>
    </w:lvl>
    <w:lvl w:ilvl="5">
      <w:start w:val="1"/>
      <w:numFmt w:val="lowerRoman"/>
      <w:lvlText w:val="(%6)"/>
      <w:lvlJc w:val="left"/>
      <w:pPr>
        <w:ind w:left="3579" w:hanging="360"/>
      </w:pPr>
      <w:rPr>
        <w:rFonts w:hint="default"/>
      </w:rPr>
    </w:lvl>
    <w:lvl w:ilvl="6">
      <w:start w:val="1"/>
      <w:numFmt w:val="decimal"/>
      <w:lvlText w:val="%7."/>
      <w:lvlJc w:val="left"/>
      <w:pPr>
        <w:ind w:left="3939" w:hanging="360"/>
      </w:pPr>
      <w:rPr>
        <w:rFonts w:hint="default"/>
      </w:rPr>
    </w:lvl>
    <w:lvl w:ilvl="7">
      <w:start w:val="1"/>
      <w:numFmt w:val="lowerLetter"/>
      <w:lvlText w:val="%8."/>
      <w:lvlJc w:val="left"/>
      <w:pPr>
        <w:ind w:left="4299" w:hanging="360"/>
      </w:pPr>
      <w:rPr>
        <w:rFonts w:hint="default"/>
      </w:rPr>
    </w:lvl>
    <w:lvl w:ilvl="8">
      <w:start w:val="1"/>
      <w:numFmt w:val="lowerRoman"/>
      <w:lvlText w:val="%9."/>
      <w:lvlJc w:val="left"/>
      <w:pPr>
        <w:ind w:left="4659" w:hanging="360"/>
      </w:pPr>
      <w:rPr>
        <w:rFonts w:hint="default"/>
      </w:rPr>
    </w:lvl>
  </w:abstractNum>
  <w:abstractNum w:abstractNumId="76" w15:restartNumberingAfterBreak="0">
    <w:nsid w:val="7E2819EC"/>
    <w:multiLevelType w:val="multilevel"/>
    <w:tmpl w:val="1250F310"/>
    <w:lvl w:ilvl="0">
      <w:start w:val="1"/>
      <w:numFmt w:val="bullet"/>
      <w:pStyle w:val="AERbulletlistfirststyle"/>
      <w:lvlText w:val=""/>
      <w:lvlJc w:val="left"/>
      <w:pPr>
        <w:ind w:left="644"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7F4D08A5"/>
    <w:multiLevelType w:val="hybridMultilevel"/>
    <w:tmpl w:val="C0C48F3A"/>
    <w:name w:val="MyNumbering622482"/>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abstractNumId w:val="18"/>
  </w:num>
  <w:num w:numId="2">
    <w:abstractNumId w:val="3"/>
  </w:num>
  <w:num w:numId="3">
    <w:abstractNumId w:val="21"/>
  </w:num>
  <w:num w:numId="4">
    <w:abstractNumId w:val="47"/>
  </w:num>
  <w:num w:numId="5">
    <w:abstractNumId w:val="38"/>
  </w:num>
  <w:num w:numId="6">
    <w:abstractNumId w:val="19"/>
  </w:num>
  <w:num w:numId="7">
    <w:abstractNumId w:val="13"/>
  </w:num>
  <w:num w:numId="8">
    <w:abstractNumId w:val="14"/>
  </w:num>
  <w:num w:numId="9">
    <w:abstractNumId w:val="1"/>
  </w:num>
  <w:num w:numId="10">
    <w:abstractNumId w:val="30"/>
  </w:num>
  <w:num w:numId="11">
    <w:abstractNumId w:val="0"/>
  </w:num>
  <w:num w:numId="12">
    <w:abstractNumId w:val="72"/>
  </w:num>
  <w:num w:numId="13">
    <w:abstractNumId w:val="49"/>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7"/>
  </w:num>
  <w:num w:numId="16">
    <w:abstractNumId w:val="35"/>
  </w:num>
  <w:num w:numId="17">
    <w:abstractNumId w:val="15"/>
  </w:num>
  <w:num w:numId="18">
    <w:abstractNumId w:val="55"/>
  </w:num>
  <w:num w:numId="19">
    <w:abstractNumId w:val="6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0">
    <w:abstractNumId w:val="3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
    <w:abstractNumId w:val="2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2">
    <w:abstractNumId w:val="6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3">
    <w:abstractNumId w:val="5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4">
    <w:abstractNumId w:val="54"/>
  </w:num>
  <w:num w:numId="25">
    <w:abstractNumId w:val="54"/>
    <w:lvlOverride w:ilvl="0"/>
    <w:lvlOverride w:ilvl="1"/>
    <w:lvlOverride w:ilvl="2">
      <w:startOverride w:val="1"/>
    </w:lvlOverride>
    <w:lvlOverride w:ilvl="3"/>
    <w:lvlOverride w:ilvl="4"/>
    <w:lvlOverride w:ilvl="5"/>
    <w:lvlOverride w:ilvl="6"/>
    <w:lvlOverride w:ilvl="7"/>
    <w:lvlOverride w:ilvl="8"/>
  </w:num>
  <w:num w:numId="26">
    <w:abstractNumId w:val="52"/>
  </w:num>
  <w:num w:numId="27">
    <w:abstractNumId w:val="1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6"/>
  </w:num>
  <w:num w:numId="29">
    <w:abstractNumId w:val="9"/>
  </w:num>
  <w:num w:numId="30">
    <w:abstractNumId w:val="10"/>
  </w:num>
  <w:num w:numId="31">
    <w:abstractNumId w:val="39"/>
  </w:num>
  <w:num w:numId="32">
    <w:abstractNumId w:val="63"/>
  </w:num>
  <w:num w:numId="33">
    <w:abstractNumId w:val="59"/>
  </w:num>
  <w:num w:numId="34">
    <w:abstractNumId w:val="74"/>
  </w:num>
  <w:num w:numId="35">
    <w:abstractNumId w:val="23"/>
  </w:num>
  <w:num w:numId="36">
    <w:abstractNumId w:val="32"/>
  </w:num>
  <w:num w:numId="37">
    <w:abstractNumId w:val="27"/>
  </w:num>
  <w:num w:numId="38">
    <w:abstractNumId w:val="64"/>
  </w:num>
  <w:num w:numId="39">
    <w:abstractNumId w:val="68"/>
    <w:lvlOverride w:ilvl="0"/>
    <w:lvlOverride w:ilvl="1"/>
    <w:lvlOverride w:ilvl="2"/>
    <w:lvlOverride w:ilvl="3"/>
    <w:lvlOverride w:ilvl="4"/>
    <w:lvlOverride w:ilvl="5"/>
    <w:lvlOverride w:ilvl="6">
      <w:startOverride w:val="1"/>
    </w:lvlOverride>
    <w:lvlOverride w:ilvl="7">
      <w:startOverride w:val="1"/>
    </w:lvlOverride>
    <w:lvlOverride w:ilvl="8">
      <w:startOverride w:val="1"/>
    </w:lvlOverride>
  </w:num>
  <w:num w:numId="40">
    <w:abstractNumId w:val="71"/>
  </w:num>
  <w:num w:numId="41">
    <w:abstractNumId w:val="40"/>
  </w:num>
  <w:num w:numId="42">
    <w:abstractNumId w:val="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3">
    <w:abstractNumId w:val="58"/>
  </w:num>
  <w:num w:numId="44">
    <w:abstractNumId w:val="36"/>
  </w:num>
  <w:num w:numId="45">
    <w:abstractNumId w:val="44"/>
  </w:num>
  <w:num w:numId="46">
    <w:abstractNumId w:val="8"/>
  </w:num>
  <w:num w:numId="47">
    <w:abstractNumId w:val="12"/>
  </w:num>
  <w:num w:numId="48">
    <w:abstractNumId w:val="25"/>
  </w:num>
  <w:num w:numId="49">
    <w:abstractNumId w:val="53"/>
  </w:num>
  <w:num w:numId="50">
    <w:abstractNumId w:val="24"/>
  </w:num>
  <w:num w:numId="51">
    <w:abstractNumId w:val="41"/>
  </w:num>
  <w:num w:numId="52">
    <w:abstractNumId w:val="62"/>
  </w:num>
  <w:num w:numId="53">
    <w:abstractNumId w:val="34"/>
  </w:num>
  <w:num w:numId="54">
    <w:abstractNumId w:val="65"/>
  </w:num>
  <w:num w:numId="55">
    <w:abstractNumId w:val="66"/>
  </w:num>
  <w:num w:numId="5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
  </w:num>
  <w:num w:numId="58">
    <w:abstractNumId w:val="11"/>
  </w:num>
  <w:num w:numId="59">
    <w:abstractNumId w:val="4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Moves/>
  <w:doNotTrackFormatting/>
  <w:defaultTabStop w:val="720"/>
  <w:clickAndTypeStyle w:val="BodyText"/>
  <w:drawingGridHorizontalSpacing w:val="110"/>
  <w:displayHorizontalDrawingGridEvery w:val="2"/>
  <w:characterSpacingControl w:val="doNotCompress"/>
  <w:hdrShapeDefaults>
    <o:shapedefaults v:ext="edit" spidmax="8194"/>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OCID" w:val="74463412"/>
    <w:docVar w:name="VERSIONLABEL" w:val="1"/>
    <w:docVar w:name="xAppendixName" w:val="Appendix"/>
  </w:docVars>
  <w:rsids>
    <w:rsidRoot w:val="004C69F6"/>
    <w:rsid w:val="00000093"/>
    <w:rsid w:val="00000194"/>
    <w:rsid w:val="000002A6"/>
    <w:rsid w:val="0000032A"/>
    <w:rsid w:val="00000333"/>
    <w:rsid w:val="000004D0"/>
    <w:rsid w:val="000008B4"/>
    <w:rsid w:val="000009F2"/>
    <w:rsid w:val="00000E4C"/>
    <w:rsid w:val="00000F32"/>
    <w:rsid w:val="00001299"/>
    <w:rsid w:val="00001322"/>
    <w:rsid w:val="00001337"/>
    <w:rsid w:val="00001DFB"/>
    <w:rsid w:val="000025DD"/>
    <w:rsid w:val="0000290E"/>
    <w:rsid w:val="00002B57"/>
    <w:rsid w:val="00002B88"/>
    <w:rsid w:val="000035F6"/>
    <w:rsid w:val="0000375D"/>
    <w:rsid w:val="000037E4"/>
    <w:rsid w:val="0000382F"/>
    <w:rsid w:val="000038C7"/>
    <w:rsid w:val="00003BB9"/>
    <w:rsid w:val="000041A0"/>
    <w:rsid w:val="00004219"/>
    <w:rsid w:val="00004810"/>
    <w:rsid w:val="000048BA"/>
    <w:rsid w:val="0000493E"/>
    <w:rsid w:val="00004A68"/>
    <w:rsid w:val="000056D2"/>
    <w:rsid w:val="000057E4"/>
    <w:rsid w:val="0000598E"/>
    <w:rsid w:val="00005A5C"/>
    <w:rsid w:val="00006028"/>
    <w:rsid w:val="0000637A"/>
    <w:rsid w:val="000063C4"/>
    <w:rsid w:val="000064DC"/>
    <w:rsid w:val="0000650B"/>
    <w:rsid w:val="000068B5"/>
    <w:rsid w:val="00006915"/>
    <w:rsid w:val="00006DD3"/>
    <w:rsid w:val="00006F30"/>
    <w:rsid w:val="00006F35"/>
    <w:rsid w:val="00006FEA"/>
    <w:rsid w:val="00007007"/>
    <w:rsid w:val="0000712D"/>
    <w:rsid w:val="0001007D"/>
    <w:rsid w:val="000105A9"/>
    <w:rsid w:val="00010618"/>
    <w:rsid w:val="00010AE5"/>
    <w:rsid w:val="000111EC"/>
    <w:rsid w:val="00011772"/>
    <w:rsid w:val="00011D8F"/>
    <w:rsid w:val="00011DC3"/>
    <w:rsid w:val="00011DFA"/>
    <w:rsid w:val="00011F39"/>
    <w:rsid w:val="0001201E"/>
    <w:rsid w:val="00012054"/>
    <w:rsid w:val="00012371"/>
    <w:rsid w:val="000124D1"/>
    <w:rsid w:val="000125A5"/>
    <w:rsid w:val="000126A8"/>
    <w:rsid w:val="00012A82"/>
    <w:rsid w:val="00012E22"/>
    <w:rsid w:val="00012FB5"/>
    <w:rsid w:val="00013465"/>
    <w:rsid w:val="00013490"/>
    <w:rsid w:val="00013597"/>
    <w:rsid w:val="000136C0"/>
    <w:rsid w:val="00013700"/>
    <w:rsid w:val="00013985"/>
    <w:rsid w:val="00013D78"/>
    <w:rsid w:val="00013FB3"/>
    <w:rsid w:val="00014071"/>
    <w:rsid w:val="000140CE"/>
    <w:rsid w:val="00014383"/>
    <w:rsid w:val="00014393"/>
    <w:rsid w:val="000144D3"/>
    <w:rsid w:val="00014D37"/>
    <w:rsid w:val="00014E45"/>
    <w:rsid w:val="00015643"/>
    <w:rsid w:val="00015650"/>
    <w:rsid w:val="00015808"/>
    <w:rsid w:val="00015B11"/>
    <w:rsid w:val="00015CD4"/>
    <w:rsid w:val="00015F5F"/>
    <w:rsid w:val="0001614C"/>
    <w:rsid w:val="0001645A"/>
    <w:rsid w:val="00016821"/>
    <w:rsid w:val="00016CA2"/>
    <w:rsid w:val="0001718D"/>
    <w:rsid w:val="000171D8"/>
    <w:rsid w:val="000173A1"/>
    <w:rsid w:val="00017BB7"/>
    <w:rsid w:val="00017E18"/>
    <w:rsid w:val="00020425"/>
    <w:rsid w:val="000204F6"/>
    <w:rsid w:val="00020547"/>
    <w:rsid w:val="000205FF"/>
    <w:rsid w:val="00020A68"/>
    <w:rsid w:val="00020DF5"/>
    <w:rsid w:val="00020F11"/>
    <w:rsid w:val="00021334"/>
    <w:rsid w:val="00021F13"/>
    <w:rsid w:val="000220F8"/>
    <w:rsid w:val="000221B9"/>
    <w:rsid w:val="00022949"/>
    <w:rsid w:val="00022B6D"/>
    <w:rsid w:val="00022C5C"/>
    <w:rsid w:val="0002318A"/>
    <w:rsid w:val="00023518"/>
    <w:rsid w:val="00023619"/>
    <w:rsid w:val="0002371F"/>
    <w:rsid w:val="000237DE"/>
    <w:rsid w:val="0002390D"/>
    <w:rsid w:val="00023F61"/>
    <w:rsid w:val="00024007"/>
    <w:rsid w:val="0002441E"/>
    <w:rsid w:val="00024931"/>
    <w:rsid w:val="000249ED"/>
    <w:rsid w:val="00024E14"/>
    <w:rsid w:val="00024E5F"/>
    <w:rsid w:val="00024FBE"/>
    <w:rsid w:val="00025052"/>
    <w:rsid w:val="00025104"/>
    <w:rsid w:val="00025161"/>
    <w:rsid w:val="000252F6"/>
    <w:rsid w:val="00025B47"/>
    <w:rsid w:val="0002642C"/>
    <w:rsid w:val="0002668E"/>
    <w:rsid w:val="000266BB"/>
    <w:rsid w:val="00026A77"/>
    <w:rsid w:val="00026A90"/>
    <w:rsid w:val="00026ED5"/>
    <w:rsid w:val="00027203"/>
    <w:rsid w:val="000274B3"/>
    <w:rsid w:val="00027800"/>
    <w:rsid w:val="00027ADC"/>
    <w:rsid w:val="00027BC7"/>
    <w:rsid w:val="00027C6C"/>
    <w:rsid w:val="000301B7"/>
    <w:rsid w:val="00030283"/>
    <w:rsid w:val="00030349"/>
    <w:rsid w:val="00030444"/>
    <w:rsid w:val="0003062F"/>
    <w:rsid w:val="0003079E"/>
    <w:rsid w:val="00030986"/>
    <w:rsid w:val="00030EA5"/>
    <w:rsid w:val="000313B0"/>
    <w:rsid w:val="00031503"/>
    <w:rsid w:val="00031832"/>
    <w:rsid w:val="000318C7"/>
    <w:rsid w:val="0003204A"/>
    <w:rsid w:val="00032A32"/>
    <w:rsid w:val="00032BF3"/>
    <w:rsid w:val="00032E8F"/>
    <w:rsid w:val="00033625"/>
    <w:rsid w:val="00033715"/>
    <w:rsid w:val="00033746"/>
    <w:rsid w:val="00033C30"/>
    <w:rsid w:val="000343D3"/>
    <w:rsid w:val="0003487B"/>
    <w:rsid w:val="0003511B"/>
    <w:rsid w:val="0003553E"/>
    <w:rsid w:val="00035A63"/>
    <w:rsid w:val="00035A66"/>
    <w:rsid w:val="00035AD2"/>
    <w:rsid w:val="000362CA"/>
    <w:rsid w:val="00036BCF"/>
    <w:rsid w:val="00036D45"/>
    <w:rsid w:val="00036F9E"/>
    <w:rsid w:val="00037286"/>
    <w:rsid w:val="000372FF"/>
    <w:rsid w:val="000374E9"/>
    <w:rsid w:val="00037E7C"/>
    <w:rsid w:val="00040011"/>
    <w:rsid w:val="0004035B"/>
    <w:rsid w:val="0004046E"/>
    <w:rsid w:val="0004048B"/>
    <w:rsid w:val="00040D3F"/>
    <w:rsid w:val="00040FD1"/>
    <w:rsid w:val="00041189"/>
    <w:rsid w:val="00041613"/>
    <w:rsid w:val="00041B06"/>
    <w:rsid w:val="00041B0D"/>
    <w:rsid w:val="00041CE0"/>
    <w:rsid w:val="00041CE8"/>
    <w:rsid w:val="00041D53"/>
    <w:rsid w:val="00041DF8"/>
    <w:rsid w:val="00041E91"/>
    <w:rsid w:val="00042C9F"/>
    <w:rsid w:val="00042CAF"/>
    <w:rsid w:val="0004310E"/>
    <w:rsid w:val="000431D6"/>
    <w:rsid w:val="00043AAF"/>
    <w:rsid w:val="00043B16"/>
    <w:rsid w:val="00043B69"/>
    <w:rsid w:val="00043CF2"/>
    <w:rsid w:val="0004454F"/>
    <w:rsid w:val="00044734"/>
    <w:rsid w:val="00044F8F"/>
    <w:rsid w:val="00044FDB"/>
    <w:rsid w:val="00045471"/>
    <w:rsid w:val="00045A2E"/>
    <w:rsid w:val="00045D96"/>
    <w:rsid w:val="00045F34"/>
    <w:rsid w:val="00046146"/>
    <w:rsid w:val="0004636E"/>
    <w:rsid w:val="00046BDE"/>
    <w:rsid w:val="0004736D"/>
    <w:rsid w:val="0004747E"/>
    <w:rsid w:val="00047A4F"/>
    <w:rsid w:val="00047C91"/>
    <w:rsid w:val="00047DAB"/>
    <w:rsid w:val="00050713"/>
    <w:rsid w:val="00050D65"/>
    <w:rsid w:val="0005109B"/>
    <w:rsid w:val="000510BB"/>
    <w:rsid w:val="00051B20"/>
    <w:rsid w:val="00051CAD"/>
    <w:rsid w:val="00051D5C"/>
    <w:rsid w:val="00051F2B"/>
    <w:rsid w:val="00052382"/>
    <w:rsid w:val="00052454"/>
    <w:rsid w:val="0005252A"/>
    <w:rsid w:val="00052756"/>
    <w:rsid w:val="0005283A"/>
    <w:rsid w:val="00052A4B"/>
    <w:rsid w:val="00052C84"/>
    <w:rsid w:val="00053529"/>
    <w:rsid w:val="000539FE"/>
    <w:rsid w:val="00053A10"/>
    <w:rsid w:val="00053E80"/>
    <w:rsid w:val="00053EB7"/>
    <w:rsid w:val="000540B4"/>
    <w:rsid w:val="00054315"/>
    <w:rsid w:val="000548CD"/>
    <w:rsid w:val="000550E8"/>
    <w:rsid w:val="000555F9"/>
    <w:rsid w:val="00055A15"/>
    <w:rsid w:val="00055FA7"/>
    <w:rsid w:val="00056069"/>
    <w:rsid w:val="00056406"/>
    <w:rsid w:val="00056D42"/>
    <w:rsid w:val="0005705F"/>
    <w:rsid w:val="00057226"/>
    <w:rsid w:val="000572B4"/>
    <w:rsid w:val="00057416"/>
    <w:rsid w:val="000574CC"/>
    <w:rsid w:val="00057661"/>
    <w:rsid w:val="00057ACD"/>
    <w:rsid w:val="00057E37"/>
    <w:rsid w:val="0006019A"/>
    <w:rsid w:val="000603F0"/>
    <w:rsid w:val="0006053E"/>
    <w:rsid w:val="000605C8"/>
    <w:rsid w:val="000608FB"/>
    <w:rsid w:val="00060B55"/>
    <w:rsid w:val="00060B9F"/>
    <w:rsid w:val="00060E74"/>
    <w:rsid w:val="000612A4"/>
    <w:rsid w:val="00061733"/>
    <w:rsid w:val="000618EC"/>
    <w:rsid w:val="00061E0A"/>
    <w:rsid w:val="00061FE1"/>
    <w:rsid w:val="0006283C"/>
    <w:rsid w:val="00062F76"/>
    <w:rsid w:val="0006321C"/>
    <w:rsid w:val="00063288"/>
    <w:rsid w:val="000634B5"/>
    <w:rsid w:val="000635DA"/>
    <w:rsid w:val="0006386D"/>
    <w:rsid w:val="000638D8"/>
    <w:rsid w:val="00063CB1"/>
    <w:rsid w:val="000642D2"/>
    <w:rsid w:val="000643B2"/>
    <w:rsid w:val="000650A0"/>
    <w:rsid w:val="0006555C"/>
    <w:rsid w:val="00065893"/>
    <w:rsid w:val="0006590D"/>
    <w:rsid w:val="00065B1F"/>
    <w:rsid w:val="00065CDA"/>
    <w:rsid w:val="00065CFC"/>
    <w:rsid w:val="00065D1B"/>
    <w:rsid w:val="00065E93"/>
    <w:rsid w:val="00066037"/>
    <w:rsid w:val="000662EE"/>
    <w:rsid w:val="00066597"/>
    <w:rsid w:val="000665B5"/>
    <w:rsid w:val="00066710"/>
    <w:rsid w:val="00066A4B"/>
    <w:rsid w:val="00066A4F"/>
    <w:rsid w:val="00066CEB"/>
    <w:rsid w:val="00067217"/>
    <w:rsid w:val="000679A1"/>
    <w:rsid w:val="00067A55"/>
    <w:rsid w:val="00067B17"/>
    <w:rsid w:val="00067F43"/>
    <w:rsid w:val="00070500"/>
    <w:rsid w:val="00070897"/>
    <w:rsid w:val="000709D4"/>
    <w:rsid w:val="00070F1F"/>
    <w:rsid w:val="00070F27"/>
    <w:rsid w:val="00071464"/>
    <w:rsid w:val="000716B5"/>
    <w:rsid w:val="00071915"/>
    <w:rsid w:val="00071A2F"/>
    <w:rsid w:val="00071F31"/>
    <w:rsid w:val="0007249C"/>
    <w:rsid w:val="00072A62"/>
    <w:rsid w:val="0007368F"/>
    <w:rsid w:val="000738AF"/>
    <w:rsid w:val="00073C88"/>
    <w:rsid w:val="00073DDA"/>
    <w:rsid w:val="000747C4"/>
    <w:rsid w:val="00074C02"/>
    <w:rsid w:val="00074D2B"/>
    <w:rsid w:val="00074E5F"/>
    <w:rsid w:val="00074EF6"/>
    <w:rsid w:val="0007575C"/>
    <w:rsid w:val="00075AB0"/>
    <w:rsid w:val="00075D68"/>
    <w:rsid w:val="000764DD"/>
    <w:rsid w:val="00076A72"/>
    <w:rsid w:val="00076A7D"/>
    <w:rsid w:val="00076ADB"/>
    <w:rsid w:val="00076CEC"/>
    <w:rsid w:val="000774B5"/>
    <w:rsid w:val="0007757A"/>
    <w:rsid w:val="00077599"/>
    <w:rsid w:val="000775D0"/>
    <w:rsid w:val="000779AF"/>
    <w:rsid w:val="00077CD3"/>
    <w:rsid w:val="00077EB2"/>
    <w:rsid w:val="00077F63"/>
    <w:rsid w:val="00080079"/>
    <w:rsid w:val="00080D30"/>
    <w:rsid w:val="00080E11"/>
    <w:rsid w:val="000814C0"/>
    <w:rsid w:val="00081C2B"/>
    <w:rsid w:val="00081E4E"/>
    <w:rsid w:val="00082082"/>
    <w:rsid w:val="00082139"/>
    <w:rsid w:val="00082339"/>
    <w:rsid w:val="00082CAC"/>
    <w:rsid w:val="00082CF7"/>
    <w:rsid w:val="0008309D"/>
    <w:rsid w:val="000831F0"/>
    <w:rsid w:val="0008332F"/>
    <w:rsid w:val="00084311"/>
    <w:rsid w:val="00084562"/>
    <w:rsid w:val="00084B10"/>
    <w:rsid w:val="00084BE8"/>
    <w:rsid w:val="00084DB5"/>
    <w:rsid w:val="00085311"/>
    <w:rsid w:val="00085314"/>
    <w:rsid w:val="00085393"/>
    <w:rsid w:val="000856C4"/>
    <w:rsid w:val="000857C7"/>
    <w:rsid w:val="00085844"/>
    <w:rsid w:val="00085D93"/>
    <w:rsid w:val="00086265"/>
    <w:rsid w:val="00086400"/>
    <w:rsid w:val="000867AE"/>
    <w:rsid w:val="00086C5B"/>
    <w:rsid w:val="00086E49"/>
    <w:rsid w:val="000874AC"/>
    <w:rsid w:val="00087826"/>
    <w:rsid w:val="00087A2D"/>
    <w:rsid w:val="00087AEE"/>
    <w:rsid w:val="00087F95"/>
    <w:rsid w:val="000900C6"/>
    <w:rsid w:val="000905D6"/>
    <w:rsid w:val="0009093C"/>
    <w:rsid w:val="0009097B"/>
    <w:rsid w:val="00090D68"/>
    <w:rsid w:val="00090D84"/>
    <w:rsid w:val="00090E5A"/>
    <w:rsid w:val="00090E6C"/>
    <w:rsid w:val="00090FD3"/>
    <w:rsid w:val="000911A7"/>
    <w:rsid w:val="0009129D"/>
    <w:rsid w:val="00091348"/>
    <w:rsid w:val="00091740"/>
    <w:rsid w:val="00091A31"/>
    <w:rsid w:val="00091B4A"/>
    <w:rsid w:val="00091D20"/>
    <w:rsid w:val="00091E67"/>
    <w:rsid w:val="00091F6F"/>
    <w:rsid w:val="00091FE2"/>
    <w:rsid w:val="00092080"/>
    <w:rsid w:val="00092C7D"/>
    <w:rsid w:val="00092EBC"/>
    <w:rsid w:val="000930B7"/>
    <w:rsid w:val="000933DB"/>
    <w:rsid w:val="0009364B"/>
    <w:rsid w:val="00093982"/>
    <w:rsid w:val="000939BA"/>
    <w:rsid w:val="00093AA9"/>
    <w:rsid w:val="00093AF5"/>
    <w:rsid w:val="00093F0B"/>
    <w:rsid w:val="00093F30"/>
    <w:rsid w:val="00094550"/>
    <w:rsid w:val="00094658"/>
    <w:rsid w:val="000948CB"/>
    <w:rsid w:val="000949A1"/>
    <w:rsid w:val="000949CD"/>
    <w:rsid w:val="00094AE6"/>
    <w:rsid w:val="00095314"/>
    <w:rsid w:val="000959F5"/>
    <w:rsid w:val="00095ED5"/>
    <w:rsid w:val="00096281"/>
    <w:rsid w:val="000964AD"/>
    <w:rsid w:val="000964E7"/>
    <w:rsid w:val="00096627"/>
    <w:rsid w:val="000968BE"/>
    <w:rsid w:val="000969DE"/>
    <w:rsid w:val="00096B63"/>
    <w:rsid w:val="00096CC9"/>
    <w:rsid w:val="00096E00"/>
    <w:rsid w:val="000977C2"/>
    <w:rsid w:val="00097DD0"/>
    <w:rsid w:val="00097EFC"/>
    <w:rsid w:val="00097FC2"/>
    <w:rsid w:val="000A0062"/>
    <w:rsid w:val="000A02ED"/>
    <w:rsid w:val="000A043A"/>
    <w:rsid w:val="000A04DF"/>
    <w:rsid w:val="000A0A17"/>
    <w:rsid w:val="000A0BDA"/>
    <w:rsid w:val="000A0CB5"/>
    <w:rsid w:val="000A0D39"/>
    <w:rsid w:val="000A115A"/>
    <w:rsid w:val="000A1328"/>
    <w:rsid w:val="000A16D5"/>
    <w:rsid w:val="000A17BD"/>
    <w:rsid w:val="000A1998"/>
    <w:rsid w:val="000A1A10"/>
    <w:rsid w:val="000A1A4F"/>
    <w:rsid w:val="000A1AFE"/>
    <w:rsid w:val="000A1B3B"/>
    <w:rsid w:val="000A1B54"/>
    <w:rsid w:val="000A1D36"/>
    <w:rsid w:val="000A1DFA"/>
    <w:rsid w:val="000A24D0"/>
    <w:rsid w:val="000A2A5F"/>
    <w:rsid w:val="000A2DB5"/>
    <w:rsid w:val="000A3069"/>
    <w:rsid w:val="000A3AF8"/>
    <w:rsid w:val="000A3B34"/>
    <w:rsid w:val="000A4208"/>
    <w:rsid w:val="000A43D8"/>
    <w:rsid w:val="000A4A7B"/>
    <w:rsid w:val="000A4C4A"/>
    <w:rsid w:val="000A4DDA"/>
    <w:rsid w:val="000A4EB8"/>
    <w:rsid w:val="000A4FD2"/>
    <w:rsid w:val="000A50F3"/>
    <w:rsid w:val="000A5350"/>
    <w:rsid w:val="000A561E"/>
    <w:rsid w:val="000A5BEC"/>
    <w:rsid w:val="000A5C7F"/>
    <w:rsid w:val="000A64D2"/>
    <w:rsid w:val="000A712A"/>
    <w:rsid w:val="000A7363"/>
    <w:rsid w:val="000A7592"/>
    <w:rsid w:val="000A7E9C"/>
    <w:rsid w:val="000B08AB"/>
    <w:rsid w:val="000B08DF"/>
    <w:rsid w:val="000B0A64"/>
    <w:rsid w:val="000B11BB"/>
    <w:rsid w:val="000B1200"/>
    <w:rsid w:val="000B150F"/>
    <w:rsid w:val="000B17A6"/>
    <w:rsid w:val="000B183F"/>
    <w:rsid w:val="000B19B2"/>
    <w:rsid w:val="000B2413"/>
    <w:rsid w:val="000B2455"/>
    <w:rsid w:val="000B26A4"/>
    <w:rsid w:val="000B2DAF"/>
    <w:rsid w:val="000B30E5"/>
    <w:rsid w:val="000B3476"/>
    <w:rsid w:val="000B35F1"/>
    <w:rsid w:val="000B36A7"/>
    <w:rsid w:val="000B39C8"/>
    <w:rsid w:val="000B3B9C"/>
    <w:rsid w:val="000B3BF6"/>
    <w:rsid w:val="000B41DD"/>
    <w:rsid w:val="000B4921"/>
    <w:rsid w:val="000B492A"/>
    <w:rsid w:val="000B49AE"/>
    <w:rsid w:val="000B4AC7"/>
    <w:rsid w:val="000B5313"/>
    <w:rsid w:val="000B5663"/>
    <w:rsid w:val="000B59CB"/>
    <w:rsid w:val="000B5A77"/>
    <w:rsid w:val="000B5B49"/>
    <w:rsid w:val="000B6475"/>
    <w:rsid w:val="000B65EE"/>
    <w:rsid w:val="000B6907"/>
    <w:rsid w:val="000B6C03"/>
    <w:rsid w:val="000B7039"/>
    <w:rsid w:val="000B7148"/>
    <w:rsid w:val="000B724D"/>
    <w:rsid w:val="000B7316"/>
    <w:rsid w:val="000B7633"/>
    <w:rsid w:val="000B76ED"/>
    <w:rsid w:val="000B7A66"/>
    <w:rsid w:val="000C036C"/>
    <w:rsid w:val="000C043D"/>
    <w:rsid w:val="000C051D"/>
    <w:rsid w:val="000C059C"/>
    <w:rsid w:val="000C095D"/>
    <w:rsid w:val="000C1608"/>
    <w:rsid w:val="000C269E"/>
    <w:rsid w:val="000C28DF"/>
    <w:rsid w:val="000C2BCB"/>
    <w:rsid w:val="000C321B"/>
    <w:rsid w:val="000C3390"/>
    <w:rsid w:val="000C351C"/>
    <w:rsid w:val="000C3AA0"/>
    <w:rsid w:val="000C3B23"/>
    <w:rsid w:val="000C3DB5"/>
    <w:rsid w:val="000C4716"/>
    <w:rsid w:val="000C4742"/>
    <w:rsid w:val="000C47FF"/>
    <w:rsid w:val="000C48E8"/>
    <w:rsid w:val="000C4CDF"/>
    <w:rsid w:val="000C4ED6"/>
    <w:rsid w:val="000C5015"/>
    <w:rsid w:val="000C52BE"/>
    <w:rsid w:val="000C53E2"/>
    <w:rsid w:val="000C5778"/>
    <w:rsid w:val="000C5945"/>
    <w:rsid w:val="000C5BA9"/>
    <w:rsid w:val="000C5D03"/>
    <w:rsid w:val="000C5D50"/>
    <w:rsid w:val="000C5E54"/>
    <w:rsid w:val="000C6245"/>
    <w:rsid w:val="000C6822"/>
    <w:rsid w:val="000C68E3"/>
    <w:rsid w:val="000C6D90"/>
    <w:rsid w:val="000C70ED"/>
    <w:rsid w:val="000C715C"/>
    <w:rsid w:val="000C76B8"/>
    <w:rsid w:val="000C7BB4"/>
    <w:rsid w:val="000C7DD3"/>
    <w:rsid w:val="000C7E24"/>
    <w:rsid w:val="000C7F89"/>
    <w:rsid w:val="000D01DB"/>
    <w:rsid w:val="000D024E"/>
    <w:rsid w:val="000D0EDE"/>
    <w:rsid w:val="000D1689"/>
    <w:rsid w:val="000D16E1"/>
    <w:rsid w:val="000D16F1"/>
    <w:rsid w:val="000D1904"/>
    <w:rsid w:val="000D198B"/>
    <w:rsid w:val="000D1DA0"/>
    <w:rsid w:val="000D1F43"/>
    <w:rsid w:val="000D1FCA"/>
    <w:rsid w:val="000D2354"/>
    <w:rsid w:val="000D2F7A"/>
    <w:rsid w:val="000D3325"/>
    <w:rsid w:val="000D36FC"/>
    <w:rsid w:val="000D3758"/>
    <w:rsid w:val="000D3794"/>
    <w:rsid w:val="000D3881"/>
    <w:rsid w:val="000D38A0"/>
    <w:rsid w:val="000D38C3"/>
    <w:rsid w:val="000D3AAE"/>
    <w:rsid w:val="000D3E4A"/>
    <w:rsid w:val="000D3E7D"/>
    <w:rsid w:val="000D4049"/>
    <w:rsid w:val="000D41AE"/>
    <w:rsid w:val="000D420A"/>
    <w:rsid w:val="000D43CC"/>
    <w:rsid w:val="000D4614"/>
    <w:rsid w:val="000D4681"/>
    <w:rsid w:val="000D46FA"/>
    <w:rsid w:val="000D488B"/>
    <w:rsid w:val="000D48A9"/>
    <w:rsid w:val="000D4C72"/>
    <w:rsid w:val="000D5206"/>
    <w:rsid w:val="000D587A"/>
    <w:rsid w:val="000D5967"/>
    <w:rsid w:val="000D5A13"/>
    <w:rsid w:val="000D5E74"/>
    <w:rsid w:val="000D5FA7"/>
    <w:rsid w:val="000D60E9"/>
    <w:rsid w:val="000D66AF"/>
    <w:rsid w:val="000D69B1"/>
    <w:rsid w:val="000D6A61"/>
    <w:rsid w:val="000D6AF6"/>
    <w:rsid w:val="000D6BAD"/>
    <w:rsid w:val="000D6BFE"/>
    <w:rsid w:val="000D6E50"/>
    <w:rsid w:val="000D6EB4"/>
    <w:rsid w:val="000D7132"/>
    <w:rsid w:val="000D71B2"/>
    <w:rsid w:val="000D73BF"/>
    <w:rsid w:val="000D73CA"/>
    <w:rsid w:val="000D77A2"/>
    <w:rsid w:val="000D77B1"/>
    <w:rsid w:val="000D797F"/>
    <w:rsid w:val="000D7DC1"/>
    <w:rsid w:val="000D7E34"/>
    <w:rsid w:val="000E0023"/>
    <w:rsid w:val="000E0068"/>
    <w:rsid w:val="000E0775"/>
    <w:rsid w:val="000E0F37"/>
    <w:rsid w:val="000E1102"/>
    <w:rsid w:val="000E1187"/>
    <w:rsid w:val="000E133B"/>
    <w:rsid w:val="000E1490"/>
    <w:rsid w:val="000E1770"/>
    <w:rsid w:val="000E1A47"/>
    <w:rsid w:val="000E21F5"/>
    <w:rsid w:val="000E2819"/>
    <w:rsid w:val="000E2E35"/>
    <w:rsid w:val="000E2F22"/>
    <w:rsid w:val="000E326D"/>
    <w:rsid w:val="000E32D8"/>
    <w:rsid w:val="000E3518"/>
    <w:rsid w:val="000E3781"/>
    <w:rsid w:val="000E3A3C"/>
    <w:rsid w:val="000E3B79"/>
    <w:rsid w:val="000E3C49"/>
    <w:rsid w:val="000E4043"/>
    <w:rsid w:val="000E43D2"/>
    <w:rsid w:val="000E4843"/>
    <w:rsid w:val="000E4B5B"/>
    <w:rsid w:val="000E4C86"/>
    <w:rsid w:val="000E4FBD"/>
    <w:rsid w:val="000E5431"/>
    <w:rsid w:val="000E5885"/>
    <w:rsid w:val="000E5A00"/>
    <w:rsid w:val="000E5A52"/>
    <w:rsid w:val="000E5B26"/>
    <w:rsid w:val="000E5F5E"/>
    <w:rsid w:val="000E60DA"/>
    <w:rsid w:val="000E64A9"/>
    <w:rsid w:val="000E6504"/>
    <w:rsid w:val="000E660B"/>
    <w:rsid w:val="000E6B5A"/>
    <w:rsid w:val="000E6DF0"/>
    <w:rsid w:val="000E72D4"/>
    <w:rsid w:val="000E76D9"/>
    <w:rsid w:val="000E7836"/>
    <w:rsid w:val="000E7BC0"/>
    <w:rsid w:val="000F0070"/>
    <w:rsid w:val="000F0B18"/>
    <w:rsid w:val="000F0DAC"/>
    <w:rsid w:val="000F0DE2"/>
    <w:rsid w:val="000F0F4B"/>
    <w:rsid w:val="000F0FCE"/>
    <w:rsid w:val="000F1017"/>
    <w:rsid w:val="000F1378"/>
    <w:rsid w:val="000F13E5"/>
    <w:rsid w:val="000F15C6"/>
    <w:rsid w:val="000F17A2"/>
    <w:rsid w:val="000F17C0"/>
    <w:rsid w:val="000F1B74"/>
    <w:rsid w:val="000F2162"/>
    <w:rsid w:val="000F2FB7"/>
    <w:rsid w:val="000F3362"/>
    <w:rsid w:val="000F3984"/>
    <w:rsid w:val="000F470E"/>
    <w:rsid w:val="000F47F5"/>
    <w:rsid w:val="000F4910"/>
    <w:rsid w:val="000F4BCB"/>
    <w:rsid w:val="000F4CD8"/>
    <w:rsid w:val="000F4D26"/>
    <w:rsid w:val="000F500A"/>
    <w:rsid w:val="000F5351"/>
    <w:rsid w:val="000F54E3"/>
    <w:rsid w:val="000F586F"/>
    <w:rsid w:val="000F59FB"/>
    <w:rsid w:val="000F5E55"/>
    <w:rsid w:val="000F5EA7"/>
    <w:rsid w:val="000F5ED3"/>
    <w:rsid w:val="000F62C7"/>
    <w:rsid w:val="000F631C"/>
    <w:rsid w:val="000F6433"/>
    <w:rsid w:val="000F656F"/>
    <w:rsid w:val="000F68BD"/>
    <w:rsid w:val="000F6995"/>
    <w:rsid w:val="000F6A89"/>
    <w:rsid w:val="000F6B0F"/>
    <w:rsid w:val="000F6CDF"/>
    <w:rsid w:val="000F6F60"/>
    <w:rsid w:val="000F6F9C"/>
    <w:rsid w:val="000F7132"/>
    <w:rsid w:val="000F7430"/>
    <w:rsid w:val="000F7466"/>
    <w:rsid w:val="000F7619"/>
    <w:rsid w:val="000F795B"/>
    <w:rsid w:val="000F7B02"/>
    <w:rsid w:val="0010017E"/>
    <w:rsid w:val="00100479"/>
    <w:rsid w:val="00100503"/>
    <w:rsid w:val="00100C78"/>
    <w:rsid w:val="00101196"/>
    <w:rsid w:val="001011C4"/>
    <w:rsid w:val="00101883"/>
    <w:rsid w:val="00101999"/>
    <w:rsid w:val="00101B1A"/>
    <w:rsid w:val="00101EBF"/>
    <w:rsid w:val="001022DC"/>
    <w:rsid w:val="001028D6"/>
    <w:rsid w:val="001028F6"/>
    <w:rsid w:val="0010299D"/>
    <w:rsid w:val="00102A89"/>
    <w:rsid w:val="00102BD9"/>
    <w:rsid w:val="00103077"/>
    <w:rsid w:val="00103449"/>
    <w:rsid w:val="0010353F"/>
    <w:rsid w:val="00103624"/>
    <w:rsid w:val="001036B1"/>
    <w:rsid w:val="00103964"/>
    <w:rsid w:val="00103B3A"/>
    <w:rsid w:val="00104207"/>
    <w:rsid w:val="001042E1"/>
    <w:rsid w:val="001044FD"/>
    <w:rsid w:val="001046AD"/>
    <w:rsid w:val="00104D91"/>
    <w:rsid w:val="00104E03"/>
    <w:rsid w:val="00105AB9"/>
    <w:rsid w:val="00105C04"/>
    <w:rsid w:val="001065C1"/>
    <w:rsid w:val="001067B2"/>
    <w:rsid w:val="00106AC4"/>
    <w:rsid w:val="001075A2"/>
    <w:rsid w:val="0010766D"/>
    <w:rsid w:val="001078D4"/>
    <w:rsid w:val="00107E15"/>
    <w:rsid w:val="00107EE2"/>
    <w:rsid w:val="00107F40"/>
    <w:rsid w:val="0011000B"/>
    <w:rsid w:val="0011001D"/>
    <w:rsid w:val="0011020C"/>
    <w:rsid w:val="00110556"/>
    <w:rsid w:val="00110760"/>
    <w:rsid w:val="0011087C"/>
    <w:rsid w:val="001109A0"/>
    <w:rsid w:val="00110A83"/>
    <w:rsid w:val="00110C68"/>
    <w:rsid w:val="0011134C"/>
    <w:rsid w:val="001119FB"/>
    <w:rsid w:val="00111BE5"/>
    <w:rsid w:val="00111F39"/>
    <w:rsid w:val="0011219A"/>
    <w:rsid w:val="001122BF"/>
    <w:rsid w:val="00112A71"/>
    <w:rsid w:val="00112B57"/>
    <w:rsid w:val="00112E1B"/>
    <w:rsid w:val="001136AD"/>
    <w:rsid w:val="0011371C"/>
    <w:rsid w:val="0011378C"/>
    <w:rsid w:val="00113A24"/>
    <w:rsid w:val="00113B7E"/>
    <w:rsid w:val="00113DAC"/>
    <w:rsid w:val="00113E78"/>
    <w:rsid w:val="00114078"/>
    <w:rsid w:val="0011427B"/>
    <w:rsid w:val="00114377"/>
    <w:rsid w:val="001143DC"/>
    <w:rsid w:val="001143E2"/>
    <w:rsid w:val="001144A5"/>
    <w:rsid w:val="0011472C"/>
    <w:rsid w:val="00114FB1"/>
    <w:rsid w:val="00115181"/>
    <w:rsid w:val="00115C53"/>
    <w:rsid w:val="00115DA7"/>
    <w:rsid w:val="00115DD5"/>
    <w:rsid w:val="00116264"/>
    <w:rsid w:val="001162AF"/>
    <w:rsid w:val="00116654"/>
    <w:rsid w:val="00116683"/>
    <w:rsid w:val="00116735"/>
    <w:rsid w:val="00116B5E"/>
    <w:rsid w:val="00116D15"/>
    <w:rsid w:val="00116D89"/>
    <w:rsid w:val="00116F09"/>
    <w:rsid w:val="00117063"/>
    <w:rsid w:val="00117076"/>
    <w:rsid w:val="0011756B"/>
    <w:rsid w:val="00117629"/>
    <w:rsid w:val="001176AC"/>
    <w:rsid w:val="00117709"/>
    <w:rsid w:val="0011772E"/>
    <w:rsid w:val="00117C80"/>
    <w:rsid w:val="00117E0D"/>
    <w:rsid w:val="00117F39"/>
    <w:rsid w:val="00117F97"/>
    <w:rsid w:val="00120009"/>
    <w:rsid w:val="0012003C"/>
    <w:rsid w:val="001202E2"/>
    <w:rsid w:val="001206DB"/>
    <w:rsid w:val="00120706"/>
    <w:rsid w:val="00120FD8"/>
    <w:rsid w:val="001210FB"/>
    <w:rsid w:val="00121126"/>
    <w:rsid w:val="001211ED"/>
    <w:rsid w:val="001213FB"/>
    <w:rsid w:val="00121691"/>
    <w:rsid w:val="001217F5"/>
    <w:rsid w:val="001225B3"/>
    <w:rsid w:val="001227AB"/>
    <w:rsid w:val="00122958"/>
    <w:rsid w:val="00122EA0"/>
    <w:rsid w:val="001230A0"/>
    <w:rsid w:val="00123438"/>
    <w:rsid w:val="00123448"/>
    <w:rsid w:val="0012364F"/>
    <w:rsid w:val="0012390B"/>
    <w:rsid w:val="001239B9"/>
    <w:rsid w:val="001239D1"/>
    <w:rsid w:val="00123B35"/>
    <w:rsid w:val="00123D46"/>
    <w:rsid w:val="00124012"/>
    <w:rsid w:val="00124191"/>
    <w:rsid w:val="001244B0"/>
    <w:rsid w:val="001248A6"/>
    <w:rsid w:val="00124CCE"/>
    <w:rsid w:val="00124D6D"/>
    <w:rsid w:val="00124EB5"/>
    <w:rsid w:val="00124F9D"/>
    <w:rsid w:val="001250A3"/>
    <w:rsid w:val="0012540B"/>
    <w:rsid w:val="001255AA"/>
    <w:rsid w:val="001256E6"/>
    <w:rsid w:val="001259E9"/>
    <w:rsid w:val="00125D09"/>
    <w:rsid w:val="00125DB7"/>
    <w:rsid w:val="00125E30"/>
    <w:rsid w:val="00126B1B"/>
    <w:rsid w:val="00126E13"/>
    <w:rsid w:val="00127572"/>
    <w:rsid w:val="00127B5C"/>
    <w:rsid w:val="00130034"/>
    <w:rsid w:val="0013024E"/>
    <w:rsid w:val="00130333"/>
    <w:rsid w:val="0013044E"/>
    <w:rsid w:val="00130493"/>
    <w:rsid w:val="00130909"/>
    <w:rsid w:val="00130BED"/>
    <w:rsid w:val="00130F9C"/>
    <w:rsid w:val="00131191"/>
    <w:rsid w:val="00131307"/>
    <w:rsid w:val="0013164E"/>
    <w:rsid w:val="00131794"/>
    <w:rsid w:val="00131967"/>
    <w:rsid w:val="00131BBA"/>
    <w:rsid w:val="00131C2E"/>
    <w:rsid w:val="00131C6A"/>
    <w:rsid w:val="001320DB"/>
    <w:rsid w:val="00132242"/>
    <w:rsid w:val="00132471"/>
    <w:rsid w:val="0013250D"/>
    <w:rsid w:val="0013272F"/>
    <w:rsid w:val="00132951"/>
    <w:rsid w:val="00133305"/>
    <w:rsid w:val="001333E8"/>
    <w:rsid w:val="00133412"/>
    <w:rsid w:val="00133CEB"/>
    <w:rsid w:val="00133DCB"/>
    <w:rsid w:val="0013418B"/>
    <w:rsid w:val="0013436A"/>
    <w:rsid w:val="001343F0"/>
    <w:rsid w:val="00134552"/>
    <w:rsid w:val="00134AE5"/>
    <w:rsid w:val="001353B0"/>
    <w:rsid w:val="00135442"/>
    <w:rsid w:val="001356BB"/>
    <w:rsid w:val="00135948"/>
    <w:rsid w:val="00135974"/>
    <w:rsid w:val="001361E0"/>
    <w:rsid w:val="00136372"/>
    <w:rsid w:val="00136465"/>
    <w:rsid w:val="00136750"/>
    <w:rsid w:val="0013752B"/>
    <w:rsid w:val="00137655"/>
    <w:rsid w:val="00137A08"/>
    <w:rsid w:val="00137A24"/>
    <w:rsid w:val="00137ACF"/>
    <w:rsid w:val="00137B45"/>
    <w:rsid w:val="00137DF0"/>
    <w:rsid w:val="00137EBF"/>
    <w:rsid w:val="00137FAA"/>
    <w:rsid w:val="0014097B"/>
    <w:rsid w:val="001411AF"/>
    <w:rsid w:val="001415F2"/>
    <w:rsid w:val="001418C0"/>
    <w:rsid w:val="00141D23"/>
    <w:rsid w:val="00141D2C"/>
    <w:rsid w:val="00141E38"/>
    <w:rsid w:val="00141F83"/>
    <w:rsid w:val="00142221"/>
    <w:rsid w:val="00142351"/>
    <w:rsid w:val="00142468"/>
    <w:rsid w:val="00142B03"/>
    <w:rsid w:val="00143DE4"/>
    <w:rsid w:val="0014403A"/>
    <w:rsid w:val="0014439A"/>
    <w:rsid w:val="00144A90"/>
    <w:rsid w:val="00144DC8"/>
    <w:rsid w:val="00144EAA"/>
    <w:rsid w:val="00144F78"/>
    <w:rsid w:val="001451D5"/>
    <w:rsid w:val="00145982"/>
    <w:rsid w:val="00145D7D"/>
    <w:rsid w:val="00145E04"/>
    <w:rsid w:val="00146277"/>
    <w:rsid w:val="00146337"/>
    <w:rsid w:val="0014650E"/>
    <w:rsid w:val="0014667D"/>
    <w:rsid w:val="001466B3"/>
    <w:rsid w:val="0014693E"/>
    <w:rsid w:val="00146947"/>
    <w:rsid w:val="00146A3F"/>
    <w:rsid w:val="00146C33"/>
    <w:rsid w:val="00146C74"/>
    <w:rsid w:val="00146CA5"/>
    <w:rsid w:val="00146E56"/>
    <w:rsid w:val="0014701F"/>
    <w:rsid w:val="0014710F"/>
    <w:rsid w:val="0014722D"/>
    <w:rsid w:val="001475A7"/>
    <w:rsid w:val="00147BB6"/>
    <w:rsid w:val="00150164"/>
    <w:rsid w:val="00150368"/>
    <w:rsid w:val="0015048E"/>
    <w:rsid w:val="00150656"/>
    <w:rsid w:val="00150D9F"/>
    <w:rsid w:val="00151633"/>
    <w:rsid w:val="001516A1"/>
    <w:rsid w:val="001516EC"/>
    <w:rsid w:val="00151925"/>
    <w:rsid w:val="00151DA3"/>
    <w:rsid w:val="00152164"/>
    <w:rsid w:val="0015260C"/>
    <w:rsid w:val="00152A48"/>
    <w:rsid w:val="00153551"/>
    <w:rsid w:val="001536B2"/>
    <w:rsid w:val="00153B23"/>
    <w:rsid w:val="00153E1D"/>
    <w:rsid w:val="00153E2E"/>
    <w:rsid w:val="00154325"/>
    <w:rsid w:val="001544F7"/>
    <w:rsid w:val="00154792"/>
    <w:rsid w:val="001558DC"/>
    <w:rsid w:val="00155B41"/>
    <w:rsid w:val="00155D28"/>
    <w:rsid w:val="00155E52"/>
    <w:rsid w:val="001561A8"/>
    <w:rsid w:val="00156764"/>
    <w:rsid w:val="00156B5B"/>
    <w:rsid w:val="00156D33"/>
    <w:rsid w:val="001571C1"/>
    <w:rsid w:val="001574A5"/>
    <w:rsid w:val="00157A1A"/>
    <w:rsid w:val="00157CBE"/>
    <w:rsid w:val="00157D57"/>
    <w:rsid w:val="00157F04"/>
    <w:rsid w:val="00160DE7"/>
    <w:rsid w:val="00161011"/>
    <w:rsid w:val="001612EB"/>
    <w:rsid w:val="00161419"/>
    <w:rsid w:val="00161666"/>
    <w:rsid w:val="00161B4A"/>
    <w:rsid w:val="00162508"/>
    <w:rsid w:val="00162678"/>
    <w:rsid w:val="0016271B"/>
    <w:rsid w:val="00162918"/>
    <w:rsid w:val="00162997"/>
    <w:rsid w:val="00162A49"/>
    <w:rsid w:val="00163259"/>
    <w:rsid w:val="001633DF"/>
    <w:rsid w:val="0016341A"/>
    <w:rsid w:val="0016371D"/>
    <w:rsid w:val="00163A19"/>
    <w:rsid w:val="00163A67"/>
    <w:rsid w:val="00163C89"/>
    <w:rsid w:val="001640C8"/>
    <w:rsid w:val="00164716"/>
    <w:rsid w:val="00164D13"/>
    <w:rsid w:val="00164D45"/>
    <w:rsid w:val="00164E25"/>
    <w:rsid w:val="00165081"/>
    <w:rsid w:val="00165349"/>
    <w:rsid w:val="001657E9"/>
    <w:rsid w:val="0016580D"/>
    <w:rsid w:val="00165A12"/>
    <w:rsid w:val="00165E30"/>
    <w:rsid w:val="00165F99"/>
    <w:rsid w:val="00166097"/>
    <w:rsid w:val="0016616C"/>
    <w:rsid w:val="001661A8"/>
    <w:rsid w:val="00166229"/>
    <w:rsid w:val="00166491"/>
    <w:rsid w:val="001664D3"/>
    <w:rsid w:val="00166CD1"/>
    <w:rsid w:val="00166DDF"/>
    <w:rsid w:val="00166E6D"/>
    <w:rsid w:val="00167820"/>
    <w:rsid w:val="00167A64"/>
    <w:rsid w:val="00167CC8"/>
    <w:rsid w:val="00167EC7"/>
    <w:rsid w:val="00170058"/>
    <w:rsid w:val="00170080"/>
    <w:rsid w:val="001708D3"/>
    <w:rsid w:val="0017131A"/>
    <w:rsid w:val="00171873"/>
    <w:rsid w:val="00171916"/>
    <w:rsid w:val="00171B06"/>
    <w:rsid w:val="00171D16"/>
    <w:rsid w:val="00171E11"/>
    <w:rsid w:val="00171F34"/>
    <w:rsid w:val="0017219E"/>
    <w:rsid w:val="0017251D"/>
    <w:rsid w:val="001726D4"/>
    <w:rsid w:val="001727A4"/>
    <w:rsid w:val="00172B6D"/>
    <w:rsid w:val="00172F7F"/>
    <w:rsid w:val="001732ED"/>
    <w:rsid w:val="00173326"/>
    <w:rsid w:val="001736CC"/>
    <w:rsid w:val="0017370E"/>
    <w:rsid w:val="0017378D"/>
    <w:rsid w:val="00173BB2"/>
    <w:rsid w:val="00173F1F"/>
    <w:rsid w:val="0017406F"/>
    <w:rsid w:val="00174203"/>
    <w:rsid w:val="00174236"/>
    <w:rsid w:val="0017433F"/>
    <w:rsid w:val="00174487"/>
    <w:rsid w:val="00174849"/>
    <w:rsid w:val="001750A0"/>
    <w:rsid w:val="001753A2"/>
    <w:rsid w:val="00175850"/>
    <w:rsid w:val="00175B94"/>
    <w:rsid w:val="00175C5F"/>
    <w:rsid w:val="00175FA7"/>
    <w:rsid w:val="001764BF"/>
    <w:rsid w:val="001769C9"/>
    <w:rsid w:val="00176E07"/>
    <w:rsid w:val="00176FE4"/>
    <w:rsid w:val="00177340"/>
    <w:rsid w:val="0017756B"/>
    <w:rsid w:val="0017774A"/>
    <w:rsid w:val="00177BF0"/>
    <w:rsid w:val="00177C61"/>
    <w:rsid w:val="00180478"/>
    <w:rsid w:val="00180525"/>
    <w:rsid w:val="001805F3"/>
    <w:rsid w:val="001806D6"/>
    <w:rsid w:val="00180A86"/>
    <w:rsid w:val="00180C2A"/>
    <w:rsid w:val="001817AB"/>
    <w:rsid w:val="00182310"/>
    <w:rsid w:val="001823C9"/>
    <w:rsid w:val="001825EE"/>
    <w:rsid w:val="00182674"/>
    <w:rsid w:val="001827CC"/>
    <w:rsid w:val="00182AF3"/>
    <w:rsid w:val="00182B6C"/>
    <w:rsid w:val="00182C1A"/>
    <w:rsid w:val="00182E10"/>
    <w:rsid w:val="001830D3"/>
    <w:rsid w:val="0018347E"/>
    <w:rsid w:val="0018366A"/>
    <w:rsid w:val="00183F63"/>
    <w:rsid w:val="0018426D"/>
    <w:rsid w:val="0018427A"/>
    <w:rsid w:val="001843B1"/>
    <w:rsid w:val="00184490"/>
    <w:rsid w:val="001844C6"/>
    <w:rsid w:val="001845EF"/>
    <w:rsid w:val="001847A9"/>
    <w:rsid w:val="00184AA3"/>
    <w:rsid w:val="00184B22"/>
    <w:rsid w:val="00184D96"/>
    <w:rsid w:val="00185456"/>
    <w:rsid w:val="00185868"/>
    <w:rsid w:val="00185CF2"/>
    <w:rsid w:val="00185F1D"/>
    <w:rsid w:val="001860BF"/>
    <w:rsid w:val="00186850"/>
    <w:rsid w:val="001868BC"/>
    <w:rsid w:val="001868C6"/>
    <w:rsid w:val="00186A36"/>
    <w:rsid w:val="00186F52"/>
    <w:rsid w:val="00187005"/>
    <w:rsid w:val="001874D7"/>
    <w:rsid w:val="001874EB"/>
    <w:rsid w:val="00187548"/>
    <w:rsid w:val="00187658"/>
    <w:rsid w:val="0018765F"/>
    <w:rsid w:val="00187681"/>
    <w:rsid w:val="0018787D"/>
    <w:rsid w:val="00187905"/>
    <w:rsid w:val="00187E2C"/>
    <w:rsid w:val="00187EBF"/>
    <w:rsid w:val="00190094"/>
    <w:rsid w:val="0019042B"/>
    <w:rsid w:val="001906EC"/>
    <w:rsid w:val="0019074B"/>
    <w:rsid w:val="001908A8"/>
    <w:rsid w:val="001909B6"/>
    <w:rsid w:val="00190B97"/>
    <w:rsid w:val="00190BD9"/>
    <w:rsid w:val="00190C4D"/>
    <w:rsid w:val="00190E12"/>
    <w:rsid w:val="0019136A"/>
    <w:rsid w:val="0019155F"/>
    <w:rsid w:val="00192258"/>
    <w:rsid w:val="00192407"/>
    <w:rsid w:val="0019286D"/>
    <w:rsid w:val="00192DAA"/>
    <w:rsid w:val="00193328"/>
    <w:rsid w:val="00193379"/>
    <w:rsid w:val="001933E1"/>
    <w:rsid w:val="00193782"/>
    <w:rsid w:val="00193AD2"/>
    <w:rsid w:val="00193F98"/>
    <w:rsid w:val="00194061"/>
    <w:rsid w:val="00194545"/>
    <w:rsid w:val="00194670"/>
    <w:rsid w:val="00194B60"/>
    <w:rsid w:val="00194D51"/>
    <w:rsid w:val="00194E7F"/>
    <w:rsid w:val="0019530F"/>
    <w:rsid w:val="001955D4"/>
    <w:rsid w:val="00195946"/>
    <w:rsid w:val="00195D19"/>
    <w:rsid w:val="00196122"/>
    <w:rsid w:val="001965E6"/>
    <w:rsid w:val="0019671E"/>
    <w:rsid w:val="00196958"/>
    <w:rsid w:val="0019714F"/>
    <w:rsid w:val="001974F6"/>
    <w:rsid w:val="001979A7"/>
    <w:rsid w:val="00197B79"/>
    <w:rsid w:val="00197FC5"/>
    <w:rsid w:val="001A01A2"/>
    <w:rsid w:val="001A0286"/>
    <w:rsid w:val="001A07FD"/>
    <w:rsid w:val="001A0A05"/>
    <w:rsid w:val="001A1C5E"/>
    <w:rsid w:val="001A1DEE"/>
    <w:rsid w:val="001A201E"/>
    <w:rsid w:val="001A2DE8"/>
    <w:rsid w:val="001A2ED5"/>
    <w:rsid w:val="001A319E"/>
    <w:rsid w:val="001A3352"/>
    <w:rsid w:val="001A3420"/>
    <w:rsid w:val="001A353D"/>
    <w:rsid w:val="001A35A4"/>
    <w:rsid w:val="001A3695"/>
    <w:rsid w:val="001A3B54"/>
    <w:rsid w:val="001A3DC5"/>
    <w:rsid w:val="001A4A8A"/>
    <w:rsid w:val="001A4DF2"/>
    <w:rsid w:val="001A4EBF"/>
    <w:rsid w:val="001A5205"/>
    <w:rsid w:val="001A551E"/>
    <w:rsid w:val="001A55D5"/>
    <w:rsid w:val="001A5AD3"/>
    <w:rsid w:val="001A60EA"/>
    <w:rsid w:val="001A654C"/>
    <w:rsid w:val="001A6640"/>
    <w:rsid w:val="001A6E48"/>
    <w:rsid w:val="001A7150"/>
    <w:rsid w:val="001A729B"/>
    <w:rsid w:val="001A7531"/>
    <w:rsid w:val="001A7533"/>
    <w:rsid w:val="001A773C"/>
    <w:rsid w:val="001A79AD"/>
    <w:rsid w:val="001A7B9B"/>
    <w:rsid w:val="001A7C6E"/>
    <w:rsid w:val="001A7CC5"/>
    <w:rsid w:val="001B00AD"/>
    <w:rsid w:val="001B0447"/>
    <w:rsid w:val="001B058B"/>
    <w:rsid w:val="001B071A"/>
    <w:rsid w:val="001B07A7"/>
    <w:rsid w:val="001B07E8"/>
    <w:rsid w:val="001B0AD8"/>
    <w:rsid w:val="001B0E44"/>
    <w:rsid w:val="001B1315"/>
    <w:rsid w:val="001B13A0"/>
    <w:rsid w:val="001B13C6"/>
    <w:rsid w:val="001B1519"/>
    <w:rsid w:val="001B17B0"/>
    <w:rsid w:val="001B1992"/>
    <w:rsid w:val="001B19FD"/>
    <w:rsid w:val="001B1A92"/>
    <w:rsid w:val="001B1B2B"/>
    <w:rsid w:val="001B2022"/>
    <w:rsid w:val="001B22F9"/>
    <w:rsid w:val="001B2323"/>
    <w:rsid w:val="001B2481"/>
    <w:rsid w:val="001B261A"/>
    <w:rsid w:val="001B2E54"/>
    <w:rsid w:val="001B31DC"/>
    <w:rsid w:val="001B3256"/>
    <w:rsid w:val="001B32B4"/>
    <w:rsid w:val="001B3B88"/>
    <w:rsid w:val="001B3FE6"/>
    <w:rsid w:val="001B40A3"/>
    <w:rsid w:val="001B429E"/>
    <w:rsid w:val="001B453A"/>
    <w:rsid w:val="001B49B6"/>
    <w:rsid w:val="001B4BA8"/>
    <w:rsid w:val="001B4C7E"/>
    <w:rsid w:val="001B4CCD"/>
    <w:rsid w:val="001B5085"/>
    <w:rsid w:val="001B50D9"/>
    <w:rsid w:val="001B520A"/>
    <w:rsid w:val="001B5338"/>
    <w:rsid w:val="001B53D2"/>
    <w:rsid w:val="001B56DF"/>
    <w:rsid w:val="001B5836"/>
    <w:rsid w:val="001B583B"/>
    <w:rsid w:val="001B5D15"/>
    <w:rsid w:val="001B6199"/>
    <w:rsid w:val="001B6497"/>
    <w:rsid w:val="001B6697"/>
    <w:rsid w:val="001B6919"/>
    <w:rsid w:val="001B6CAD"/>
    <w:rsid w:val="001B6D41"/>
    <w:rsid w:val="001B6E81"/>
    <w:rsid w:val="001B6F1A"/>
    <w:rsid w:val="001B702E"/>
    <w:rsid w:val="001B760A"/>
    <w:rsid w:val="001B7AC8"/>
    <w:rsid w:val="001C0017"/>
    <w:rsid w:val="001C0945"/>
    <w:rsid w:val="001C0DCA"/>
    <w:rsid w:val="001C1411"/>
    <w:rsid w:val="001C145F"/>
    <w:rsid w:val="001C158E"/>
    <w:rsid w:val="001C1CFF"/>
    <w:rsid w:val="001C201E"/>
    <w:rsid w:val="001C20BD"/>
    <w:rsid w:val="001C20D9"/>
    <w:rsid w:val="001C2527"/>
    <w:rsid w:val="001C2D48"/>
    <w:rsid w:val="001C2E87"/>
    <w:rsid w:val="001C33AC"/>
    <w:rsid w:val="001C36D2"/>
    <w:rsid w:val="001C38C8"/>
    <w:rsid w:val="001C3916"/>
    <w:rsid w:val="001C3968"/>
    <w:rsid w:val="001C3B0B"/>
    <w:rsid w:val="001C3C13"/>
    <w:rsid w:val="001C3F15"/>
    <w:rsid w:val="001C40AD"/>
    <w:rsid w:val="001C4378"/>
    <w:rsid w:val="001C4691"/>
    <w:rsid w:val="001C48E5"/>
    <w:rsid w:val="001C4A45"/>
    <w:rsid w:val="001C4FF7"/>
    <w:rsid w:val="001C514A"/>
    <w:rsid w:val="001C5179"/>
    <w:rsid w:val="001C52BC"/>
    <w:rsid w:val="001C59A2"/>
    <w:rsid w:val="001C6166"/>
    <w:rsid w:val="001C6A08"/>
    <w:rsid w:val="001C6C42"/>
    <w:rsid w:val="001C6CEE"/>
    <w:rsid w:val="001C6E63"/>
    <w:rsid w:val="001C6EB0"/>
    <w:rsid w:val="001C71FE"/>
    <w:rsid w:val="001C7840"/>
    <w:rsid w:val="001C7A93"/>
    <w:rsid w:val="001C7FCB"/>
    <w:rsid w:val="001D01A9"/>
    <w:rsid w:val="001D08C7"/>
    <w:rsid w:val="001D0A72"/>
    <w:rsid w:val="001D0BF8"/>
    <w:rsid w:val="001D0C43"/>
    <w:rsid w:val="001D0ED6"/>
    <w:rsid w:val="001D1134"/>
    <w:rsid w:val="001D1223"/>
    <w:rsid w:val="001D1517"/>
    <w:rsid w:val="001D1C3E"/>
    <w:rsid w:val="001D21FF"/>
    <w:rsid w:val="001D299E"/>
    <w:rsid w:val="001D2B3A"/>
    <w:rsid w:val="001D30DA"/>
    <w:rsid w:val="001D3169"/>
    <w:rsid w:val="001D36C8"/>
    <w:rsid w:val="001D39F8"/>
    <w:rsid w:val="001D3A68"/>
    <w:rsid w:val="001D3B02"/>
    <w:rsid w:val="001D3B19"/>
    <w:rsid w:val="001D3CCF"/>
    <w:rsid w:val="001D4151"/>
    <w:rsid w:val="001D42EA"/>
    <w:rsid w:val="001D439F"/>
    <w:rsid w:val="001D4545"/>
    <w:rsid w:val="001D4652"/>
    <w:rsid w:val="001D46CE"/>
    <w:rsid w:val="001D4CAC"/>
    <w:rsid w:val="001D4D13"/>
    <w:rsid w:val="001D4F12"/>
    <w:rsid w:val="001D5390"/>
    <w:rsid w:val="001D5B01"/>
    <w:rsid w:val="001D5FB9"/>
    <w:rsid w:val="001D6229"/>
    <w:rsid w:val="001D6234"/>
    <w:rsid w:val="001D63D0"/>
    <w:rsid w:val="001D69E8"/>
    <w:rsid w:val="001D71A2"/>
    <w:rsid w:val="001D7362"/>
    <w:rsid w:val="001D73C3"/>
    <w:rsid w:val="001D770E"/>
    <w:rsid w:val="001D7831"/>
    <w:rsid w:val="001D7B5F"/>
    <w:rsid w:val="001D7B78"/>
    <w:rsid w:val="001D7C3A"/>
    <w:rsid w:val="001D7D07"/>
    <w:rsid w:val="001E049B"/>
    <w:rsid w:val="001E04BC"/>
    <w:rsid w:val="001E05B6"/>
    <w:rsid w:val="001E0720"/>
    <w:rsid w:val="001E09A9"/>
    <w:rsid w:val="001E0AA7"/>
    <w:rsid w:val="001E11DD"/>
    <w:rsid w:val="001E11E2"/>
    <w:rsid w:val="001E159D"/>
    <w:rsid w:val="001E176D"/>
    <w:rsid w:val="001E1A15"/>
    <w:rsid w:val="001E1A5D"/>
    <w:rsid w:val="001E1D0D"/>
    <w:rsid w:val="001E1DDC"/>
    <w:rsid w:val="001E2129"/>
    <w:rsid w:val="001E21F5"/>
    <w:rsid w:val="001E2259"/>
    <w:rsid w:val="001E2412"/>
    <w:rsid w:val="001E274A"/>
    <w:rsid w:val="001E27A9"/>
    <w:rsid w:val="001E2951"/>
    <w:rsid w:val="001E2AB6"/>
    <w:rsid w:val="001E2CC1"/>
    <w:rsid w:val="001E2DD7"/>
    <w:rsid w:val="001E2E95"/>
    <w:rsid w:val="001E3159"/>
    <w:rsid w:val="001E3189"/>
    <w:rsid w:val="001E3467"/>
    <w:rsid w:val="001E3710"/>
    <w:rsid w:val="001E39DD"/>
    <w:rsid w:val="001E3B8F"/>
    <w:rsid w:val="001E3E6C"/>
    <w:rsid w:val="001E426B"/>
    <w:rsid w:val="001E4302"/>
    <w:rsid w:val="001E477D"/>
    <w:rsid w:val="001E4C31"/>
    <w:rsid w:val="001E4CA7"/>
    <w:rsid w:val="001E4D11"/>
    <w:rsid w:val="001E5039"/>
    <w:rsid w:val="001E524C"/>
    <w:rsid w:val="001E5ACD"/>
    <w:rsid w:val="001E5BD6"/>
    <w:rsid w:val="001E6421"/>
    <w:rsid w:val="001E6595"/>
    <w:rsid w:val="001E6674"/>
    <w:rsid w:val="001E692E"/>
    <w:rsid w:val="001E6C37"/>
    <w:rsid w:val="001E6E65"/>
    <w:rsid w:val="001E7206"/>
    <w:rsid w:val="001E754E"/>
    <w:rsid w:val="001E7CB8"/>
    <w:rsid w:val="001E7D57"/>
    <w:rsid w:val="001E7E57"/>
    <w:rsid w:val="001E7EAB"/>
    <w:rsid w:val="001E7F43"/>
    <w:rsid w:val="001F01D7"/>
    <w:rsid w:val="001F061F"/>
    <w:rsid w:val="001F0810"/>
    <w:rsid w:val="001F08FF"/>
    <w:rsid w:val="001F0E3C"/>
    <w:rsid w:val="001F109F"/>
    <w:rsid w:val="001F1298"/>
    <w:rsid w:val="001F137E"/>
    <w:rsid w:val="001F142E"/>
    <w:rsid w:val="001F156E"/>
    <w:rsid w:val="001F1884"/>
    <w:rsid w:val="001F1C13"/>
    <w:rsid w:val="001F1FBE"/>
    <w:rsid w:val="001F204F"/>
    <w:rsid w:val="001F22F7"/>
    <w:rsid w:val="001F28F7"/>
    <w:rsid w:val="001F2B15"/>
    <w:rsid w:val="001F3091"/>
    <w:rsid w:val="001F30B8"/>
    <w:rsid w:val="001F35C2"/>
    <w:rsid w:val="001F44D3"/>
    <w:rsid w:val="001F4755"/>
    <w:rsid w:val="001F47CC"/>
    <w:rsid w:val="001F4B9A"/>
    <w:rsid w:val="001F4BDF"/>
    <w:rsid w:val="001F4D34"/>
    <w:rsid w:val="001F4E71"/>
    <w:rsid w:val="001F5040"/>
    <w:rsid w:val="001F586F"/>
    <w:rsid w:val="001F5D5E"/>
    <w:rsid w:val="001F6112"/>
    <w:rsid w:val="001F6336"/>
    <w:rsid w:val="001F6760"/>
    <w:rsid w:val="001F6A93"/>
    <w:rsid w:val="001F6B94"/>
    <w:rsid w:val="001F6B9A"/>
    <w:rsid w:val="001F6E9D"/>
    <w:rsid w:val="001F718E"/>
    <w:rsid w:val="001F7290"/>
    <w:rsid w:val="001F797E"/>
    <w:rsid w:val="001F79F3"/>
    <w:rsid w:val="0020006C"/>
    <w:rsid w:val="002004FD"/>
    <w:rsid w:val="00200C17"/>
    <w:rsid w:val="00200CA2"/>
    <w:rsid w:val="00200CAD"/>
    <w:rsid w:val="00200DCF"/>
    <w:rsid w:val="002012AB"/>
    <w:rsid w:val="002014A4"/>
    <w:rsid w:val="00201550"/>
    <w:rsid w:val="00201601"/>
    <w:rsid w:val="002017C2"/>
    <w:rsid w:val="0020188A"/>
    <w:rsid w:val="00201DE9"/>
    <w:rsid w:val="00201EF9"/>
    <w:rsid w:val="002021BE"/>
    <w:rsid w:val="0020265C"/>
    <w:rsid w:val="00202A0D"/>
    <w:rsid w:val="00202C1A"/>
    <w:rsid w:val="00202D35"/>
    <w:rsid w:val="00202D57"/>
    <w:rsid w:val="00203075"/>
    <w:rsid w:val="0020357B"/>
    <w:rsid w:val="0020374C"/>
    <w:rsid w:val="0020375A"/>
    <w:rsid w:val="002038F9"/>
    <w:rsid w:val="00203FBE"/>
    <w:rsid w:val="0020408D"/>
    <w:rsid w:val="002042EF"/>
    <w:rsid w:val="00204710"/>
    <w:rsid w:val="002048E2"/>
    <w:rsid w:val="00204992"/>
    <w:rsid w:val="00204C97"/>
    <w:rsid w:val="002052DA"/>
    <w:rsid w:val="00205676"/>
    <w:rsid w:val="00205AC8"/>
    <w:rsid w:val="00205D13"/>
    <w:rsid w:val="0020602F"/>
    <w:rsid w:val="002065B4"/>
    <w:rsid w:val="002070C8"/>
    <w:rsid w:val="002071C2"/>
    <w:rsid w:val="002074FF"/>
    <w:rsid w:val="00207596"/>
    <w:rsid w:val="002077EF"/>
    <w:rsid w:val="00207FBC"/>
    <w:rsid w:val="00210064"/>
    <w:rsid w:val="002103EB"/>
    <w:rsid w:val="002104D9"/>
    <w:rsid w:val="0021082F"/>
    <w:rsid w:val="00210E4E"/>
    <w:rsid w:val="0021149D"/>
    <w:rsid w:val="002114B9"/>
    <w:rsid w:val="002117B2"/>
    <w:rsid w:val="00211B79"/>
    <w:rsid w:val="00212859"/>
    <w:rsid w:val="00212A14"/>
    <w:rsid w:val="0021323E"/>
    <w:rsid w:val="00213571"/>
    <w:rsid w:val="002137F9"/>
    <w:rsid w:val="00213936"/>
    <w:rsid w:val="00213A09"/>
    <w:rsid w:val="00213B11"/>
    <w:rsid w:val="0021443A"/>
    <w:rsid w:val="0021462C"/>
    <w:rsid w:val="002146AD"/>
    <w:rsid w:val="00214A5E"/>
    <w:rsid w:val="00214B0D"/>
    <w:rsid w:val="00214F01"/>
    <w:rsid w:val="00214FE7"/>
    <w:rsid w:val="002156C6"/>
    <w:rsid w:val="00215895"/>
    <w:rsid w:val="00215C18"/>
    <w:rsid w:val="00216466"/>
    <w:rsid w:val="00216475"/>
    <w:rsid w:val="0021647C"/>
    <w:rsid w:val="002164FA"/>
    <w:rsid w:val="0021660D"/>
    <w:rsid w:val="00216ADA"/>
    <w:rsid w:val="00216C6A"/>
    <w:rsid w:val="00216CEE"/>
    <w:rsid w:val="002171E0"/>
    <w:rsid w:val="002173F2"/>
    <w:rsid w:val="00217AA4"/>
    <w:rsid w:val="00217ACA"/>
    <w:rsid w:val="00217C89"/>
    <w:rsid w:val="00217E26"/>
    <w:rsid w:val="00217ED1"/>
    <w:rsid w:val="00220294"/>
    <w:rsid w:val="002205A4"/>
    <w:rsid w:val="00220698"/>
    <w:rsid w:val="002208D4"/>
    <w:rsid w:val="0022097F"/>
    <w:rsid w:val="002209C4"/>
    <w:rsid w:val="00220A07"/>
    <w:rsid w:val="00221952"/>
    <w:rsid w:val="00221E73"/>
    <w:rsid w:val="00222171"/>
    <w:rsid w:val="00222597"/>
    <w:rsid w:val="0022290D"/>
    <w:rsid w:val="0022296B"/>
    <w:rsid w:val="00222C12"/>
    <w:rsid w:val="00222D33"/>
    <w:rsid w:val="00222E2C"/>
    <w:rsid w:val="00222ED0"/>
    <w:rsid w:val="00222F3A"/>
    <w:rsid w:val="00223197"/>
    <w:rsid w:val="00223252"/>
    <w:rsid w:val="0022372B"/>
    <w:rsid w:val="002239CD"/>
    <w:rsid w:val="00223C49"/>
    <w:rsid w:val="00223C7A"/>
    <w:rsid w:val="00223DE2"/>
    <w:rsid w:val="00224671"/>
    <w:rsid w:val="002246B7"/>
    <w:rsid w:val="002249FB"/>
    <w:rsid w:val="00224A4D"/>
    <w:rsid w:val="00224C44"/>
    <w:rsid w:val="00225087"/>
    <w:rsid w:val="00225089"/>
    <w:rsid w:val="002251B8"/>
    <w:rsid w:val="002252CD"/>
    <w:rsid w:val="00226225"/>
    <w:rsid w:val="0022637A"/>
    <w:rsid w:val="002263E0"/>
    <w:rsid w:val="00226459"/>
    <w:rsid w:val="0022678E"/>
    <w:rsid w:val="002272DE"/>
    <w:rsid w:val="002272F5"/>
    <w:rsid w:val="002274C1"/>
    <w:rsid w:val="00227D78"/>
    <w:rsid w:val="00227E83"/>
    <w:rsid w:val="00230227"/>
    <w:rsid w:val="002303F9"/>
    <w:rsid w:val="0023080D"/>
    <w:rsid w:val="00230925"/>
    <w:rsid w:val="00230CB8"/>
    <w:rsid w:val="00230E9E"/>
    <w:rsid w:val="0023109D"/>
    <w:rsid w:val="00231388"/>
    <w:rsid w:val="0023194B"/>
    <w:rsid w:val="002319D3"/>
    <w:rsid w:val="00231D84"/>
    <w:rsid w:val="00231DAF"/>
    <w:rsid w:val="002323F4"/>
    <w:rsid w:val="002327F0"/>
    <w:rsid w:val="00232AEF"/>
    <w:rsid w:val="00232D3E"/>
    <w:rsid w:val="00232FA5"/>
    <w:rsid w:val="002331AE"/>
    <w:rsid w:val="00233571"/>
    <w:rsid w:val="00233587"/>
    <w:rsid w:val="0023373D"/>
    <w:rsid w:val="002343EA"/>
    <w:rsid w:val="002343EB"/>
    <w:rsid w:val="002343EF"/>
    <w:rsid w:val="002347A0"/>
    <w:rsid w:val="002347C4"/>
    <w:rsid w:val="002349FE"/>
    <w:rsid w:val="00234ADA"/>
    <w:rsid w:val="00234B12"/>
    <w:rsid w:val="00234E23"/>
    <w:rsid w:val="0023503C"/>
    <w:rsid w:val="002350C9"/>
    <w:rsid w:val="002355C6"/>
    <w:rsid w:val="0023587F"/>
    <w:rsid w:val="002358C9"/>
    <w:rsid w:val="00235BC7"/>
    <w:rsid w:val="00235DE4"/>
    <w:rsid w:val="0023601B"/>
    <w:rsid w:val="002360FC"/>
    <w:rsid w:val="0023615F"/>
    <w:rsid w:val="0023624D"/>
    <w:rsid w:val="00236589"/>
    <w:rsid w:val="00236DA1"/>
    <w:rsid w:val="002370BC"/>
    <w:rsid w:val="002375CF"/>
    <w:rsid w:val="00237731"/>
    <w:rsid w:val="00237911"/>
    <w:rsid w:val="00237EDD"/>
    <w:rsid w:val="00237FC9"/>
    <w:rsid w:val="00240513"/>
    <w:rsid w:val="00240AF3"/>
    <w:rsid w:val="00240D37"/>
    <w:rsid w:val="00241011"/>
    <w:rsid w:val="00241092"/>
    <w:rsid w:val="002411BC"/>
    <w:rsid w:val="002414F5"/>
    <w:rsid w:val="002415BC"/>
    <w:rsid w:val="00241D64"/>
    <w:rsid w:val="00241D6D"/>
    <w:rsid w:val="00242040"/>
    <w:rsid w:val="00242254"/>
    <w:rsid w:val="0024230C"/>
    <w:rsid w:val="0024238C"/>
    <w:rsid w:val="00243399"/>
    <w:rsid w:val="00243713"/>
    <w:rsid w:val="00243BBD"/>
    <w:rsid w:val="00243BF9"/>
    <w:rsid w:val="00243C88"/>
    <w:rsid w:val="00243D35"/>
    <w:rsid w:val="00243D68"/>
    <w:rsid w:val="00243EE2"/>
    <w:rsid w:val="0024464C"/>
    <w:rsid w:val="0024465D"/>
    <w:rsid w:val="002448CB"/>
    <w:rsid w:val="00244AE8"/>
    <w:rsid w:val="00244E0D"/>
    <w:rsid w:val="00244EF4"/>
    <w:rsid w:val="00244F4A"/>
    <w:rsid w:val="00244F6B"/>
    <w:rsid w:val="002456A3"/>
    <w:rsid w:val="00245AAD"/>
    <w:rsid w:val="0024643C"/>
    <w:rsid w:val="0024643F"/>
    <w:rsid w:val="002464C4"/>
    <w:rsid w:val="002465D7"/>
    <w:rsid w:val="002468BD"/>
    <w:rsid w:val="00246A9B"/>
    <w:rsid w:val="00246AA6"/>
    <w:rsid w:val="002470FD"/>
    <w:rsid w:val="002471B4"/>
    <w:rsid w:val="002474D0"/>
    <w:rsid w:val="0024797D"/>
    <w:rsid w:val="00247C5B"/>
    <w:rsid w:val="00247DAF"/>
    <w:rsid w:val="00247DBA"/>
    <w:rsid w:val="00247F99"/>
    <w:rsid w:val="002504AC"/>
    <w:rsid w:val="002506EA"/>
    <w:rsid w:val="002507E2"/>
    <w:rsid w:val="002508E6"/>
    <w:rsid w:val="002509AF"/>
    <w:rsid w:val="00250C39"/>
    <w:rsid w:val="00250CCF"/>
    <w:rsid w:val="00250CEA"/>
    <w:rsid w:val="00250CEC"/>
    <w:rsid w:val="0025113E"/>
    <w:rsid w:val="00251830"/>
    <w:rsid w:val="00251AE0"/>
    <w:rsid w:val="00251BAB"/>
    <w:rsid w:val="00251D63"/>
    <w:rsid w:val="002526A2"/>
    <w:rsid w:val="002526FC"/>
    <w:rsid w:val="002528E2"/>
    <w:rsid w:val="0025316E"/>
    <w:rsid w:val="00253406"/>
    <w:rsid w:val="0025340F"/>
    <w:rsid w:val="0025378E"/>
    <w:rsid w:val="00253A22"/>
    <w:rsid w:val="00253A96"/>
    <w:rsid w:val="002541C8"/>
    <w:rsid w:val="00254418"/>
    <w:rsid w:val="00254782"/>
    <w:rsid w:val="002548F2"/>
    <w:rsid w:val="00255643"/>
    <w:rsid w:val="0025595D"/>
    <w:rsid w:val="00255A7C"/>
    <w:rsid w:val="0025613C"/>
    <w:rsid w:val="002561E9"/>
    <w:rsid w:val="0025626D"/>
    <w:rsid w:val="00256560"/>
    <w:rsid w:val="00256624"/>
    <w:rsid w:val="00256D40"/>
    <w:rsid w:val="00256DDA"/>
    <w:rsid w:val="002570FE"/>
    <w:rsid w:val="00257738"/>
    <w:rsid w:val="002579D2"/>
    <w:rsid w:val="00257F30"/>
    <w:rsid w:val="00257F46"/>
    <w:rsid w:val="002600AD"/>
    <w:rsid w:val="00260278"/>
    <w:rsid w:val="002604DE"/>
    <w:rsid w:val="0026074F"/>
    <w:rsid w:val="00260CB3"/>
    <w:rsid w:val="00260FF7"/>
    <w:rsid w:val="00261317"/>
    <w:rsid w:val="002619E4"/>
    <w:rsid w:val="002620C0"/>
    <w:rsid w:val="002620C4"/>
    <w:rsid w:val="002622B1"/>
    <w:rsid w:val="00262ACE"/>
    <w:rsid w:val="00262AFC"/>
    <w:rsid w:val="002633F5"/>
    <w:rsid w:val="002634B1"/>
    <w:rsid w:val="00263646"/>
    <w:rsid w:val="002639D5"/>
    <w:rsid w:val="002644FD"/>
    <w:rsid w:val="002647C1"/>
    <w:rsid w:val="00264B05"/>
    <w:rsid w:val="00264E21"/>
    <w:rsid w:val="00265270"/>
    <w:rsid w:val="002657DD"/>
    <w:rsid w:val="00265A98"/>
    <w:rsid w:val="00265B4D"/>
    <w:rsid w:val="00265BC4"/>
    <w:rsid w:val="00265C0D"/>
    <w:rsid w:val="0026623A"/>
    <w:rsid w:val="002662CD"/>
    <w:rsid w:val="002663F1"/>
    <w:rsid w:val="0026655E"/>
    <w:rsid w:val="00266ACC"/>
    <w:rsid w:val="00266CF2"/>
    <w:rsid w:val="00266E6A"/>
    <w:rsid w:val="0026732C"/>
    <w:rsid w:val="002673DA"/>
    <w:rsid w:val="0026779F"/>
    <w:rsid w:val="00267981"/>
    <w:rsid w:val="00267A25"/>
    <w:rsid w:val="00267F2B"/>
    <w:rsid w:val="00270096"/>
    <w:rsid w:val="0027009D"/>
    <w:rsid w:val="002707A0"/>
    <w:rsid w:val="00270F05"/>
    <w:rsid w:val="0027144D"/>
    <w:rsid w:val="002714C2"/>
    <w:rsid w:val="00271DE1"/>
    <w:rsid w:val="00272037"/>
    <w:rsid w:val="00272332"/>
    <w:rsid w:val="0027240B"/>
    <w:rsid w:val="00272507"/>
    <w:rsid w:val="002726B6"/>
    <w:rsid w:val="00272F24"/>
    <w:rsid w:val="0027324A"/>
    <w:rsid w:val="002732BE"/>
    <w:rsid w:val="00273322"/>
    <w:rsid w:val="002738B5"/>
    <w:rsid w:val="00273900"/>
    <w:rsid w:val="00273A1B"/>
    <w:rsid w:val="00273A43"/>
    <w:rsid w:val="00273E1D"/>
    <w:rsid w:val="002747A2"/>
    <w:rsid w:val="002748A7"/>
    <w:rsid w:val="0027494F"/>
    <w:rsid w:val="00274DED"/>
    <w:rsid w:val="0027536C"/>
    <w:rsid w:val="002758B4"/>
    <w:rsid w:val="0027593C"/>
    <w:rsid w:val="002759BF"/>
    <w:rsid w:val="00276040"/>
    <w:rsid w:val="002760E9"/>
    <w:rsid w:val="002760EF"/>
    <w:rsid w:val="002761C5"/>
    <w:rsid w:val="002765C2"/>
    <w:rsid w:val="002769DC"/>
    <w:rsid w:val="00276A82"/>
    <w:rsid w:val="00276C0C"/>
    <w:rsid w:val="00276C54"/>
    <w:rsid w:val="00276FC9"/>
    <w:rsid w:val="00276FF5"/>
    <w:rsid w:val="00277289"/>
    <w:rsid w:val="002773F6"/>
    <w:rsid w:val="002774C3"/>
    <w:rsid w:val="0027759D"/>
    <w:rsid w:val="00277618"/>
    <w:rsid w:val="00277776"/>
    <w:rsid w:val="002778AD"/>
    <w:rsid w:val="00277B38"/>
    <w:rsid w:val="0028034F"/>
    <w:rsid w:val="0028059C"/>
    <w:rsid w:val="00280745"/>
    <w:rsid w:val="0028076D"/>
    <w:rsid w:val="00280D0F"/>
    <w:rsid w:val="0028123C"/>
    <w:rsid w:val="0028139F"/>
    <w:rsid w:val="002814A9"/>
    <w:rsid w:val="00281549"/>
    <w:rsid w:val="002815CD"/>
    <w:rsid w:val="00281A63"/>
    <w:rsid w:val="002822E0"/>
    <w:rsid w:val="00282660"/>
    <w:rsid w:val="00282878"/>
    <w:rsid w:val="00282F43"/>
    <w:rsid w:val="00283444"/>
    <w:rsid w:val="0028351B"/>
    <w:rsid w:val="0028351E"/>
    <w:rsid w:val="002839D3"/>
    <w:rsid w:val="00283A30"/>
    <w:rsid w:val="00283A59"/>
    <w:rsid w:val="00283CB4"/>
    <w:rsid w:val="00283EA9"/>
    <w:rsid w:val="00284A0E"/>
    <w:rsid w:val="00284BDB"/>
    <w:rsid w:val="00284C3A"/>
    <w:rsid w:val="00285107"/>
    <w:rsid w:val="00285129"/>
    <w:rsid w:val="00285259"/>
    <w:rsid w:val="00285493"/>
    <w:rsid w:val="002857D1"/>
    <w:rsid w:val="00285A96"/>
    <w:rsid w:val="00285CF6"/>
    <w:rsid w:val="002860F2"/>
    <w:rsid w:val="002861F3"/>
    <w:rsid w:val="002863FD"/>
    <w:rsid w:val="00286415"/>
    <w:rsid w:val="00286640"/>
    <w:rsid w:val="00287018"/>
    <w:rsid w:val="002871FA"/>
    <w:rsid w:val="00287851"/>
    <w:rsid w:val="00287F07"/>
    <w:rsid w:val="00290957"/>
    <w:rsid w:val="00290A20"/>
    <w:rsid w:val="00290C34"/>
    <w:rsid w:val="00290EE8"/>
    <w:rsid w:val="0029115F"/>
    <w:rsid w:val="002913E4"/>
    <w:rsid w:val="002918A2"/>
    <w:rsid w:val="00291A62"/>
    <w:rsid w:val="00291CE4"/>
    <w:rsid w:val="00291D62"/>
    <w:rsid w:val="00291F6A"/>
    <w:rsid w:val="00292477"/>
    <w:rsid w:val="00292B59"/>
    <w:rsid w:val="00292BF8"/>
    <w:rsid w:val="00292C0E"/>
    <w:rsid w:val="00292E8C"/>
    <w:rsid w:val="00292F56"/>
    <w:rsid w:val="002936E4"/>
    <w:rsid w:val="0029372A"/>
    <w:rsid w:val="00293CB5"/>
    <w:rsid w:val="00293CCF"/>
    <w:rsid w:val="00293D5E"/>
    <w:rsid w:val="0029403A"/>
    <w:rsid w:val="00294589"/>
    <w:rsid w:val="0029461E"/>
    <w:rsid w:val="00294804"/>
    <w:rsid w:val="00294B37"/>
    <w:rsid w:val="00294DCA"/>
    <w:rsid w:val="00294DEE"/>
    <w:rsid w:val="00295115"/>
    <w:rsid w:val="00295246"/>
    <w:rsid w:val="0029533B"/>
    <w:rsid w:val="002953E2"/>
    <w:rsid w:val="00295C21"/>
    <w:rsid w:val="00295E80"/>
    <w:rsid w:val="00295F6E"/>
    <w:rsid w:val="00296065"/>
    <w:rsid w:val="0029619B"/>
    <w:rsid w:val="00296A7A"/>
    <w:rsid w:val="00296E3A"/>
    <w:rsid w:val="00296FB0"/>
    <w:rsid w:val="0029700A"/>
    <w:rsid w:val="002979CC"/>
    <w:rsid w:val="00297C2D"/>
    <w:rsid w:val="002A0674"/>
    <w:rsid w:val="002A088F"/>
    <w:rsid w:val="002A0A44"/>
    <w:rsid w:val="002A0C1C"/>
    <w:rsid w:val="002A11B8"/>
    <w:rsid w:val="002A120F"/>
    <w:rsid w:val="002A1613"/>
    <w:rsid w:val="002A175E"/>
    <w:rsid w:val="002A191A"/>
    <w:rsid w:val="002A19B8"/>
    <w:rsid w:val="002A19FA"/>
    <w:rsid w:val="002A231A"/>
    <w:rsid w:val="002A28DF"/>
    <w:rsid w:val="002A2B02"/>
    <w:rsid w:val="002A2BE2"/>
    <w:rsid w:val="002A2E62"/>
    <w:rsid w:val="002A301D"/>
    <w:rsid w:val="002A34B7"/>
    <w:rsid w:val="002A395B"/>
    <w:rsid w:val="002A3B81"/>
    <w:rsid w:val="002A440A"/>
    <w:rsid w:val="002A457D"/>
    <w:rsid w:val="002A466D"/>
    <w:rsid w:val="002A4AEB"/>
    <w:rsid w:val="002A5404"/>
    <w:rsid w:val="002A57C6"/>
    <w:rsid w:val="002A5DB0"/>
    <w:rsid w:val="002A633A"/>
    <w:rsid w:val="002A64C3"/>
    <w:rsid w:val="002A662F"/>
    <w:rsid w:val="002A6771"/>
    <w:rsid w:val="002A6C39"/>
    <w:rsid w:val="002A6C88"/>
    <w:rsid w:val="002A70F0"/>
    <w:rsid w:val="002A7116"/>
    <w:rsid w:val="002A732E"/>
    <w:rsid w:val="002A73A4"/>
    <w:rsid w:val="002A7504"/>
    <w:rsid w:val="002A7606"/>
    <w:rsid w:val="002A7D69"/>
    <w:rsid w:val="002A7D81"/>
    <w:rsid w:val="002B000A"/>
    <w:rsid w:val="002B04E3"/>
    <w:rsid w:val="002B09AA"/>
    <w:rsid w:val="002B10A5"/>
    <w:rsid w:val="002B118F"/>
    <w:rsid w:val="002B1251"/>
    <w:rsid w:val="002B13EB"/>
    <w:rsid w:val="002B1583"/>
    <w:rsid w:val="002B1830"/>
    <w:rsid w:val="002B1DBC"/>
    <w:rsid w:val="002B2105"/>
    <w:rsid w:val="002B21D4"/>
    <w:rsid w:val="002B23F8"/>
    <w:rsid w:val="002B276B"/>
    <w:rsid w:val="002B27B2"/>
    <w:rsid w:val="002B298E"/>
    <w:rsid w:val="002B2D5E"/>
    <w:rsid w:val="002B2EB4"/>
    <w:rsid w:val="002B33F2"/>
    <w:rsid w:val="002B373F"/>
    <w:rsid w:val="002B3E41"/>
    <w:rsid w:val="002B42E1"/>
    <w:rsid w:val="002B44A4"/>
    <w:rsid w:val="002B4A7C"/>
    <w:rsid w:val="002B4D58"/>
    <w:rsid w:val="002B4F61"/>
    <w:rsid w:val="002B4F86"/>
    <w:rsid w:val="002B4F97"/>
    <w:rsid w:val="002B5140"/>
    <w:rsid w:val="002B61EE"/>
    <w:rsid w:val="002B6404"/>
    <w:rsid w:val="002B65EC"/>
    <w:rsid w:val="002B6B22"/>
    <w:rsid w:val="002B6D00"/>
    <w:rsid w:val="002B71E0"/>
    <w:rsid w:val="002B739A"/>
    <w:rsid w:val="002B742D"/>
    <w:rsid w:val="002B750E"/>
    <w:rsid w:val="002B7B5A"/>
    <w:rsid w:val="002B7D2E"/>
    <w:rsid w:val="002C02B3"/>
    <w:rsid w:val="002C09EB"/>
    <w:rsid w:val="002C0A92"/>
    <w:rsid w:val="002C0D03"/>
    <w:rsid w:val="002C13FA"/>
    <w:rsid w:val="002C14E0"/>
    <w:rsid w:val="002C1FAB"/>
    <w:rsid w:val="002C313C"/>
    <w:rsid w:val="002C3305"/>
    <w:rsid w:val="002C35D2"/>
    <w:rsid w:val="002C37A5"/>
    <w:rsid w:val="002C3AB1"/>
    <w:rsid w:val="002C3B36"/>
    <w:rsid w:val="002C3C70"/>
    <w:rsid w:val="002C4185"/>
    <w:rsid w:val="002C43DB"/>
    <w:rsid w:val="002C4B01"/>
    <w:rsid w:val="002C4F15"/>
    <w:rsid w:val="002C547B"/>
    <w:rsid w:val="002C5896"/>
    <w:rsid w:val="002C6963"/>
    <w:rsid w:val="002C6B4E"/>
    <w:rsid w:val="002C74BD"/>
    <w:rsid w:val="002C7694"/>
    <w:rsid w:val="002D01C6"/>
    <w:rsid w:val="002D040A"/>
    <w:rsid w:val="002D06B4"/>
    <w:rsid w:val="002D079E"/>
    <w:rsid w:val="002D0DD0"/>
    <w:rsid w:val="002D12E0"/>
    <w:rsid w:val="002D1A45"/>
    <w:rsid w:val="002D1BFE"/>
    <w:rsid w:val="002D21C9"/>
    <w:rsid w:val="002D2577"/>
    <w:rsid w:val="002D2A80"/>
    <w:rsid w:val="002D2CBE"/>
    <w:rsid w:val="002D2CD2"/>
    <w:rsid w:val="002D2D1D"/>
    <w:rsid w:val="002D2D90"/>
    <w:rsid w:val="002D2F00"/>
    <w:rsid w:val="002D3107"/>
    <w:rsid w:val="002D3177"/>
    <w:rsid w:val="002D361D"/>
    <w:rsid w:val="002D3709"/>
    <w:rsid w:val="002D38A2"/>
    <w:rsid w:val="002D38F3"/>
    <w:rsid w:val="002D3CF4"/>
    <w:rsid w:val="002D4010"/>
    <w:rsid w:val="002D40C2"/>
    <w:rsid w:val="002D4174"/>
    <w:rsid w:val="002D4A99"/>
    <w:rsid w:val="002D52F3"/>
    <w:rsid w:val="002D5401"/>
    <w:rsid w:val="002D5511"/>
    <w:rsid w:val="002D55FC"/>
    <w:rsid w:val="002D5768"/>
    <w:rsid w:val="002D5B8A"/>
    <w:rsid w:val="002D62F5"/>
    <w:rsid w:val="002D6AAE"/>
    <w:rsid w:val="002D6B21"/>
    <w:rsid w:val="002D6E54"/>
    <w:rsid w:val="002D757C"/>
    <w:rsid w:val="002D7654"/>
    <w:rsid w:val="002D76E7"/>
    <w:rsid w:val="002D7760"/>
    <w:rsid w:val="002D7AA5"/>
    <w:rsid w:val="002D7E49"/>
    <w:rsid w:val="002D7E94"/>
    <w:rsid w:val="002D7FBE"/>
    <w:rsid w:val="002E00DA"/>
    <w:rsid w:val="002E0889"/>
    <w:rsid w:val="002E0BA3"/>
    <w:rsid w:val="002E0D48"/>
    <w:rsid w:val="002E0ED2"/>
    <w:rsid w:val="002E1633"/>
    <w:rsid w:val="002E1949"/>
    <w:rsid w:val="002E1C79"/>
    <w:rsid w:val="002E22C2"/>
    <w:rsid w:val="002E23BF"/>
    <w:rsid w:val="002E29A5"/>
    <w:rsid w:val="002E2C77"/>
    <w:rsid w:val="002E2EA6"/>
    <w:rsid w:val="002E3000"/>
    <w:rsid w:val="002E3165"/>
    <w:rsid w:val="002E32D3"/>
    <w:rsid w:val="002E338E"/>
    <w:rsid w:val="002E34C5"/>
    <w:rsid w:val="002E3621"/>
    <w:rsid w:val="002E368F"/>
    <w:rsid w:val="002E3829"/>
    <w:rsid w:val="002E383A"/>
    <w:rsid w:val="002E3BB2"/>
    <w:rsid w:val="002E3DA4"/>
    <w:rsid w:val="002E3F4B"/>
    <w:rsid w:val="002E3F60"/>
    <w:rsid w:val="002E4491"/>
    <w:rsid w:val="002E44C4"/>
    <w:rsid w:val="002E4641"/>
    <w:rsid w:val="002E4B07"/>
    <w:rsid w:val="002E4E4D"/>
    <w:rsid w:val="002E4FFF"/>
    <w:rsid w:val="002E5052"/>
    <w:rsid w:val="002E5064"/>
    <w:rsid w:val="002E5094"/>
    <w:rsid w:val="002E50D3"/>
    <w:rsid w:val="002E52EA"/>
    <w:rsid w:val="002E5D95"/>
    <w:rsid w:val="002E5E0C"/>
    <w:rsid w:val="002E60A8"/>
    <w:rsid w:val="002E60DE"/>
    <w:rsid w:val="002E623B"/>
    <w:rsid w:val="002E6506"/>
    <w:rsid w:val="002E6528"/>
    <w:rsid w:val="002E6550"/>
    <w:rsid w:val="002E6651"/>
    <w:rsid w:val="002E6955"/>
    <w:rsid w:val="002E6C97"/>
    <w:rsid w:val="002E6F77"/>
    <w:rsid w:val="002E707C"/>
    <w:rsid w:val="002E70BF"/>
    <w:rsid w:val="002E723F"/>
    <w:rsid w:val="002E72DB"/>
    <w:rsid w:val="002E739D"/>
    <w:rsid w:val="002E75A8"/>
    <w:rsid w:val="002E78EB"/>
    <w:rsid w:val="002E7AA3"/>
    <w:rsid w:val="002E7B77"/>
    <w:rsid w:val="002E7F0D"/>
    <w:rsid w:val="002E7FE4"/>
    <w:rsid w:val="002F01D2"/>
    <w:rsid w:val="002F01F1"/>
    <w:rsid w:val="002F0297"/>
    <w:rsid w:val="002F045C"/>
    <w:rsid w:val="002F0F9F"/>
    <w:rsid w:val="002F1406"/>
    <w:rsid w:val="002F1417"/>
    <w:rsid w:val="002F14FA"/>
    <w:rsid w:val="002F150C"/>
    <w:rsid w:val="002F1766"/>
    <w:rsid w:val="002F2167"/>
    <w:rsid w:val="002F2634"/>
    <w:rsid w:val="002F2DCA"/>
    <w:rsid w:val="002F2E67"/>
    <w:rsid w:val="002F2ECF"/>
    <w:rsid w:val="002F2F0A"/>
    <w:rsid w:val="002F3298"/>
    <w:rsid w:val="002F35A4"/>
    <w:rsid w:val="002F3625"/>
    <w:rsid w:val="002F3731"/>
    <w:rsid w:val="002F379A"/>
    <w:rsid w:val="002F3A8C"/>
    <w:rsid w:val="002F3C0D"/>
    <w:rsid w:val="002F3F6F"/>
    <w:rsid w:val="002F47C6"/>
    <w:rsid w:val="002F495B"/>
    <w:rsid w:val="002F4F65"/>
    <w:rsid w:val="002F5771"/>
    <w:rsid w:val="002F5BC8"/>
    <w:rsid w:val="002F6303"/>
    <w:rsid w:val="002F648D"/>
    <w:rsid w:val="002F64CD"/>
    <w:rsid w:val="002F6AA7"/>
    <w:rsid w:val="002F6EE0"/>
    <w:rsid w:val="002F7009"/>
    <w:rsid w:val="002F705B"/>
    <w:rsid w:val="002F74EF"/>
    <w:rsid w:val="002F75C0"/>
    <w:rsid w:val="002F7B3B"/>
    <w:rsid w:val="002F7C11"/>
    <w:rsid w:val="002F7DBC"/>
    <w:rsid w:val="002F7FE7"/>
    <w:rsid w:val="00300022"/>
    <w:rsid w:val="0030016A"/>
    <w:rsid w:val="00300642"/>
    <w:rsid w:val="00300843"/>
    <w:rsid w:val="00300C1A"/>
    <w:rsid w:val="00301647"/>
    <w:rsid w:val="003016A5"/>
    <w:rsid w:val="0030190C"/>
    <w:rsid w:val="003019FB"/>
    <w:rsid w:val="00301C00"/>
    <w:rsid w:val="00301E29"/>
    <w:rsid w:val="00301E77"/>
    <w:rsid w:val="0030259D"/>
    <w:rsid w:val="0030259F"/>
    <w:rsid w:val="00302943"/>
    <w:rsid w:val="00302C24"/>
    <w:rsid w:val="00302CCD"/>
    <w:rsid w:val="00302EA9"/>
    <w:rsid w:val="00302EF2"/>
    <w:rsid w:val="00302FA5"/>
    <w:rsid w:val="0030345F"/>
    <w:rsid w:val="00303E60"/>
    <w:rsid w:val="00303E9C"/>
    <w:rsid w:val="00303F8E"/>
    <w:rsid w:val="0030427C"/>
    <w:rsid w:val="003042FF"/>
    <w:rsid w:val="003045FC"/>
    <w:rsid w:val="003050A0"/>
    <w:rsid w:val="0030521E"/>
    <w:rsid w:val="0030522C"/>
    <w:rsid w:val="00305ADF"/>
    <w:rsid w:val="00305BB8"/>
    <w:rsid w:val="00305D1A"/>
    <w:rsid w:val="0030613F"/>
    <w:rsid w:val="00306444"/>
    <w:rsid w:val="00306892"/>
    <w:rsid w:val="00306BBB"/>
    <w:rsid w:val="00307082"/>
    <w:rsid w:val="0030754A"/>
    <w:rsid w:val="003076F2"/>
    <w:rsid w:val="00307760"/>
    <w:rsid w:val="00307881"/>
    <w:rsid w:val="00307EA4"/>
    <w:rsid w:val="00310025"/>
    <w:rsid w:val="00310062"/>
    <w:rsid w:val="003101A2"/>
    <w:rsid w:val="00310885"/>
    <w:rsid w:val="00310968"/>
    <w:rsid w:val="00310B88"/>
    <w:rsid w:val="00310B91"/>
    <w:rsid w:val="00311210"/>
    <w:rsid w:val="0031211F"/>
    <w:rsid w:val="003121F0"/>
    <w:rsid w:val="00312F18"/>
    <w:rsid w:val="0031318B"/>
    <w:rsid w:val="0031318F"/>
    <w:rsid w:val="003139CB"/>
    <w:rsid w:val="00313CA4"/>
    <w:rsid w:val="00313ED3"/>
    <w:rsid w:val="0031429A"/>
    <w:rsid w:val="0031470D"/>
    <w:rsid w:val="0031496B"/>
    <w:rsid w:val="00315186"/>
    <w:rsid w:val="00315198"/>
    <w:rsid w:val="0031522A"/>
    <w:rsid w:val="003157EA"/>
    <w:rsid w:val="00315A3C"/>
    <w:rsid w:val="00315B52"/>
    <w:rsid w:val="00315C4B"/>
    <w:rsid w:val="00315F2F"/>
    <w:rsid w:val="00315F99"/>
    <w:rsid w:val="0031635A"/>
    <w:rsid w:val="003165F4"/>
    <w:rsid w:val="00316B25"/>
    <w:rsid w:val="00317218"/>
    <w:rsid w:val="003172A7"/>
    <w:rsid w:val="00317665"/>
    <w:rsid w:val="00317825"/>
    <w:rsid w:val="00317857"/>
    <w:rsid w:val="00317B7C"/>
    <w:rsid w:val="00317D2D"/>
    <w:rsid w:val="003201BC"/>
    <w:rsid w:val="00320EC0"/>
    <w:rsid w:val="003212C2"/>
    <w:rsid w:val="00321590"/>
    <w:rsid w:val="0032167E"/>
    <w:rsid w:val="00321765"/>
    <w:rsid w:val="00321B2F"/>
    <w:rsid w:val="0032239E"/>
    <w:rsid w:val="003223AF"/>
    <w:rsid w:val="003225A7"/>
    <w:rsid w:val="00322F23"/>
    <w:rsid w:val="00322F81"/>
    <w:rsid w:val="00323279"/>
    <w:rsid w:val="0032337F"/>
    <w:rsid w:val="003237B6"/>
    <w:rsid w:val="00323DC1"/>
    <w:rsid w:val="00324135"/>
    <w:rsid w:val="0032452D"/>
    <w:rsid w:val="00324699"/>
    <w:rsid w:val="003246F2"/>
    <w:rsid w:val="00325018"/>
    <w:rsid w:val="00325069"/>
    <w:rsid w:val="00325136"/>
    <w:rsid w:val="00325256"/>
    <w:rsid w:val="00325572"/>
    <w:rsid w:val="003255DA"/>
    <w:rsid w:val="00325764"/>
    <w:rsid w:val="00325884"/>
    <w:rsid w:val="003258F0"/>
    <w:rsid w:val="00325E0A"/>
    <w:rsid w:val="00326319"/>
    <w:rsid w:val="0032641A"/>
    <w:rsid w:val="00326432"/>
    <w:rsid w:val="003268E7"/>
    <w:rsid w:val="00326B30"/>
    <w:rsid w:val="00326E64"/>
    <w:rsid w:val="003273C1"/>
    <w:rsid w:val="003274C6"/>
    <w:rsid w:val="003277C5"/>
    <w:rsid w:val="003278D3"/>
    <w:rsid w:val="00327C8E"/>
    <w:rsid w:val="00327D0E"/>
    <w:rsid w:val="00330A7A"/>
    <w:rsid w:val="00330F39"/>
    <w:rsid w:val="003312AE"/>
    <w:rsid w:val="00331625"/>
    <w:rsid w:val="00331931"/>
    <w:rsid w:val="003319B3"/>
    <w:rsid w:val="00331E8A"/>
    <w:rsid w:val="00332060"/>
    <w:rsid w:val="00332132"/>
    <w:rsid w:val="003326CB"/>
    <w:rsid w:val="00332ADB"/>
    <w:rsid w:val="00332B57"/>
    <w:rsid w:val="00332B93"/>
    <w:rsid w:val="00333171"/>
    <w:rsid w:val="003332DD"/>
    <w:rsid w:val="003335B4"/>
    <w:rsid w:val="003337C6"/>
    <w:rsid w:val="003338D8"/>
    <w:rsid w:val="003338F4"/>
    <w:rsid w:val="00333A7B"/>
    <w:rsid w:val="00333DA0"/>
    <w:rsid w:val="003343CC"/>
    <w:rsid w:val="003347F7"/>
    <w:rsid w:val="00334D3E"/>
    <w:rsid w:val="00334FCB"/>
    <w:rsid w:val="00335453"/>
    <w:rsid w:val="0033561D"/>
    <w:rsid w:val="00335645"/>
    <w:rsid w:val="003356F1"/>
    <w:rsid w:val="00335F1C"/>
    <w:rsid w:val="00335F33"/>
    <w:rsid w:val="00336245"/>
    <w:rsid w:val="0033629D"/>
    <w:rsid w:val="003362C6"/>
    <w:rsid w:val="003368AB"/>
    <w:rsid w:val="003369E1"/>
    <w:rsid w:val="00337017"/>
    <w:rsid w:val="00337AFE"/>
    <w:rsid w:val="00337B42"/>
    <w:rsid w:val="00337BE5"/>
    <w:rsid w:val="00337DDB"/>
    <w:rsid w:val="0034015A"/>
    <w:rsid w:val="003403D6"/>
    <w:rsid w:val="00340567"/>
    <w:rsid w:val="0034071E"/>
    <w:rsid w:val="003409C0"/>
    <w:rsid w:val="00340F88"/>
    <w:rsid w:val="00341072"/>
    <w:rsid w:val="003410BF"/>
    <w:rsid w:val="00341538"/>
    <w:rsid w:val="00341AAE"/>
    <w:rsid w:val="00341C22"/>
    <w:rsid w:val="00341D4C"/>
    <w:rsid w:val="003423EB"/>
    <w:rsid w:val="003425C3"/>
    <w:rsid w:val="00342798"/>
    <w:rsid w:val="00342A07"/>
    <w:rsid w:val="00343100"/>
    <w:rsid w:val="00343C1A"/>
    <w:rsid w:val="00343DBB"/>
    <w:rsid w:val="00343F71"/>
    <w:rsid w:val="00343F93"/>
    <w:rsid w:val="00344822"/>
    <w:rsid w:val="00344DAB"/>
    <w:rsid w:val="00344EC3"/>
    <w:rsid w:val="00345012"/>
    <w:rsid w:val="003450A5"/>
    <w:rsid w:val="00345349"/>
    <w:rsid w:val="00345549"/>
    <w:rsid w:val="003457C5"/>
    <w:rsid w:val="00345B14"/>
    <w:rsid w:val="00345BF1"/>
    <w:rsid w:val="00346135"/>
    <w:rsid w:val="003463AE"/>
    <w:rsid w:val="003465E9"/>
    <w:rsid w:val="00346ADF"/>
    <w:rsid w:val="0034718F"/>
    <w:rsid w:val="003472C8"/>
    <w:rsid w:val="003472DC"/>
    <w:rsid w:val="003474C4"/>
    <w:rsid w:val="00347812"/>
    <w:rsid w:val="00347E5F"/>
    <w:rsid w:val="0035021B"/>
    <w:rsid w:val="00350494"/>
    <w:rsid w:val="0035077C"/>
    <w:rsid w:val="00350D89"/>
    <w:rsid w:val="00350E40"/>
    <w:rsid w:val="00350F2E"/>
    <w:rsid w:val="003511E3"/>
    <w:rsid w:val="00351341"/>
    <w:rsid w:val="003513C2"/>
    <w:rsid w:val="00351421"/>
    <w:rsid w:val="0035151B"/>
    <w:rsid w:val="0035189F"/>
    <w:rsid w:val="00351989"/>
    <w:rsid w:val="0035206E"/>
    <w:rsid w:val="00352742"/>
    <w:rsid w:val="00352BFA"/>
    <w:rsid w:val="0035354D"/>
    <w:rsid w:val="00353711"/>
    <w:rsid w:val="00353B6B"/>
    <w:rsid w:val="00353BAE"/>
    <w:rsid w:val="00353FA1"/>
    <w:rsid w:val="003544A7"/>
    <w:rsid w:val="00354603"/>
    <w:rsid w:val="003547A1"/>
    <w:rsid w:val="003548AF"/>
    <w:rsid w:val="003549D7"/>
    <w:rsid w:val="00354A5A"/>
    <w:rsid w:val="00354B5D"/>
    <w:rsid w:val="00354E89"/>
    <w:rsid w:val="003553BA"/>
    <w:rsid w:val="0035543F"/>
    <w:rsid w:val="00355599"/>
    <w:rsid w:val="0035563B"/>
    <w:rsid w:val="0035572D"/>
    <w:rsid w:val="003558DA"/>
    <w:rsid w:val="00355F5A"/>
    <w:rsid w:val="003560DF"/>
    <w:rsid w:val="00356162"/>
    <w:rsid w:val="00356549"/>
    <w:rsid w:val="0035687A"/>
    <w:rsid w:val="00356A63"/>
    <w:rsid w:val="00356B22"/>
    <w:rsid w:val="00356CB4"/>
    <w:rsid w:val="00356D89"/>
    <w:rsid w:val="0035727D"/>
    <w:rsid w:val="003574FA"/>
    <w:rsid w:val="00357747"/>
    <w:rsid w:val="003577A1"/>
    <w:rsid w:val="0036014B"/>
    <w:rsid w:val="003601E1"/>
    <w:rsid w:val="003603C1"/>
    <w:rsid w:val="00360840"/>
    <w:rsid w:val="00360D3C"/>
    <w:rsid w:val="00360E62"/>
    <w:rsid w:val="003613E3"/>
    <w:rsid w:val="00361D28"/>
    <w:rsid w:val="00361ECA"/>
    <w:rsid w:val="00362070"/>
    <w:rsid w:val="003621A6"/>
    <w:rsid w:val="0036222C"/>
    <w:rsid w:val="00362583"/>
    <w:rsid w:val="0036258B"/>
    <w:rsid w:val="00362B0F"/>
    <w:rsid w:val="00362D0A"/>
    <w:rsid w:val="00362E49"/>
    <w:rsid w:val="00362FDF"/>
    <w:rsid w:val="003630A2"/>
    <w:rsid w:val="00363254"/>
    <w:rsid w:val="0036326C"/>
    <w:rsid w:val="0036395F"/>
    <w:rsid w:val="003639C3"/>
    <w:rsid w:val="00363B33"/>
    <w:rsid w:val="0036425C"/>
    <w:rsid w:val="00364413"/>
    <w:rsid w:val="0036532E"/>
    <w:rsid w:val="00365367"/>
    <w:rsid w:val="003654F4"/>
    <w:rsid w:val="0036561B"/>
    <w:rsid w:val="003657BB"/>
    <w:rsid w:val="00365804"/>
    <w:rsid w:val="003664C4"/>
    <w:rsid w:val="00366521"/>
    <w:rsid w:val="00366676"/>
    <w:rsid w:val="00366821"/>
    <w:rsid w:val="00366E1B"/>
    <w:rsid w:val="0036774F"/>
    <w:rsid w:val="00370000"/>
    <w:rsid w:val="00370341"/>
    <w:rsid w:val="00370471"/>
    <w:rsid w:val="00370B24"/>
    <w:rsid w:val="003710FE"/>
    <w:rsid w:val="00371189"/>
    <w:rsid w:val="00371E13"/>
    <w:rsid w:val="003720AD"/>
    <w:rsid w:val="003721CD"/>
    <w:rsid w:val="0037233C"/>
    <w:rsid w:val="003727EE"/>
    <w:rsid w:val="0037296E"/>
    <w:rsid w:val="00372CAF"/>
    <w:rsid w:val="00373181"/>
    <w:rsid w:val="00373AA3"/>
    <w:rsid w:val="00373C41"/>
    <w:rsid w:val="003743B3"/>
    <w:rsid w:val="00374482"/>
    <w:rsid w:val="00374529"/>
    <w:rsid w:val="003749F4"/>
    <w:rsid w:val="00374BD6"/>
    <w:rsid w:val="00374D48"/>
    <w:rsid w:val="00374E30"/>
    <w:rsid w:val="003752EB"/>
    <w:rsid w:val="003756A1"/>
    <w:rsid w:val="003756C4"/>
    <w:rsid w:val="00375A2D"/>
    <w:rsid w:val="00375B45"/>
    <w:rsid w:val="00375C4B"/>
    <w:rsid w:val="0037614D"/>
    <w:rsid w:val="003763C4"/>
    <w:rsid w:val="00376458"/>
    <w:rsid w:val="00376D4E"/>
    <w:rsid w:val="00376F6B"/>
    <w:rsid w:val="00376F78"/>
    <w:rsid w:val="003770D3"/>
    <w:rsid w:val="0037738A"/>
    <w:rsid w:val="003773FB"/>
    <w:rsid w:val="00377532"/>
    <w:rsid w:val="00377BCF"/>
    <w:rsid w:val="00377C21"/>
    <w:rsid w:val="00377C6E"/>
    <w:rsid w:val="00380138"/>
    <w:rsid w:val="0038019F"/>
    <w:rsid w:val="003801AA"/>
    <w:rsid w:val="003803CA"/>
    <w:rsid w:val="0038095A"/>
    <w:rsid w:val="003809E8"/>
    <w:rsid w:val="00380B3B"/>
    <w:rsid w:val="00380C9C"/>
    <w:rsid w:val="00380DFB"/>
    <w:rsid w:val="0038110F"/>
    <w:rsid w:val="0038160D"/>
    <w:rsid w:val="00381EC8"/>
    <w:rsid w:val="00381F41"/>
    <w:rsid w:val="003824AA"/>
    <w:rsid w:val="00382589"/>
    <w:rsid w:val="00382732"/>
    <w:rsid w:val="003827E9"/>
    <w:rsid w:val="00382A8B"/>
    <w:rsid w:val="00383523"/>
    <w:rsid w:val="00383AB0"/>
    <w:rsid w:val="00383C66"/>
    <w:rsid w:val="00383E0D"/>
    <w:rsid w:val="00383E80"/>
    <w:rsid w:val="00384010"/>
    <w:rsid w:val="003842B9"/>
    <w:rsid w:val="0038442D"/>
    <w:rsid w:val="0038488C"/>
    <w:rsid w:val="00384E72"/>
    <w:rsid w:val="00384E82"/>
    <w:rsid w:val="003853A3"/>
    <w:rsid w:val="00385418"/>
    <w:rsid w:val="003859E3"/>
    <w:rsid w:val="00385D41"/>
    <w:rsid w:val="00385E2D"/>
    <w:rsid w:val="00385E5D"/>
    <w:rsid w:val="00386110"/>
    <w:rsid w:val="003863CD"/>
    <w:rsid w:val="0038655C"/>
    <w:rsid w:val="00386782"/>
    <w:rsid w:val="00386AAD"/>
    <w:rsid w:val="00386C78"/>
    <w:rsid w:val="00386C9A"/>
    <w:rsid w:val="00386E14"/>
    <w:rsid w:val="0038706C"/>
    <w:rsid w:val="00387340"/>
    <w:rsid w:val="00387811"/>
    <w:rsid w:val="003905E1"/>
    <w:rsid w:val="00390BC9"/>
    <w:rsid w:val="00390EE1"/>
    <w:rsid w:val="00390FE6"/>
    <w:rsid w:val="0039123F"/>
    <w:rsid w:val="003913A4"/>
    <w:rsid w:val="003915F6"/>
    <w:rsid w:val="003917A7"/>
    <w:rsid w:val="00391BDC"/>
    <w:rsid w:val="00392142"/>
    <w:rsid w:val="00392218"/>
    <w:rsid w:val="00392534"/>
    <w:rsid w:val="0039253E"/>
    <w:rsid w:val="00392C30"/>
    <w:rsid w:val="00393AC3"/>
    <w:rsid w:val="00393FB6"/>
    <w:rsid w:val="0039425E"/>
    <w:rsid w:val="00394350"/>
    <w:rsid w:val="0039477E"/>
    <w:rsid w:val="0039484E"/>
    <w:rsid w:val="0039489A"/>
    <w:rsid w:val="00394B7E"/>
    <w:rsid w:val="00394E2D"/>
    <w:rsid w:val="00395A4B"/>
    <w:rsid w:val="003960ED"/>
    <w:rsid w:val="003962FA"/>
    <w:rsid w:val="00396877"/>
    <w:rsid w:val="00396913"/>
    <w:rsid w:val="00396AF0"/>
    <w:rsid w:val="00396EC5"/>
    <w:rsid w:val="0039726C"/>
    <w:rsid w:val="003972DF"/>
    <w:rsid w:val="003974F7"/>
    <w:rsid w:val="003976B4"/>
    <w:rsid w:val="0039772E"/>
    <w:rsid w:val="00397A04"/>
    <w:rsid w:val="00397B07"/>
    <w:rsid w:val="00397B30"/>
    <w:rsid w:val="00397DB2"/>
    <w:rsid w:val="00397E74"/>
    <w:rsid w:val="00397FA2"/>
    <w:rsid w:val="003A0030"/>
    <w:rsid w:val="003A0279"/>
    <w:rsid w:val="003A05D3"/>
    <w:rsid w:val="003A062D"/>
    <w:rsid w:val="003A076D"/>
    <w:rsid w:val="003A0C77"/>
    <w:rsid w:val="003A15BA"/>
    <w:rsid w:val="003A1806"/>
    <w:rsid w:val="003A185A"/>
    <w:rsid w:val="003A18D2"/>
    <w:rsid w:val="003A199F"/>
    <w:rsid w:val="003A1E2B"/>
    <w:rsid w:val="003A2CCF"/>
    <w:rsid w:val="003A338A"/>
    <w:rsid w:val="003A3444"/>
    <w:rsid w:val="003A373E"/>
    <w:rsid w:val="003A3A56"/>
    <w:rsid w:val="003A3EDD"/>
    <w:rsid w:val="003A4633"/>
    <w:rsid w:val="003A4666"/>
    <w:rsid w:val="003A46DC"/>
    <w:rsid w:val="003A4919"/>
    <w:rsid w:val="003A4AD1"/>
    <w:rsid w:val="003A5286"/>
    <w:rsid w:val="003A541A"/>
    <w:rsid w:val="003A5506"/>
    <w:rsid w:val="003A596D"/>
    <w:rsid w:val="003A59AD"/>
    <w:rsid w:val="003A5D86"/>
    <w:rsid w:val="003A60CD"/>
    <w:rsid w:val="003A62CF"/>
    <w:rsid w:val="003A66F9"/>
    <w:rsid w:val="003A686F"/>
    <w:rsid w:val="003A690E"/>
    <w:rsid w:val="003A6993"/>
    <w:rsid w:val="003A6C49"/>
    <w:rsid w:val="003A72F2"/>
    <w:rsid w:val="003A730A"/>
    <w:rsid w:val="003A7785"/>
    <w:rsid w:val="003A7E6D"/>
    <w:rsid w:val="003B0121"/>
    <w:rsid w:val="003B0217"/>
    <w:rsid w:val="003B06D8"/>
    <w:rsid w:val="003B0740"/>
    <w:rsid w:val="003B087D"/>
    <w:rsid w:val="003B0AB6"/>
    <w:rsid w:val="003B0C17"/>
    <w:rsid w:val="003B0CDC"/>
    <w:rsid w:val="003B0FCE"/>
    <w:rsid w:val="003B10F6"/>
    <w:rsid w:val="003B18A0"/>
    <w:rsid w:val="003B1932"/>
    <w:rsid w:val="003B1AB4"/>
    <w:rsid w:val="003B1D62"/>
    <w:rsid w:val="003B1D6A"/>
    <w:rsid w:val="003B2007"/>
    <w:rsid w:val="003B25FB"/>
    <w:rsid w:val="003B2B86"/>
    <w:rsid w:val="003B2E0D"/>
    <w:rsid w:val="003B30EE"/>
    <w:rsid w:val="003B324E"/>
    <w:rsid w:val="003B32D3"/>
    <w:rsid w:val="003B3330"/>
    <w:rsid w:val="003B3BAA"/>
    <w:rsid w:val="003B3C29"/>
    <w:rsid w:val="003B3CAC"/>
    <w:rsid w:val="003B3DAA"/>
    <w:rsid w:val="003B401F"/>
    <w:rsid w:val="003B41DA"/>
    <w:rsid w:val="003B42D7"/>
    <w:rsid w:val="003B442D"/>
    <w:rsid w:val="003B4604"/>
    <w:rsid w:val="003B4729"/>
    <w:rsid w:val="003B4AF7"/>
    <w:rsid w:val="003B52B9"/>
    <w:rsid w:val="003B5342"/>
    <w:rsid w:val="003B5385"/>
    <w:rsid w:val="003B53BD"/>
    <w:rsid w:val="003B54B2"/>
    <w:rsid w:val="003B55A9"/>
    <w:rsid w:val="003B56DB"/>
    <w:rsid w:val="003B5892"/>
    <w:rsid w:val="003B5E93"/>
    <w:rsid w:val="003B5EEF"/>
    <w:rsid w:val="003B613B"/>
    <w:rsid w:val="003B6692"/>
    <w:rsid w:val="003B6B57"/>
    <w:rsid w:val="003B6CE2"/>
    <w:rsid w:val="003B6ECC"/>
    <w:rsid w:val="003B74BE"/>
    <w:rsid w:val="003B7A23"/>
    <w:rsid w:val="003B7BF1"/>
    <w:rsid w:val="003B7DFD"/>
    <w:rsid w:val="003C00D0"/>
    <w:rsid w:val="003C05C9"/>
    <w:rsid w:val="003C0BC8"/>
    <w:rsid w:val="003C1310"/>
    <w:rsid w:val="003C14B5"/>
    <w:rsid w:val="003C19C4"/>
    <w:rsid w:val="003C1BD3"/>
    <w:rsid w:val="003C1C78"/>
    <w:rsid w:val="003C25F9"/>
    <w:rsid w:val="003C266E"/>
    <w:rsid w:val="003C2790"/>
    <w:rsid w:val="003C27A5"/>
    <w:rsid w:val="003C2968"/>
    <w:rsid w:val="003C2B4A"/>
    <w:rsid w:val="003C2C0D"/>
    <w:rsid w:val="003C2C66"/>
    <w:rsid w:val="003C2DC3"/>
    <w:rsid w:val="003C300B"/>
    <w:rsid w:val="003C3093"/>
    <w:rsid w:val="003C3102"/>
    <w:rsid w:val="003C37DD"/>
    <w:rsid w:val="003C3A8F"/>
    <w:rsid w:val="003C3B57"/>
    <w:rsid w:val="003C3C7D"/>
    <w:rsid w:val="003C52D9"/>
    <w:rsid w:val="003C567D"/>
    <w:rsid w:val="003C5CAF"/>
    <w:rsid w:val="003C6338"/>
    <w:rsid w:val="003C67A8"/>
    <w:rsid w:val="003C6A21"/>
    <w:rsid w:val="003C6AA2"/>
    <w:rsid w:val="003C6C8E"/>
    <w:rsid w:val="003C6F5A"/>
    <w:rsid w:val="003C71C0"/>
    <w:rsid w:val="003C7497"/>
    <w:rsid w:val="003C757A"/>
    <w:rsid w:val="003C7AF9"/>
    <w:rsid w:val="003C7C94"/>
    <w:rsid w:val="003C7DAD"/>
    <w:rsid w:val="003D0291"/>
    <w:rsid w:val="003D03E3"/>
    <w:rsid w:val="003D0CB1"/>
    <w:rsid w:val="003D0F60"/>
    <w:rsid w:val="003D133D"/>
    <w:rsid w:val="003D13D0"/>
    <w:rsid w:val="003D174F"/>
    <w:rsid w:val="003D1B6E"/>
    <w:rsid w:val="003D1B95"/>
    <w:rsid w:val="003D2092"/>
    <w:rsid w:val="003D22F2"/>
    <w:rsid w:val="003D2406"/>
    <w:rsid w:val="003D2562"/>
    <w:rsid w:val="003D2757"/>
    <w:rsid w:val="003D2777"/>
    <w:rsid w:val="003D2DEC"/>
    <w:rsid w:val="003D306C"/>
    <w:rsid w:val="003D35C1"/>
    <w:rsid w:val="003D3845"/>
    <w:rsid w:val="003D3CF5"/>
    <w:rsid w:val="003D4018"/>
    <w:rsid w:val="003D412D"/>
    <w:rsid w:val="003D4696"/>
    <w:rsid w:val="003D4747"/>
    <w:rsid w:val="003D48B7"/>
    <w:rsid w:val="003D4D6D"/>
    <w:rsid w:val="003D4DAC"/>
    <w:rsid w:val="003D4E10"/>
    <w:rsid w:val="003D5F11"/>
    <w:rsid w:val="003D6773"/>
    <w:rsid w:val="003D67E8"/>
    <w:rsid w:val="003D70B4"/>
    <w:rsid w:val="003D70C8"/>
    <w:rsid w:val="003D759B"/>
    <w:rsid w:val="003D7CAF"/>
    <w:rsid w:val="003E05A8"/>
    <w:rsid w:val="003E110E"/>
    <w:rsid w:val="003E19A6"/>
    <w:rsid w:val="003E1BAD"/>
    <w:rsid w:val="003E1D34"/>
    <w:rsid w:val="003E1F44"/>
    <w:rsid w:val="003E2127"/>
    <w:rsid w:val="003E27BA"/>
    <w:rsid w:val="003E297C"/>
    <w:rsid w:val="003E2FF6"/>
    <w:rsid w:val="003E3156"/>
    <w:rsid w:val="003E329A"/>
    <w:rsid w:val="003E329B"/>
    <w:rsid w:val="003E3638"/>
    <w:rsid w:val="003E36EC"/>
    <w:rsid w:val="003E376A"/>
    <w:rsid w:val="003E3B07"/>
    <w:rsid w:val="003E3C24"/>
    <w:rsid w:val="003E41DD"/>
    <w:rsid w:val="003E459C"/>
    <w:rsid w:val="003E4715"/>
    <w:rsid w:val="003E4809"/>
    <w:rsid w:val="003E5011"/>
    <w:rsid w:val="003E51CD"/>
    <w:rsid w:val="003E55A4"/>
    <w:rsid w:val="003E57A9"/>
    <w:rsid w:val="003E5896"/>
    <w:rsid w:val="003E5EBF"/>
    <w:rsid w:val="003E5F52"/>
    <w:rsid w:val="003E60B7"/>
    <w:rsid w:val="003E629A"/>
    <w:rsid w:val="003E6482"/>
    <w:rsid w:val="003E6950"/>
    <w:rsid w:val="003E6AA4"/>
    <w:rsid w:val="003E6DD0"/>
    <w:rsid w:val="003E7234"/>
    <w:rsid w:val="003E7F8E"/>
    <w:rsid w:val="003E7F94"/>
    <w:rsid w:val="003F045D"/>
    <w:rsid w:val="003F0473"/>
    <w:rsid w:val="003F09FF"/>
    <w:rsid w:val="003F0C6C"/>
    <w:rsid w:val="003F0C9C"/>
    <w:rsid w:val="003F0D94"/>
    <w:rsid w:val="003F1405"/>
    <w:rsid w:val="003F176B"/>
    <w:rsid w:val="003F1930"/>
    <w:rsid w:val="003F1A32"/>
    <w:rsid w:val="003F1B96"/>
    <w:rsid w:val="003F1D37"/>
    <w:rsid w:val="003F1E38"/>
    <w:rsid w:val="003F1FE5"/>
    <w:rsid w:val="003F25E1"/>
    <w:rsid w:val="003F2850"/>
    <w:rsid w:val="003F2EA4"/>
    <w:rsid w:val="003F32C9"/>
    <w:rsid w:val="003F33B5"/>
    <w:rsid w:val="003F341B"/>
    <w:rsid w:val="003F379C"/>
    <w:rsid w:val="003F38A2"/>
    <w:rsid w:val="003F3C41"/>
    <w:rsid w:val="003F41AE"/>
    <w:rsid w:val="003F49AD"/>
    <w:rsid w:val="003F4BB7"/>
    <w:rsid w:val="003F4BCF"/>
    <w:rsid w:val="003F4D54"/>
    <w:rsid w:val="003F4E45"/>
    <w:rsid w:val="003F4E97"/>
    <w:rsid w:val="003F5238"/>
    <w:rsid w:val="003F52F1"/>
    <w:rsid w:val="003F5503"/>
    <w:rsid w:val="003F56D8"/>
    <w:rsid w:val="003F58FC"/>
    <w:rsid w:val="003F5C2E"/>
    <w:rsid w:val="003F5F41"/>
    <w:rsid w:val="003F649D"/>
    <w:rsid w:val="003F6EBE"/>
    <w:rsid w:val="003F705B"/>
    <w:rsid w:val="003F73A2"/>
    <w:rsid w:val="003F74DD"/>
    <w:rsid w:val="003F77CF"/>
    <w:rsid w:val="003F7810"/>
    <w:rsid w:val="003F782D"/>
    <w:rsid w:val="003F7DDE"/>
    <w:rsid w:val="003F7F9E"/>
    <w:rsid w:val="004005AA"/>
    <w:rsid w:val="00400AC3"/>
    <w:rsid w:val="00400B30"/>
    <w:rsid w:val="00400BA1"/>
    <w:rsid w:val="00400C22"/>
    <w:rsid w:val="00400EA2"/>
    <w:rsid w:val="00400ED3"/>
    <w:rsid w:val="004013FC"/>
    <w:rsid w:val="0040200F"/>
    <w:rsid w:val="004020B1"/>
    <w:rsid w:val="00402105"/>
    <w:rsid w:val="0040254D"/>
    <w:rsid w:val="0040292D"/>
    <w:rsid w:val="00402F08"/>
    <w:rsid w:val="00402F91"/>
    <w:rsid w:val="00402FAD"/>
    <w:rsid w:val="00403099"/>
    <w:rsid w:val="0040325C"/>
    <w:rsid w:val="00403274"/>
    <w:rsid w:val="0040336A"/>
    <w:rsid w:val="00403902"/>
    <w:rsid w:val="00404230"/>
    <w:rsid w:val="004042D7"/>
    <w:rsid w:val="00404762"/>
    <w:rsid w:val="00404A09"/>
    <w:rsid w:val="00404DB2"/>
    <w:rsid w:val="00405202"/>
    <w:rsid w:val="004052AB"/>
    <w:rsid w:val="004055ED"/>
    <w:rsid w:val="00406AA0"/>
    <w:rsid w:val="00406B39"/>
    <w:rsid w:val="00406D64"/>
    <w:rsid w:val="0040743E"/>
    <w:rsid w:val="0040765F"/>
    <w:rsid w:val="004076E7"/>
    <w:rsid w:val="00407885"/>
    <w:rsid w:val="0040795E"/>
    <w:rsid w:val="00407A85"/>
    <w:rsid w:val="00407AFB"/>
    <w:rsid w:val="00410019"/>
    <w:rsid w:val="0041001B"/>
    <w:rsid w:val="00410077"/>
    <w:rsid w:val="004100F3"/>
    <w:rsid w:val="004100FA"/>
    <w:rsid w:val="0041023F"/>
    <w:rsid w:val="00410766"/>
    <w:rsid w:val="0041080F"/>
    <w:rsid w:val="0041089F"/>
    <w:rsid w:val="00410DED"/>
    <w:rsid w:val="00411440"/>
    <w:rsid w:val="00412531"/>
    <w:rsid w:val="00412820"/>
    <w:rsid w:val="00412ABA"/>
    <w:rsid w:val="004134FB"/>
    <w:rsid w:val="0041356A"/>
    <w:rsid w:val="00413A28"/>
    <w:rsid w:val="00413CC5"/>
    <w:rsid w:val="00413CFC"/>
    <w:rsid w:val="00413E5C"/>
    <w:rsid w:val="004141F0"/>
    <w:rsid w:val="00414809"/>
    <w:rsid w:val="00414878"/>
    <w:rsid w:val="00414976"/>
    <w:rsid w:val="00414C7D"/>
    <w:rsid w:val="00414D98"/>
    <w:rsid w:val="00414D9F"/>
    <w:rsid w:val="004150BF"/>
    <w:rsid w:val="004153F7"/>
    <w:rsid w:val="00415648"/>
    <w:rsid w:val="00415846"/>
    <w:rsid w:val="004158D2"/>
    <w:rsid w:val="00415988"/>
    <w:rsid w:val="00415BD4"/>
    <w:rsid w:val="00415C53"/>
    <w:rsid w:val="00415D38"/>
    <w:rsid w:val="00415DDD"/>
    <w:rsid w:val="004164E9"/>
    <w:rsid w:val="00416939"/>
    <w:rsid w:val="00416B61"/>
    <w:rsid w:val="00416D9C"/>
    <w:rsid w:val="00417333"/>
    <w:rsid w:val="00417347"/>
    <w:rsid w:val="004176B5"/>
    <w:rsid w:val="004178B0"/>
    <w:rsid w:val="00417A53"/>
    <w:rsid w:val="00417AB1"/>
    <w:rsid w:val="00417AB7"/>
    <w:rsid w:val="00417AC7"/>
    <w:rsid w:val="00417EBE"/>
    <w:rsid w:val="00420270"/>
    <w:rsid w:val="004207D1"/>
    <w:rsid w:val="00421205"/>
    <w:rsid w:val="004212A3"/>
    <w:rsid w:val="004215F7"/>
    <w:rsid w:val="00421B7A"/>
    <w:rsid w:val="004226C1"/>
    <w:rsid w:val="00422A22"/>
    <w:rsid w:val="00422E05"/>
    <w:rsid w:val="00423196"/>
    <w:rsid w:val="00423805"/>
    <w:rsid w:val="00423F02"/>
    <w:rsid w:val="0042461D"/>
    <w:rsid w:val="00424A4B"/>
    <w:rsid w:val="00424EB0"/>
    <w:rsid w:val="00425047"/>
    <w:rsid w:val="0042512D"/>
    <w:rsid w:val="00425285"/>
    <w:rsid w:val="0042566E"/>
    <w:rsid w:val="0042583F"/>
    <w:rsid w:val="004258EF"/>
    <w:rsid w:val="00425A7C"/>
    <w:rsid w:val="00425C30"/>
    <w:rsid w:val="00426767"/>
    <w:rsid w:val="00426901"/>
    <w:rsid w:val="00426E3E"/>
    <w:rsid w:val="004270D3"/>
    <w:rsid w:val="0042716E"/>
    <w:rsid w:val="004273F5"/>
    <w:rsid w:val="004275CA"/>
    <w:rsid w:val="004276AC"/>
    <w:rsid w:val="00427C71"/>
    <w:rsid w:val="004302DE"/>
    <w:rsid w:val="00430335"/>
    <w:rsid w:val="00430AF0"/>
    <w:rsid w:val="00430B05"/>
    <w:rsid w:val="0043127F"/>
    <w:rsid w:val="004316A4"/>
    <w:rsid w:val="0043198C"/>
    <w:rsid w:val="004325C6"/>
    <w:rsid w:val="00432D12"/>
    <w:rsid w:val="00433266"/>
    <w:rsid w:val="004332D1"/>
    <w:rsid w:val="004334C0"/>
    <w:rsid w:val="004335DB"/>
    <w:rsid w:val="00433A36"/>
    <w:rsid w:val="00433E06"/>
    <w:rsid w:val="00433F43"/>
    <w:rsid w:val="00434093"/>
    <w:rsid w:val="004340F6"/>
    <w:rsid w:val="00434606"/>
    <w:rsid w:val="004348BF"/>
    <w:rsid w:val="00434AC1"/>
    <w:rsid w:val="00435178"/>
    <w:rsid w:val="00435419"/>
    <w:rsid w:val="00435D79"/>
    <w:rsid w:val="00435F16"/>
    <w:rsid w:val="00436175"/>
    <w:rsid w:val="00436E71"/>
    <w:rsid w:val="004370C3"/>
    <w:rsid w:val="00437512"/>
    <w:rsid w:val="004376C6"/>
    <w:rsid w:val="004376C7"/>
    <w:rsid w:val="004376D3"/>
    <w:rsid w:val="00437842"/>
    <w:rsid w:val="00437A6F"/>
    <w:rsid w:val="00437B67"/>
    <w:rsid w:val="00437FF3"/>
    <w:rsid w:val="00440208"/>
    <w:rsid w:val="0044060D"/>
    <w:rsid w:val="00440A44"/>
    <w:rsid w:val="00440A86"/>
    <w:rsid w:val="00440C07"/>
    <w:rsid w:val="00440C0E"/>
    <w:rsid w:val="00440C22"/>
    <w:rsid w:val="00440E73"/>
    <w:rsid w:val="00440F4B"/>
    <w:rsid w:val="00440F79"/>
    <w:rsid w:val="004410F1"/>
    <w:rsid w:val="00441122"/>
    <w:rsid w:val="0044145F"/>
    <w:rsid w:val="00441F48"/>
    <w:rsid w:val="004421F1"/>
    <w:rsid w:val="004423A6"/>
    <w:rsid w:val="004423F0"/>
    <w:rsid w:val="00442495"/>
    <w:rsid w:val="004425CD"/>
    <w:rsid w:val="00442660"/>
    <w:rsid w:val="00442661"/>
    <w:rsid w:val="004428C5"/>
    <w:rsid w:val="004429BF"/>
    <w:rsid w:val="00442B8C"/>
    <w:rsid w:val="00442D93"/>
    <w:rsid w:val="0044315F"/>
    <w:rsid w:val="00443305"/>
    <w:rsid w:val="00443460"/>
    <w:rsid w:val="004435BE"/>
    <w:rsid w:val="004438E2"/>
    <w:rsid w:val="00444185"/>
    <w:rsid w:val="00444603"/>
    <w:rsid w:val="00444894"/>
    <w:rsid w:val="0044492F"/>
    <w:rsid w:val="00444A40"/>
    <w:rsid w:val="00444E5D"/>
    <w:rsid w:val="0044504D"/>
    <w:rsid w:val="00445089"/>
    <w:rsid w:val="0044582B"/>
    <w:rsid w:val="00445A6D"/>
    <w:rsid w:val="00445B40"/>
    <w:rsid w:val="00445B59"/>
    <w:rsid w:val="00445D67"/>
    <w:rsid w:val="00445F4A"/>
    <w:rsid w:val="004464F3"/>
    <w:rsid w:val="00446745"/>
    <w:rsid w:val="004467E7"/>
    <w:rsid w:val="0044693C"/>
    <w:rsid w:val="00446C92"/>
    <w:rsid w:val="00446E25"/>
    <w:rsid w:val="00446F34"/>
    <w:rsid w:val="004470DD"/>
    <w:rsid w:val="00447256"/>
    <w:rsid w:val="004478E0"/>
    <w:rsid w:val="00447A49"/>
    <w:rsid w:val="00447FE6"/>
    <w:rsid w:val="0045025E"/>
    <w:rsid w:val="00450486"/>
    <w:rsid w:val="004504F1"/>
    <w:rsid w:val="00450DA0"/>
    <w:rsid w:val="00450DBA"/>
    <w:rsid w:val="00451299"/>
    <w:rsid w:val="00451956"/>
    <w:rsid w:val="00451A01"/>
    <w:rsid w:val="00451E05"/>
    <w:rsid w:val="00452294"/>
    <w:rsid w:val="00452437"/>
    <w:rsid w:val="00452568"/>
    <w:rsid w:val="00452798"/>
    <w:rsid w:val="0045293D"/>
    <w:rsid w:val="00452A1D"/>
    <w:rsid w:val="00452A54"/>
    <w:rsid w:val="00452BD8"/>
    <w:rsid w:val="00452EC0"/>
    <w:rsid w:val="00453079"/>
    <w:rsid w:val="00453903"/>
    <w:rsid w:val="00453E65"/>
    <w:rsid w:val="004540F0"/>
    <w:rsid w:val="0045429F"/>
    <w:rsid w:val="004543BE"/>
    <w:rsid w:val="004546BE"/>
    <w:rsid w:val="004547DD"/>
    <w:rsid w:val="004548A6"/>
    <w:rsid w:val="00454A06"/>
    <w:rsid w:val="00454A8F"/>
    <w:rsid w:val="00454B03"/>
    <w:rsid w:val="00454B8D"/>
    <w:rsid w:val="00454CA3"/>
    <w:rsid w:val="00454F47"/>
    <w:rsid w:val="004553C6"/>
    <w:rsid w:val="0045542D"/>
    <w:rsid w:val="004554DD"/>
    <w:rsid w:val="004556FE"/>
    <w:rsid w:val="004558E4"/>
    <w:rsid w:val="00455994"/>
    <w:rsid w:val="00455C55"/>
    <w:rsid w:val="00456210"/>
    <w:rsid w:val="00456349"/>
    <w:rsid w:val="00456780"/>
    <w:rsid w:val="00456E5E"/>
    <w:rsid w:val="0045736D"/>
    <w:rsid w:val="0045794A"/>
    <w:rsid w:val="0045796F"/>
    <w:rsid w:val="00457DB2"/>
    <w:rsid w:val="00457E48"/>
    <w:rsid w:val="00457F08"/>
    <w:rsid w:val="00457F6F"/>
    <w:rsid w:val="004602AA"/>
    <w:rsid w:val="00460B70"/>
    <w:rsid w:val="00460E09"/>
    <w:rsid w:val="004612C3"/>
    <w:rsid w:val="0046187D"/>
    <w:rsid w:val="00461991"/>
    <w:rsid w:val="004620C7"/>
    <w:rsid w:val="0046221A"/>
    <w:rsid w:val="00462464"/>
    <w:rsid w:val="00462A63"/>
    <w:rsid w:val="00462AF0"/>
    <w:rsid w:val="00463AF8"/>
    <w:rsid w:val="00463BBC"/>
    <w:rsid w:val="00463DC2"/>
    <w:rsid w:val="00463E1E"/>
    <w:rsid w:val="0046472C"/>
    <w:rsid w:val="004648A5"/>
    <w:rsid w:val="00464A85"/>
    <w:rsid w:val="00464D4F"/>
    <w:rsid w:val="00464DBA"/>
    <w:rsid w:val="00464FE0"/>
    <w:rsid w:val="00465134"/>
    <w:rsid w:val="0046529F"/>
    <w:rsid w:val="004652B7"/>
    <w:rsid w:val="00465848"/>
    <w:rsid w:val="00465A2D"/>
    <w:rsid w:val="00465CBD"/>
    <w:rsid w:val="00466199"/>
    <w:rsid w:val="00466200"/>
    <w:rsid w:val="0046621E"/>
    <w:rsid w:val="004664B4"/>
    <w:rsid w:val="004664F8"/>
    <w:rsid w:val="00466504"/>
    <w:rsid w:val="004669A1"/>
    <w:rsid w:val="00466AB9"/>
    <w:rsid w:val="00466CDD"/>
    <w:rsid w:val="00466FDF"/>
    <w:rsid w:val="004670DF"/>
    <w:rsid w:val="0046714A"/>
    <w:rsid w:val="004674AD"/>
    <w:rsid w:val="00467742"/>
    <w:rsid w:val="00467DB2"/>
    <w:rsid w:val="00467DF6"/>
    <w:rsid w:val="00470069"/>
    <w:rsid w:val="00470926"/>
    <w:rsid w:val="004709BA"/>
    <w:rsid w:val="004713BE"/>
    <w:rsid w:val="0047148F"/>
    <w:rsid w:val="004726B7"/>
    <w:rsid w:val="004726CE"/>
    <w:rsid w:val="00472998"/>
    <w:rsid w:val="00472DAD"/>
    <w:rsid w:val="00472E7C"/>
    <w:rsid w:val="00472F38"/>
    <w:rsid w:val="004731C6"/>
    <w:rsid w:val="00473460"/>
    <w:rsid w:val="004735EC"/>
    <w:rsid w:val="00473709"/>
    <w:rsid w:val="004738B1"/>
    <w:rsid w:val="00473982"/>
    <w:rsid w:val="00473ADA"/>
    <w:rsid w:val="0047410F"/>
    <w:rsid w:val="004744DC"/>
    <w:rsid w:val="004745F6"/>
    <w:rsid w:val="00474713"/>
    <w:rsid w:val="00474714"/>
    <w:rsid w:val="00474A0B"/>
    <w:rsid w:val="00474C5F"/>
    <w:rsid w:val="00474DDB"/>
    <w:rsid w:val="00474E91"/>
    <w:rsid w:val="00474F66"/>
    <w:rsid w:val="00475088"/>
    <w:rsid w:val="00475145"/>
    <w:rsid w:val="0047517F"/>
    <w:rsid w:val="00475624"/>
    <w:rsid w:val="00475670"/>
    <w:rsid w:val="00475687"/>
    <w:rsid w:val="00475829"/>
    <w:rsid w:val="004759BF"/>
    <w:rsid w:val="00475A7E"/>
    <w:rsid w:val="0047603B"/>
    <w:rsid w:val="004767EA"/>
    <w:rsid w:val="004769C3"/>
    <w:rsid w:val="00476B24"/>
    <w:rsid w:val="00476B7D"/>
    <w:rsid w:val="00477263"/>
    <w:rsid w:val="0047727F"/>
    <w:rsid w:val="0047767C"/>
    <w:rsid w:val="00477844"/>
    <w:rsid w:val="00477FE9"/>
    <w:rsid w:val="00480149"/>
    <w:rsid w:val="00480319"/>
    <w:rsid w:val="0048036E"/>
    <w:rsid w:val="004804A1"/>
    <w:rsid w:val="00480AF1"/>
    <w:rsid w:val="00480FEB"/>
    <w:rsid w:val="004810CD"/>
    <w:rsid w:val="00481819"/>
    <w:rsid w:val="00481855"/>
    <w:rsid w:val="004818F3"/>
    <w:rsid w:val="00481A08"/>
    <w:rsid w:val="0048263F"/>
    <w:rsid w:val="004826B5"/>
    <w:rsid w:val="004829EB"/>
    <w:rsid w:val="00482C08"/>
    <w:rsid w:val="00482F3A"/>
    <w:rsid w:val="00482FD6"/>
    <w:rsid w:val="00483025"/>
    <w:rsid w:val="004830EC"/>
    <w:rsid w:val="004831B1"/>
    <w:rsid w:val="004831EF"/>
    <w:rsid w:val="004833F1"/>
    <w:rsid w:val="004834F5"/>
    <w:rsid w:val="0048370C"/>
    <w:rsid w:val="00483CE2"/>
    <w:rsid w:val="00483D17"/>
    <w:rsid w:val="004841CC"/>
    <w:rsid w:val="004849D2"/>
    <w:rsid w:val="00484F7A"/>
    <w:rsid w:val="00485260"/>
    <w:rsid w:val="00485496"/>
    <w:rsid w:val="004854CC"/>
    <w:rsid w:val="00485775"/>
    <w:rsid w:val="00485C23"/>
    <w:rsid w:val="0048665E"/>
    <w:rsid w:val="0048667B"/>
    <w:rsid w:val="00486789"/>
    <w:rsid w:val="00486A4E"/>
    <w:rsid w:val="00486F80"/>
    <w:rsid w:val="00486FE9"/>
    <w:rsid w:val="00487005"/>
    <w:rsid w:val="00487817"/>
    <w:rsid w:val="0048783D"/>
    <w:rsid w:val="004900DF"/>
    <w:rsid w:val="004902B5"/>
    <w:rsid w:val="004903C7"/>
    <w:rsid w:val="0049048D"/>
    <w:rsid w:val="00490510"/>
    <w:rsid w:val="004906D4"/>
    <w:rsid w:val="004908FE"/>
    <w:rsid w:val="00490AEC"/>
    <w:rsid w:val="00490D09"/>
    <w:rsid w:val="00491530"/>
    <w:rsid w:val="00491BD0"/>
    <w:rsid w:val="00491CF6"/>
    <w:rsid w:val="00491D4E"/>
    <w:rsid w:val="00491F57"/>
    <w:rsid w:val="0049219A"/>
    <w:rsid w:val="004926ED"/>
    <w:rsid w:val="0049294B"/>
    <w:rsid w:val="00492F46"/>
    <w:rsid w:val="00493027"/>
    <w:rsid w:val="0049312E"/>
    <w:rsid w:val="00493297"/>
    <w:rsid w:val="00493401"/>
    <w:rsid w:val="004934E2"/>
    <w:rsid w:val="00493532"/>
    <w:rsid w:val="0049389F"/>
    <w:rsid w:val="00493EFA"/>
    <w:rsid w:val="0049415E"/>
    <w:rsid w:val="00494329"/>
    <w:rsid w:val="00494330"/>
    <w:rsid w:val="00494580"/>
    <w:rsid w:val="00494766"/>
    <w:rsid w:val="0049484B"/>
    <w:rsid w:val="00494A64"/>
    <w:rsid w:val="00494B16"/>
    <w:rsid w:val="00494C4F"/>
    <w:rsid w:val="00494D37"/>
    <w:rsid w:val="004954FE"/>
    <w:rsid w:val="00495515"/>
    <w:rsid w:val="0049570C"/>
    <w:rsid w:val="00495D5E"/>
    <w:rsid w:val="00495E48"/>
    <w:rsid w:val="00495EE8"/>
    <w:rsid w:val="00496481"/>
    <w:rsid w:val="00497877"/>
    <w:rsid w:val="00497FAC"/>
    <w:rsid w:val="004A0368"/>
    <w:rsid w:val="004A0789"/>
    <w:rsid w:val="004A0984"/>
    <w:rsid w:val="004A0BEE"/>
    <w:rsid w:val="004A0E3E"/>
    <w:rsid w:val="004A10F4"/>
    <w:rsid w:val="004A12A0"/>
    <w:rsid w:val="004A18C6"/>
    <w:rsid w:val="004A192C"/>
    <w:rsid w:val="004A19BF"/>
    <w:rsid w:val="004A1C1D"/>
    <w:rsid w:val="004A1ECB"/>
    <w:rsid w:val="004A21E3"/>
    <w:rsid w:val="004A2220"/>
    <w:rsid w:val="004A25B5"/>
    <w:rsid w:val="004A2BC7"/>
    <w:rsid w:val="004A3610"/>
    <w:rsid w:val="004A395E"/>
    <w:rsid w:val="004A3CBE"/>
    <w:rsid w:val="004A3CDF"/>
    <w:rsid w:val="004A3ECC"/>
    <w:rsid w:val="004A42A8"/>
    <w:rsid w:val="004A4666"/>
    <w:rsid w:val="004A46EF"/>
    <w:rsid w:val="004A497C"/>
    <w:rsid w:val="004A4B11"/>
    <w:rsid w:val="004A5727"/>
    <w:rsid w:val="004A5C6A"/>
    <w:rsid w:val="004A5CB9"/>
    <w:rsid w:val="004A5E24"/>
    <w:rsid w:val="004A6027"/>
    <w:rsid w:val="004A61D9"/>
    <w:rsid w:val="004A6593"/>
    <w:rsid w:val="004A65C5"/>
    <w:rsid w:val="004A6A69"/>
    <w:rsid w:val="004A6AB5"/>
    <w:rsid w:val="004A6F27"/>
    <w:rsid w:val="004A6F49"/>
    <w:rsid w:val="004A6FAA"/>
    <w:rsid w:val="004A7033"/>
    <w:rsid w:val="004A7441"/>
    <w:rsid w:val="004A752F"/>
    <w:rsid w:val="004A77DA"/>
    <w:rsid w:val="004A780C"/>
    <w:rsid w:val="004A7D4B"/>
    <w:rsid w:val="004A7DBF"/>
    <w:rsid w:val="004A7F36"/>
    <w:rsid w:val="004A7F3E"/>
    <w:rsid w:val="004B0132"/>
    <w:rsid w:val="004B045B"/>
    <w:rsid w:val="004B0722"/>
    <w:rsid w:val="004B096E"/>
    <w:rsid w:val="004B0AC2"/>
    <w:rsid w:val="004B0DDD"/>
    <w:rsid w:val="004B0E20"/>
    <w:rsid w:val="004B0FC5"/>
    <w:rsid w:val="004B11A5"/>
    <w:rsid w:val="004B141A"/>
    <w:rsid w:val="004B1519"/>
    <w:rsid w:val="004B1845"/>
    <w:rsid w:val="004B18FE"/>
    <w:rsid w:val="004B1C55"/>
    <w:rsid w:val="004B1F0E"/>
    <w:rsid w:val="004B229C"/>
    <w:rsid w:val="004B2366"/>
    <w:rsid w:val="004B26E7"/>
    <w:rsid w:val="004B2721"/>
    <w:rsid w:val="004B2D04"/>
    <w:rsid w:val="004B2D99"/>
    <w:rsid w:val="004B32E1"/>
    <w:rsid w:val="004B335F"/>
    <w:rsid w:val="004B352A"/>
    <w:rsid w:val="004B3835"/>
    <w:rsid w:val="004B3A17"/>
    <w:rsid w:val="004B3A1B"/>
    <w:rsid w:val="004B3B86"/>
    <w:rsid w:val="004B3CCC"/>
    <w:rsid w:val="004B3D51"/>
    <w:rsid w:val="004B3D6E"/>
    <w:rsid w:val="004B3F0E"/>
    <w:rsid w:val="004B3FA8"/>
    <w:rsid w:val="004B4094"/>
    <w:rsid w:val="004B40AB"/>
    <w:rsid w:val="004B417B"/>
    <w:rsid w:val="004B428A"/>
    <w:rsid w:val="004B43A4"/>
    <w:rsid w:val="004B4640"/>
    <w:rsid w:val="004B46F1"/>
    <w:rsid w:val="004B4765"/>
    <w:rsid w:val="004B4F74"/>
    <w:rsid w:val="004B5584"/>
    <w:rsid w:val="004B5875"/>
    <w:rsid w:val="004B5A80"/>
    <w:rsid w:val="004B5C8D"/>
    <w:rsid w:val="004B6048"/>
    <w:rsid w:val="004B60A3"/>
    <w:rsid w:val="004B60AA"/>
    <w:rsid w:val="004B6232"/>
    <w:rsid w:val="004B63C7"/>
    <w:rsid w:val="004B668D"/>
    <w:rsid w:val="004B6883"/>
    <w:rsid w:val="004B6E87"/>
    <w:rsid w:val="004B6F02"/>
    <w:rsid w:val="004B6F19"/>
    <w:rsid w:val="004B6F45"/>
    <w:rsid w:val="004B700C"/>
    <w:rsid w:val="004B733A"/>
    <w:rsid w:val="004B7485"/>
    <w:rsid w:val="004B76C2"/>
    <w:rsid w:val="004B772D"/>
    <w:rsid w:val="004B7C73"/>
    <w:rsid w:val="004B7D5A"/>
    <w:rsid w:val="004B7F69"/>
    <w:rsid w:val="004C00BE"/>
    <w:rsid w:val="004C08A2"/>
    <w:rsid w:val="004C09BA"/>
    <w:rsid w:val="004C104C"/>
    <w:rsid w:val="004C14A6"/>
    <w:rsid w:val="004C15E9"/>
    <w:rsid w:val="004C18F3"/>
    <w:rsid w:val="004C1AB9"/>
    <w:rsid w:val="004C1C1A"/>
    <w:rsid w:val="004C1D23"/>
    <w:rsid w:val="004C206D"/>
    <w:rsid w:val="004C20EB"/>
    <w:rsid w:val="004C2263"/>
    <w:rsid w:val="004C23C4"/>
    <w:rsid w:val="004C2A2C"/>
    <w:rsid w:val="004C2DD9"/>
    <w:rsid w:val="004C3117"/>
    <w:rsid w:val="004C313A"/>
    <w:rsid w:val="004C3A25"/>
    <w:rsid w:val="004C3A8F"/>
    <w:rsid w:val="004C3BB4"/>
    <w:rsid w:val="004C4381"/>
    <w:rsid w:val="004C4801"/>
    <w:rsid w:val="004C4A5D"/>
    <w:rsid w:val="004C4B6C"/>
    <w:rsid w:val="004C55F2"/>
    <w:rsid w:val="004C5A70"/>
    <w:rsid w:val="004C5E2B"/>
    <w:rsid w:val="004C5F06"/>
    <w:rsid w:val="004C6049"/>
    <w:rsid w:val="004C6071"/>
    <w:rsid w:val="004C617F"/>
    <w:rsid w:val="004C62AE"/>
    <w:rsid w:val="004C69F6"/>
    <w:rsid w:val="004C6B7E"/>
    <w:rsid w:val="004C6DA4"/>
    <w:rsid w:val="004C6DD3"/>
    <w:rsid w:val="004C6E0D"/>
    <w:rsid w:val="004C7630"/>
    <w:rsid w:val="004C7690"/>
    <w:rsid w:val="004C7837"/>
    <w:rsid w:val="004C7838"/>
    <w:rsid w:val="004C7B0B"/>
    <w:rsid w:val="004D02DE"/>
    <w:rsid w:val="004D085E"/>
    <w:rsid w:val="004D19B1"/>
    <w:rsid w:val="004D1A8C"/>
    <w:rsid w:val="004D1BD5"/>
    <w:rsid w:val="004D1BF1"/>
    <w:rsid w:val="004D1CDF"/>
    <w:rsid w:val="004D2328"/>
    <w:rsid w:val="004D24CD"/>
    <w:rsid w:val="004D287E"/>
    <w:rsid w:val="004D2B37"/>
    <w:rsid w:val="004D2DAF"/>
    <w:rsid w:val="004D2F50"/>
    <w:rsid w:val="004D2F97"/>
    <w:rsid w:val="004D346D"/>
    <w:rsid w:val="004D3484"/>
    <w:rsid w:val="004D3519"/>
    <w:rsid w:val="004D3722"/>
    <w:rsid w:val="004D3CB4"/>
    <w:rsid w:val="004D4395"/>
    <w:rsid w:val="004D4523"/>
    <w:rsid w:val="004D45CC"/>
    <w:rsid w:val="004D46BC"/>
    <w:rsid w:val="004D46C8"/>
    <w:rsid w:val="004D4701"/>
    <w:rsid w:val="004D4F62"/>
    <w:rsid w:val="004D4FAB"/>
    <w:rsid w:val="004D52B4"/>
    <w:rsid w:val="004D52BF"/>
    <w:rsid w:val="004D555A"/>
    <w:rsid w:val="004D5708"/>
    <w:rsid w:val="004D579D"/>
    <w:rsid w:val="004D5882"/>
    <w:rsid w:val="004D5A8C"/>
    <w:rsid w:val="004D5AA8"/>
    <w:rsid w:val="004D6029"/>
    <w:rsid w:val="004D6D3F"/>
    <w:rsid w:val="004D7494"/>
    <w:rsid w:val="004D76B1"/>
    <w:rsid w:val="004D7B5A"/>
    <w:rsid w:val="004D7D09"/>
    <w:rsid w:val="004D7DFF"/>
    <w:rsid w:val="004E063D"/>
    <w:rsid w:val="004E0BB4"/>
    <w:rsid w:val="004E0BD3"/>
    <w:rsid w:val="004E0D92"/>
    <w:rsid w:val="004E0E8A"/>
    <w:rsid w:val="004E0F50"/>
    <w:rsid w:val="004E1432"/>
    <w:rsid w:val="004E1E68"/>
    <w:rsid w:val="004E1FBF"/>
    <w:rsid w:val="004E25AF"/>
    <w:rsid w:val="004E27FC"/>
    <w:rsid w:val="004E2EB0"/>
    <w:rsid w:val="004E3306"/>
    <w:rsid w:val="004E3628"/>
    <w:rsid w:val="004E36D4"/>
    <w:rsid w:val="004E4494"/>
    <w:rsid w:val="004E48A8"/>
    <w:rsid w:val="004E493E"/>
    <w:rsid w:val="004E4A9A"/>
    <w:rsid w:val="004E522A"/>
    <w:rsid w:val="004E52BD"/>
    <w:rsid w:val="004E53F9"/>
    <w:rsid w:val="004E598D"/>
    <w:rsid w:val="004E5C06"/>
    <w:rsid w:val="004E5F4C"/>
    <w:rsid w:val="004E5FED"/>
    <w:rsid w:val="004E60D2"/>
    <w:rsid w:val="004E60F4"/>
    <w:rsid w:val="004E6179"/>
    <w:rsid w:val="004E61FB"/>
    <w:rsid w:val="004E663A"/>
    <w:rsid w:val="004E68E7"/>
    <w:rsid w:val="004E6C19"/>
    <w:rsid w:val="004E6D24"/>
    <w:rsid w:val="004E6DF8"/>
    <w:rsid w:val="004E6FC7"/>
    <w:rsid w:val="004E7649"/>
    <w:rsid w:val="004E7714"/>
    <w:rsid w:val="004E7751"/>
    <w:rsid w:val="004E78B5"/>
    <w:rsid w:val="004E7B8F"/>
    <w:rsid w:val="004E7BC5"/>
    <w:rsid w:val="004F00AC"/>
    <w:rsid w:val="004F0137"/>
    <w:rsid w:val="004F03F3"/>
    <w:rsid w:val="004F0485"/>
    <w:rsid w:val="004F053E"/>
    <w:rsid w:val="004F06A0"/>
    <w:rsid w:val="004F06F2"/>
    <w:rsid w:val="004F0E87"/>
    <w:rsid w:val="004F1BF1"/>
    <w:rsid w:val="004F2078"/>
    <w:rsid w:val="004F22F2"/>
    <w:rsid w:val="004F2488"/>
    <w:rsid w:val="004F2942"/>
    <w:rsid w:val="004F308F"/>
    <w:rsid w:val="004F310F"/>
    <w:rsid w:val="004F3282"/>
    <w:rsid w:val="004F34D8"/>
    <w:rsid w:val="004F3652"/>
    <w:rsid w:val="004F374B"/>
    <w:rsid w:val="004F37D8"/>
    <w:rsid w:val="004F3EAF"/>
    <w:rsid w:val="004F4636"/>
    <w:rsid w:val="004F4B7F"/>
    <w:rsid w:val="004F4DA4"/>
    <w:rsid w:val="004F4F67"/>
    <w:rsid w:val="004F4FFA"/>
    <w:rsid w:val="004F52B5"/>
    <w:rsid w:val="004F5412"/>
    <w:rsid w:val="004F575B"/>
    <w:rsid w:val="004F57E0"/>
    <w:rsid w:val="004F5BAD"/>
    <w:rsid w:val="004F5E62"/>
    <w:rsid w:val="004F659E"/>
    <w:rsid w:val="004F6C1C"/>
    <w:rsid w:val="004F6CD4"/>
    <w:rsid w:val="004F6CE6"/>
    <w:rsid w:val="004F6DC1"/>
    <w:rsid w:val="004F70AB"/>
    <w:rsid w:val="004F771E"/>
    <w:rsid w:val="004F7A92"/>
    <w:rsid w:val="004F7E9F"/>
    <w:rsid w:val="004F7F03"/>
    <w:rsid w:val="005000CA"/>
    <w:rsid w:val="00500192"/>
    <w:rsid w:val="00500318"/>
    <w:rsid w:val="00500458"/>
    <w:rsid w:val="00500485"/>
    <w:rsid w:val="00500589"/>
    <w:rsid w:val="005007EA"/>
    <w:rsid w:val="005008CD"/>
    <w:rsid w:val="00500A43"/>
    <w:rsid w:val="00500C6B"/>
    <w:rsid w:val="005010BD"/>
    <w:rsid w:val="005019B4"/>
    <w:rsid w:val="005019DB"/>
    <w:rsid w:val="00501E14"/>
    <w:rsid w:val="00501E74"/>
    <w:rsid w:val="00501ECE"/>
    <w:rsid w:val="005021BD"/>
    <w:rsid w:val="00502314"/>
    <w:rsid w:val="005026DD"/>
    <w:rsid w:val="00502703"/>
    <w:rsid w:val="0050278C"/>
    <w:rsid w:val="005030AB"/>
    <w:rsid w:val="0050313D"/>
    <w:rsid w:val="0050349D"/>
    <w:rsid w:val="00503592"/>
    <w:rsid w:val="00503A1B"/>
    <w:rsid w:val="00503AA3"/>
    <w:rsid w:val="00503F8E"/>
    <w:rsid w:val="00503FB6"/>
    <w:rsid w:val="00504037"/>
    <w:rsid w:val="005040D3"/>
    <w:rsid w:val="00504364"/>
    <w:rsid w:val="00504664"/>
    <w:rsid w:val="0050475F"/>
    <w:rsid w:val="005047D7"/>
    <w:rsid w:val="005049A2"/>
    <w:rsid w:val="00504AF5"/>
    <w:rsid w:val="00504EEE"/>
    <w:rsid w:val="00505041"/>
    <w:rsid w:val="005051A4"/>
    <w:rsid w:val="005058B5"/>
    <w:rsid w:val="005059A7"/>
    <w:rsid w:val="00505A9A"/>
    <w:rsid w:val="00505B5C"/>
    <w:rsid w:val="00505CD9"/>
    <w:rsid w:val="00506363"/>
    <w:rsid w:val="005067E5"/>
    <w:rsid w:val="005069E5"/>
    <w:rsid w:val="00506D6E"/>
    <w:rsid w:val="0050711A"/>
    <w:rsid w:val="005074FD"/>
    <w:rsid w:val="00507966"/>
    <w:rsid w:val="00507A21"/>
    <w:rsid w:val="00507ECF"/>
    <w:rsid w:val="00510729"/>
    <w:rsid w:val="00511009"/>
    <w:rsid w:val="0051132A"/>
    <w:rsid w:val="00511349"/>
    <w:rsid w:val="00511859"/>
    <w:rsid w:val="0051273F"/>
    <w:rsid w:val="00512A5A"/>
    <w:rsid w:val="00512AAF"/>
    <w:rsid w:val="00512D92"/>
    <w:rsid w:val="00513013"/>
    <w:rsid w:val="0051306A"/>
    <w:rsid w:val="00513214"/>
    <w:rsid w:val="00513886"/>
    <w:rsid w:val="00513B6A"/>
    <w:rsid w:val="00513D22"/>
    <w:rsid w:val="00513D2A"/>
    <w:rsid w:val="00513F07"/>
    <w:rsid w:val="00513FCF"/>
    <w:rsid w:val="005145C8"/>
    <w:rsid w:val="00514861"/>
    <w:rsid w:val="00514900"/>
    <w:rsid w:val="00514971"/>
    <w:rsid w:val="00514F0B"/>
    <w:rsid w:val="005153BB"/>
    <w:rsid w:val="005153C9"/>
    <w:rsid w:val="005155BF"/>
    <w:rsid w:val="0051584C"/>
    <w:rsid w:val="0051603C"/>
    <w:rsid w:val="00516090"/>
    <w:rsid w:val="005160E5"/>
    <w:rsid w:val="00516270"/>
    <w:rsid w:val="005163F8"/>
    <w:rsid w:val="0051651B"/>
    <w:rsid w:val="00516AC3"/>
    <w:rsid w:val="00516B48"/>
    <w:rsid w:val="00516B57"/>
    <w:rsid w:val="00516B87"/>
    <w:rsid w:val="00516BAA"/>
    <w:rsid w:val="00516BE0"/>
    <w:rsid w:val="00516C09"/>
    <w:rsid w:val="00516E5B"/>
    <w:rsid w:val="00517431"/>
    <w:rsid w:val="00517570"/>
    <w:rsid w:val="005175A0"/>
    <w:rsid w:val="00517757"/>
    <w:rsid w:val="005179EF"/>
    <w:rsid w:val="00517E50"/>
    <w:rsid w:val="0052008C"/>
    <w:rsid w:val="0052020C"/>
    <w:rsid w:val="00520485"/>
    <w:rsid w:val="005204AC"/>
    <w:rsid w:val="00520511"/>
    <w:rsid w:val="0052087B"/>
    <w:rsid w:val="00520C20"/>
    <w:rsid w:val="00520CB2"/>
    <w:rsid w:val="005212A2"/>
    <w:rsid w:val="005215A0"/>
    <w:rsid w:val="005219CB"/>
    <w:rsid w:val="00521AEA"/>
    <w:rsid w:val="00521C6D"/>
    <w:rsid w:val="00521CAF"/>
    <w:rsid w:val="0052252B"/>
    <w:rsid w:val="0052256A"/>
    <w:rsid w:val="0052262F"/>
    <w:rsid w:val="00522D92"/>
    <w:rsid w:val="005233E0"/>
    <w:rsid w:val="005234B7"/>
    <w:rsid w:val="0052393A"/>
    <w:rsid w:val="00524275"/>
    <w:rsid w:val="0052436B"/>
    <w:rsid w:val="005244FC"/>
    <w:rsid w:val="005245AE"/>
    <w:rsid w:val="00524743"/>
    <w:rsid w:val="00524A49"/>
    <w:rsid w:val="00524AB7"/>
    <w:rsid w:val="0052522B"/>
    <w:rsid w:val="005253E2"/>
    <w:rsid w:val="005257FF"/>
    <w:rsid w:val="00525A39"/>
    <w:rsid w:val="00526085"/>
    <w:rsid w:val="00526C32"/>
    <w:rsid w:val="00526CA4"/>
    <w:rsid w:val="00527417"/>
    <w:rsid w:val="00527561"/>
    <w:rsid w:val="005275F4"/>
    <w:rsid w:val="00527875"/>
    <w:rsid w:val="005278AC"/>
    <w:rsid w:val="00527954"/>
    <w:rsid w:val="00527AB7"/>
    <w:rsid w:val="005300D1"/>
    <w:rsid w:val="00530153"/>
    <w:rsid w:val="005305D4"/>
    <w:rsid w:val="00530B1E"/>
    <w:rsid w:val="00531510"/>
    <w:rsid w:val="00531539"/>
    <w:rsid w:val="00531BE4"/>
    <w:rsid w:val="00532004"/>
    <w:rsid w:val="00532129"/>
    <w:rsid w:val="005321AA"/>
    <w:rsid w:val="00532364"/>
    <w:rsid w:val="005325AC"/>
    <w:rsid w:val="005327B9"/>
    <w:rsid w:val="00532D87"/>
    <w:rsid w:val="00533ABB"/>
    <w:rsid w:val="00533DA3"/>
    <w:rsid w:val="00533E61"/>
    <w:rsid w:val="005342EC"/>
    <w:rsid w:val="0053440D"/>
    <w:rsid w:val="00534453"/>
    <w:rsid w:val="00534BC4"/>
    <w:rsid w:val="0053509E"/>
    <w:rsid w:val="005353F0"/>
    <w:rsid w:val="00535A55"/>
    <w:rsid w:val="00535B40"/>
    <w:rsid w:val="00535BBA"/>
    <w:rsid w:val="0053626C"/>
    <w:rsid w:val="0053671B"/>
    <w:rsid w:val="00536878"/>
    <w:rsid w:val="00536AD2"/>
    <w:rsid w:val="00536AF7"/>
    <w:rsid w:val="00536B92"/>
    <w:rsid w:val="0053703D"/>
    <w:rsid w:val="005371E5"/>
    <w:rsid w:val="00537232"/>
    <w:rsid w:val="00537712"/>
    <w:rsid w:val="0053773E"/>
    <w:rsid w:val="00537910"/>
    <w:rsid w:val="00540703"/>
    <w:rsid w:val="00540929"/>
    <w:rsid w:val="00540983"/>
    <w:rsid w:val="00540A8B"/>
    <w:rsid w:val="00540C09"/>
    <w:rsid w:val="00540C48"/>
    <w:rsid w:val="00540C99"/>
    <w:rsid w:val="00540F28"/>
    <w:rsid w:val="0054109A"/>
    <w:rsid w:val="00541385"/>
    <w:rsid w:val="005415B7"/>
    <w:rsid w:val="00541640"/>
    <w:rsid w:val="005416D0"/>
    <w:rsid w:val="00541973"/>
    <w:rsid w:val="005419AD"/>
    <w:rsid w:val="00541B07"/>
    <w:rsid w:val="00542301"/>
    <w:rsid w:val="005423F5"/>
    <w:rsid w:val="0054249B"/>
    <w:rsid w:val="0054259E"/>
    <w:rsid w:val="00542A09"/>
    <w:rsid w:val="00543535"/>
    <w:rsid w:val="005439D6"/>
    <w:rsid w:val="00543D49"/>
    <w:rsid w:val="00543D76"/>
    <w:rsid w:val="00544143"/>
    <w:rsid w:val="00544D97"/>
    <w:rsid w:val="00545012"/>
    <w:rsid w:val="00545E65"/>
    <w:rsid w:val="0054620D"/>
    <w:rsid w:val="00546397"/>
    <w:rsid w:val="005465C0"/>
    <w:rsid w:val="00546933"/>
    <w:rsid w:val="00546986"/>
    <w:rsid w:val="00547433"/>
    <w:rsid w:val="005476BD"/>
    <w:rsid w:val="005478DC"/>
    <w:rsid w:val="00547998"/>
    <w:rsid w:val="00547B38"/>
    <w:rsid w:val="00547C61"/>
    <w:rsid w:val="00550005"/>
    <w:rsid w:val="0055012B"/>
    <w:rsid w:val="0055034B"/>
    <w:rsid w:val="0055067F"/>
    <w:rsid w:val="00551203"/>
    <w:rsid w:val="0055144A"/>
    <w:rsid w:val="005515AC"/>
    <w:rsid w:val="005516A4"/>
    <w:rsid w:val="005516F5"/>
    <w:rsid w:val="00551761"/>
    <w:rsid w:val="005527EA"/>
    <w:rsid w:val="0055295C"/>
    <w:rsid w:val="00552EF5"/>
    <w:rsid w:val="00552F3A"/>
    <w:rsid w:val="005535AA"/>
    <w:rsid w:val="005535CA"/>
    <w:rsid w:val="005542F9"/>
    <w:rsid w:val="00554A12"/>
    <w:rsid w:val="00554A17"/>
    <w:rsid w:val="00554D69"/>
    <w:rsid w:val="00555699"/>
    <w:rsid w:val="00555E1C"/>
    <w:rsid w:val="00555E6A"/>
    <w:rsid w:val="00556468"/>
    <w:rsid w:val="005568FF"/>
    <w:rsid w:val="00556BFE"/>
    <w:rsid w:val="00556CDC"/>
    <w:rsid w:val="00556D96"/>
    <w:rsid w:val="0055769D"/>
    <w:rsid w:val="00557B09"/>
    <w:rsid w:val="005600A7"/>
    <w:rsid w:val="00560199"/>
    <w:rsid w:val="00560B95"/>
    <w:rsid w:val="00561337"/>
    <w:rsid w:val="005615E7"/>
    <w:rsid w:val="00561B2B"/>
    <w:rsid w:val="00561C13"/>
    <w:rsid w:val="00561C3A"/>
    <w:rsid w:val="00561F8D"/>
    <w:rsid w:val="005624B3"/>
    <w:rsid w:val="005626B4"/>
    <w:rsid w:val="005627D8"/>
    <w:rsid w:val="00562ACC"/>
    <w:rsid w:val="00563040"/>
    <w:rsid w:val="0056310A"/>
    <w:rsid w:val="005632EE"/>
    <w:rsid w:val="00563471"/>
    <w:rsid w:val="00563577"/>
    <w:rsid w:val="00563779"/>
    <w:rsid w:val="00563AA1"/>
    <w:rsid w:val="00563C7C"/>
    <w:rsid w:val="005640B7"/>
    <w:rsid w:val="005640D1"/>
    <w:rsid w:val="005641FC"/>
    <w:rsid w:val="00564538"/>
    <w:rsid w:val="00564868"/>
    <w:rsid w:val="00564A3A"/>
    <w:rsid w:val="00564AA6"/>
    <w:rsid w:val="00565168"/>
    <w:rsid w:val="0056538F"/>
    <w:rsid w:val="00565402"/>
    <w:rsid w:val="00565462"/>
    <w:rsid w:val="005654DE"/>
    <w:rsid w:val="00565854"/>
    <w:rsid w:val="00565AF5"/>
    <w:rsid w:val="00565DD8"/>
    <w:rsid w:val="00566460"/>
    <w:rsid w:val="005664B7"/>
    <w:rsid w:val="0056671D"/>
    <w:rsid w:val="00566C6B"/>
    <w:rsid w:val="00566DB7"/>
    <w:rsid w:val="00566E04"/>
    <w:rsid w:val="00566E07"/>
    <w:rsid w:val="00566EED"/>
    <w:rsid w:val="0056741D"/>
    <w:rsid w:val="00567529"/>
    <w:rsid w:val="00567613"/>
    <w:rsid w:val="00567D7E"/>
    <w:rsid w:val="005702C7"/>
    <w:rsid w:val="0057058E"/>
    <w:rsid w:val="00570893"/>
    <w:rsid w:val="00570A9D"/>
    <w:rsid w:val="00570C9A"/>
    <w:rsid w:val="0057113C"/>
    <w:rsid w:val="00571372"/>
    <w:rsid w:val="0057189E"/>
    <w:rsid w:val="0057191E"/>
    <w:rsid w:val="0057197F"/>
    <w:rsid w:val="005719BC"/>
    <w:rsid w:val="00571EA5"/>
    <w:rsid w:val="00572133"/>
    <w:rsid w:val="005724BE"/>
    <w:rsid w:val="00572F4C"/>
    <w:rsid w:val="005734B2"/>
    <w:rsid w:val="00573A0A"/>
    <w:rsid w:val="00573AA7"/>
    <w:rsid w:val="00573BD1"/>
    <w:rsid w:val="00573C12"/>
    <w:rsid w:val="00573E71"/>
    <w:rsid w:val="0057448D"/>
    <w:rsid w:val="0057458D"/>
    <w:rsid w:val="0057474C"/>
    <w:rsid w:val="0057498E"/>
    <w:rsid w:val="00574F1B"/>
    <w:rsid w:val="00575020"/>
    <w:rsid w:val="005752C5"/>
    <w:rsid w:val="00575350"/>
    <w:rsid w:val="0057543A"/>
    <w:rsid w:val="0057560C"/>
    <w:rsid w:val="00575663"/>
    <w:rsid w:val="00575C54"/>
    <w:rsid w:val="00575EEC"/>
    <w:rsid w:val="0057640D"/>
    <w:rsid w:val="005765B2"/>
    <w:rsid w:val="00576962"/>
    <w:rsid w:val="00576A43"/>
    <w:rsid w:val="00576E14"/>
    <w:rsid w:val="00576E3F"/>
    <w:rsid w:val="00576ED9"/>
    <w:rsid w:val="00577A6A"/>
    <w:rsid w:val="00577D64"/>
    <w:rsid w:val="00577E4D"/>
    <w:rsid w:val="00580388"/>
    <w:rsid w:val="005803EF"/>
    <w:rsid w:val="005806D3"/>
    <w:rsid w:val="005808C1"/>
    <w:rsid w:val="00580A62"/>
    <w:rsid w:val="00580D52"/>
    <w:rsid w:val="00580F4E"/>
    <w:rsid w:val="00581033"/>
    <w:rsid w:val="00581037"/>
    <w:rsid w:val="00581043"/>
    <w:rsid w:val="00581807"/>
    <w:rsid w:val="00581901"/>
    <w:rsid w:val="00581BB7"/>
    <w:rsid w:val="00582406"/>
    <w:rsid w:val="005828C5"/>
    <w:rsid w:val="005828CA"/>
    <w:rsid w:val="00582B69"/>
    <w:rsid w:val="00582EAD"/>
    <w:rsid w:val="00583402"/>
    <w:rsid w:val="0058379D"/>
    <w:rsid w:val="0058381B"/>
    <w:rsid w:val="005838AD"/>
    <w:rsid w:val="00583B4D"/>
    <w:rsid w:val="00583CBB"/>
    <w:rsid w:val="00583D9B"/>
    <w:rsid w:val="00584219"/>
    <w:rsid w:val="005845AF"/>
    <w:rsid w:val="005845E6"/>
    <w:rsid w:val="0058460E"/>
    <w:rsid w:val="0058474D"/>
    <w:rsid w:val="00584B8B"/>
    <w:rsid w:val="00584ED3"/>
    <w:rsid w:val="005854E5"/>
    <w:rsid w:val="00585734"/>
    <w:rsid w:val="0058591C"/>
    <w:rsid w:val="00585BF2"/>
    <w:rsid w:val="00585CFB"/>
    <w:rsid w:val="00585D6E"/>
    <w:rsid w:val="00585DC6"/>
    <w:rsid w:val="00585ED8"/>
    <w:rsid w:val="00585FE4"/>
    <w:rsid w:val="00586183"/>
    <w:rsid w:val="0058654B"/>
    <w:rsid w:val="005865C2"/>
    <w:rsid w:val="005865F6"/>
    <w:rsid w:val="00586659"/>
    <w:rsid w:val="00586C1C"/>
    <w:rsid w:val="00586EC0"/>
    <w:rsid w:val="0058705F"/>
    <w:rsid w:val="00587167"/>
    <w:rsid w:val="005875A3"/>
    <w:rsid w:val="0058773C"/>
    <w:rsid w:val="0058786F"/>
    <w:rsid w:val="00590352"/>
    <w:rsid w:val="00590A64"/>
    <w:rsid w:val="00590A6F"/>
    <w:rsid w:val="00590CE5"/>
    <w:rsid w:val="0059143C"/>
    <w:rsid w:val="005918EC"/>
    <w:rsid w:val="00591DF7"/>
    <w:rsid w:val="0059205E"/>
    <w:rsid w:val="005929B3"/>
    <w:rsid w:val="00592B1B"/>
    <w:rsid w:val="00592BDA"/>
    <w:rsid w:val="00592C9B"/>
    <w:rsid w:val="00592CD2"/>
    <w:rsid w:val="00592D23"/>
    <w:rsid w:val="005931D2"/>
    <w:rsid w:val="00593334"/>
    <w:rsid w:val="00593738"/>
    <w:rsid w:val="0059378B"/>
    <w:rsid w:val="00593814"/>
    <w:rsid w:val="00593952"/>
    <w:rsid w:val="00593DC6"/>
    <w:rsid w:val="00593EF8"/>
    <w:rsid w:val="00594CA3"/>
    <w:rsid w:val="005952D3"/>
    <w:rsid w:val="005952DF"/>
    <w:rsid w:val="00595375"/>
    <w:rsid w:val="00595514"/>
    <w:rsid w:val="0059559A"/>
    <w:rsid w:val="0059573E"/>
    <w:rsid w:val="00595A85"/>
    <w:rsid w:val="00595DB4"/>
    <w:rsid w:val="005962CA"/>
    <w:rsid w:val="0059663C"/>
    <w:rsid w:val="00596FEE"/>
    <w:rsid w:val="00596FF9"/>
    <w:rsid w:val="005978C0"/>
    <w:rsid w:val="00597BD7"/>
    <w:rsid w:val="005A00C3"/>
    <w:rsid w:val="005A0196"/>
    <w:rsid w:val="005A02B7"/>
    <w:rsid w:val="005A047A"/>
    <w:rsid w:val="005A0713"/>
    <w:rsid w:val="005A0978"/>
    <w:rsid w:val="005A09FD"/>
    <w:rsid w:val="005A0A0D"/>
    <w:rsid w:val="005A1021"/>
    <w:rsid w:val="005A1A5A"/>
    <w:rsid w:val="005A1C45"/>
    <w:rsid w:val="005A1F19"/>
    <w:rsid w:val="005A20A6"/>
    <w:rsid w:val="005A21A2"/>
    <w:rsid w:val="005A2289"/>
    <w:rsid w:val="005A2716"/>
    <w:rsid w:val="005A2728"/>
    <w:rsid w:val="005A277E"/>
    <w:rsid w:val="005A291B"/>
    <w:rsid w:val="005A291F"/>
    <w:rsid w:val="005A2A7A"/>
    <w:rsid w:val="005A2B15"/>
    <w:rsid w:val="005A2CFF"/>
    <w:rsid w:val="005A3218"/>
    <w:rsid w:val="005A3A4E"/>
    <w:rsid w:val="005A3B3E"/>
    <w:rsid w:val="005A3EAB"/>
    <w:rsid w:val="005A43C4"/>
    <w:rsid w:val="005A46E2"/>
    <w:rsid w:val="005A4966"/>
    <w:rsid w:val="005A4FB8"/>
    <w:rsid w:val="005A552A"/>
    <w:rsid w:val="005A571C"/>
    <w:rsid w:val="005A580B"/>
    <w:rsid w:val="005A5EAE"/>
    <w:rsid w:val="005A6074"/>
    <w:rsid w:val="005A62F9"/>
    <w:rsid w:val="005A63A8"/>
    <w:rsid w:val="005A6449"/>
    <w:rsid w:val="005A6AB7"/>
    <w:rsid w:val="005A74AC"/>
    <w:rsid w:val="005A799E"/>
    <w:rsid w:val="005A7BE7"/>
    <w:rsid w:val="005B040B"/>
    <w:rsid w:val="005B07F8"/>
    <w:rsid w:val="005B0ECF"/>
    <w:rsid w:val="005B159F"/>
    <w:rsid w:val="005B1749"/>
    <w:rsid w:val="005B1992"/>
    <w:rsid w:val="005B19AB"/>
    <w:rsid w:val="005B1ABC"/>
    <w:rsid w:val="005B1D5F"/>
    <w:rsid w:val="005B1E85"/>
    <w:rsid w:val="005B1F37"/>
    <w:rsid w:val="005B1FB7"/>
    <w:rsid w:val="005B212A"/>
    <w:rsid w:val="005B21C3"/>
    <w:rsid w:val="005B240C"/>
    <w:rsid w:val="005B2C29"/>
    <w:rsid w:val="005B2ECD"/>
    <w:rsid w:val="005B35A0"/>
    <w:rsid w:val="005B3819"/>
    <w:rsid w:val="005B3DCD"/>
    <w:rsid w:val="005B3E91"/>
    <w:rsid w:val="005B42E3"/>
    <w:rsid w:val="005B4416"/>
    <w:rsid w:val="005B47B1"/>
    <w:rsid w:val="005B538F"/>
    <w:rsid w:val="005B542A"/>
    <w:rsid w:val="005B56A8"/>
    <w:rsid w:val="005B56E9"/>
    <w:rsid w:val="005B5B33"/>
    <w:rsid w:val="005B5EA5"/>
    <w:rsid w:val="005B5EE3"/>
    <w:rsid w:val="005B63BD"/>
    <w:rsid w:val="005B658E"/>
    <w:rsid w:val="005B66E7"/>
    <w:rsid w:val="005B6854"/>
    <w:rsid w:val="005B68B7"/>
    <w:rsid w:val="005B6A49"/>
    <w:rsid w:val="005B6B04"/>
    <w:rsid w:val="005B6B22"/>
    <w:rsid w:val="005B6E4E"/>
    <w:rsid w:val="005B71E3"/>
    <w:rsid w:val="005B7287"/>
    <w:rsid w:val="005B7667"/>
    <w:rsid w:val="005B7B1A"/>
    <w:rsid w:val="005B7B64"/>
    <w:rsid w:val="005C01AD"/>
    <w:rsid w:val="005C084D"/>
    <w:rsid w:val="005C0DAF"/>
    <w:rsid w:val="005C0FF7"/>
    <w:rsid w:val="005C10AB"/>
    <w:rsid w:val="005C13F0"/>
    <w:rsid w:val="005C1A53"/>
    <w:rsid w:val="005C1E38"/>
    <w:rsid w:val="005C1E85"/>
    <w:rsid w:val="005C22E6"/>
    <w:rsid w:val="005C26E2"/>
    <w:rsid w:val="005C27A5"/>
    <w:rsid w:val="005C2CD3"/>
    <w:rsid w:val="005C2E04"/>
    <w:rsid w:val="005C3084"/>
    <w:rsid w:val="005C3386"/>
    <w:rsid w:val="005C356D"/>
    <w:rsid w:val="005C370E"/>
    <w:rsid w:val="005C3A0F"/>
    <w:rsid w:val="005C3A16"/>
    <w:rsid w:val="005C3EEB"/>
    <w:rsid w:val="005C3EF5"/>
    <w:rsid w:val="005C3F9D"/>
    <w:rsid w:val="005C424B"/>
    <w:rsid w:val="005C437A"/>
    <w:rsid w:val="005C43D5"/>
    <w:rsid w:val="005C4686"/>
    <w:rsid w:val="005C46A4"/>
    <w:rsid w:val="005C4988"/>
    <w:rsid w:val="005C505C"/>
    <w:rsid w:val="005C542F"/>
    <w:rsid w:val="005C543D"/>
    <w:rsid w:val="005C56EB"/>
    <w:rsid w:val="005C5808"/>
    <w:rsid w:val="005C596F"/>
    <w:rsid w:val="005C6231"/>
    <w:rsid w:val="005C62BC"/>
    <w:rsid w:val="005C639B"/>
    <w:rsid w:val="005C63EA"/>
    <w:rsid w:val="005C660B"/>
    <w:rsid w:val="005C6670"/>
    <w:rsid w:val="005C66D0"/>
    <w:rsid w:val="005C6CB1"/>
    <w:rsid w:val="005C6F05"/>
    <w:rsid w:val="005C71C4"/>
    <w:rsid w:val="005C7334"/>
    <w:rsid w:val="005C759A"/>
    <w:rsid w:val="005C7634"/>
    <w:rsid w:val="005D0D40"/>
    <w:rsid w:val="005D1297"/>
    <w:rsid w:val="005D12CC"/>
    <w:rsid w:val="005D19ED"/>
    <w:rsid w:val="005D1C18"/>
    <w:rsid w:val="005D20AA"/>
    <w:rsid w:val="005D21B8"/>
    <w:rsid w:val="005D22CB"/>
    <w:rsid w:val="005D2520"/>
    <w:rsid w:val="005D2700"/>
    <w:rsid w:val="005D2A51"/>
    <w:rsid w:val="005D2E74"/>
    <w:rsid w:val="005D3322"/>
    <w:rsid w:val="005D35DA"/>
    <w:rsid w:val="005D36C1"/>
    <w:rsid w:val="005D3BC1"/>
    <w:rsid w:val="005D3BC3"/>
    <w:rsid w:val="005D3C93"/>
    <w:rsid w:val="005D3D8C"/>
    <w:rsid w:val="005D3E04"/>
    <w:rsid w:val="005D4261"/>
    <w:rsid w:val="005D44D5"/>
    <w:rsid w:val="005D4B95"/>
    <w:rsid w:val="005D4B96"/>
    <w:rsid w:val="005D4BF4"/>
    <w:rsid w:val="005D4C02"/>
    <w:rsid w:val="005D5115"/>
    <w:rsid w:val="005D5588"/>
    <w:rsid w:val="005D5B9B"/>
    <w:rsid w:val="005D5E7C"/>
    <w:rsid w:val="005D6218"/>
    <w:rsid w:val="005D62DF"/>
    <w:rsid w:val="005D63E6"/>
    <w:rsid w:val="005D658B"/>
    <w:rsid w:val="005D69B4"/>
    <w:rsid w:val="005D6E4B"/>
    <w:rsid w:val="005D71D0"/>
    <w:rsid w:val="005D765E"/>
    <w:rsid w:val="005D7C2C"/>
    <w:rsid w:val="005D7FF3"/>
    <w:rsid w:val="005E0C86"/>
    <w:rsid w:val="005E0F0B"/>
    <w:rsid w:val="005E0FF0"/>
    <w:rsid w:val="005E10C4"/>
    <w:rsid w:val="005E16CF"/>
    <w:rsid w:val="005E17BD"/>
    <w:rsid w:val="005E188C"/>
    <w:rsid w:val="005E1903"/>
    <w:rsid w:val="005E1A2A"/>
    <w:rsid w:val="005E1DA2"/>
    <w:rsid w:val="005E20B5"/>
    <w:rsid w:val="005E2173"/>
    <w:rsid w:val="005E2460"/>
    <w:rsid w:val="005E24E5"/>
    <w:rsid w:val="005E285C"/>
    <w:rsid w:val="005E2A3E"/>
    <w:rsid w:val="005E2A6E"/>
    <w:rsid w:val="005E2AA8"/>
    <w:rsid w:val="005E304F"/>
    <w:rsid w:val="005E30CF"/>
    <w:rsid w:val="005E3118"/>
    <w:rsid w:val="005E316A"/>
    <w:rsid w:val="005E3188"/>
    <w:rsid w:val="005E3D4E"/>
    <w:rsid w:val="005E412A"/>
    <w:rsid w:val="005E43CB"/>
    <w:rsid w:val="005E46F8"/>
    <w:rsid w:val="005E4BEC"/>
    <w:rsid w:val="005E4EC0"/>
    <w:rsid w:val="005E56E3"/>
    <w:rsid w:val="005E60C8"/>
    <w:rsid w:val="005E61F5"/>
    <w:rsid w:val="005E625E"/>
    <w:rsid w:val="005E626F"/>
    <w:rsid w:val="005E6534"/>
    <w:rsid w:val="005E69D4"/>
    <w:rsid w:val="005E6B9C"/>
    <w:rsid w:val="005E6FB8"/>
    <w:rsid w:val="005E72F4"/>
    <w:rsid w:val="005E75A1"/>
    <w:rsid w:val="005E77ED"/>
    <w:rsid w:val="005E78A3"/>
    <w:rsid w:val="005E7A25"/>
    <w:rsid w:val="005E7B75"/>
    <w:rsid w:val="005F0030"/>
    <w:rsid w:val="005F04BD"/>
    <w:rsid w:val="005F04E4"/>
    <w:rsid w:val="005F0649"/>
    <w:rsid w:val="005F0991"/>
    <w:rsid w:val="005F0A3F"/>
    <w:rsid w:val="005F0B60"/>
    <w:rsid w:val="005F1263"/>
    <w:rsid w:val="005F1675"/>
    <w:rsid w:val="005F1815"/>
    <w:rsid w:val="005F1BEA"/>
    <w:rsid w:val="005F1BFC"/>
    <w:rsid w:val="005F1C89"/>
    <w:rsid w:val="005F228F"/>
    <w:rsid w:val="005F242A"/>
    <w:rsid w:val="005F24D3"/>
    <w:rsid w:val="005F28F9"/>
    <w:rsid w:val="005F2CD3"/>
    <w:rsid w:val="005F2CDD"/>
    <w:rsid w:val="005F2FD2"/>
    <w:rsid w:val="005F30C1"/>
    <w:rsid w:val="005F37EF"/>
    <w:rsid w:val="005F38C8"/>
    <w:rsid w:val="005F3BFD"/>
    <w:rsid w:val="005F4284"/>
    <w:rsid w:val="005F437E"/>
    <w:rsid w:val="005F455E"/>
    <w:rsid w:val="005F4A5C"/>
    <w:rsid w:val="005F4F76"/>
    <w:rsid w:val="005F4FE9"/>
    <w:rsid w:val="005F53C0"/>
    <w:rsid w:val="005F540B"/>
    <w:rsid w:val="005F545F"/>
    <w:rsid w:val="005F547E"/>
    <w:rsid w:val="005F5D5C"/>
    <w:rsid w:val="005F5D78"/>
    <w:rsid w:val="005F611E"/>
    <w:rsid w:val="005F61C7"/>
    <w:rsid w:val="005F62F2"/>
    <w:rsid w:val="005F643B"/>
    <w:rsid w:val="005F6516"/>
    <w:rsid w:val="005F66DC"/>
    <w:rsid w:val="005F672A"/>
    <w:rsid w:val="005F6769"/>
    <w:rsid w:val="005F6924"/>
    <w:rsid w:val="005F6BA2"/>
    <w:rsid w:val="005F73A3"/>
    <w:rsid w:val="005F73D5"/>
    <w:rsid w:val="005F7634"/>
    <w:rsid w:val="005F7760"/>
    <w:rsid w:val="005F7FBB"/>
    <w:rsid w:val="0060001D"/>
    <w:rsid w:val="0060004E"/>
    <w:rsid w:val="0060017C"/>
    <w:rsid w:val="006007EC"/>
    <w:rsid w:val="0060081E"/>
    <w:rsid w:val="006008BD"/>
    <w:rsid w:val="00600A13"/>
    <w:rsid w:val="00600A36"/>
    <w:rsid w:val="00600E41"/>
    <w:rsid w:val="00600F0D"/>
    <w:rsid w:val="0060175A"/>
    <w:rsid w:val="00601890"/>
    <w:rsid w:val="00601A3F"/>
    <w:rsid w:val="00601B04"/>
    <w:rsid w:val="00602230"/>
    <w:rsid w:val="0060242E"/>
    <w:rsid w:val="006026E0"/>
    <w:rsid w:val="006031B9"/>
    <w:rsid w:val="006039AA"/>
    <w:rsid w:val="006039BA"/>
    <w:rsid w:val="006039DD"/>
    <w:rsid w:val="00603AB7"/>
    <w:rsid w:val="00603CE8"/>
    <w:rsid w:val="00603F52"/>
    <w:rsid w:val="0060450C"/>
    <w:rsid w:val="0060498D"/>
    <w:rsid w:val="00604B4C"/>
    <w:rsid w:val="00604D12"/>
    <w:rsid w:val="00604DFA"/>
    <w:rsid w:val="00604F22"/>
    <w:rsid w:val="00604FCE"/>
    <w:rsid w:val="006055FF"/>
    <w:rsid w:val="006059DA"/>
    <w:rsid w:val="00605ECF"/>
    <w:rsid w:val="00606067"/>
    <w:rsid w:val="006062C7"/>
    <w:rsid w:val="0060670F"/>
    <w:rsid w:val="00606864"/>
    <w:rsid w:val="00606E7D"/>
    <w:rsid w:val="00606F9A"/>
    <w:rsid w:val="00607178"/>
    <w:rsid w:val="00607B66"/>
    <w:rsid w:val="00607CFE"/>
    <w:rsid w:val="00607DAC"/>
    <w:rsid w:val="0061003C"/>
    <w:rsid w:val="006101EC"/>
    <w:rsid w:val="00610636"/>
    <w:rsid w:val="00610646"/>
    <w:rsid w:val="00610EC7"/>
    <w:rsid w:val="00611193"/>
    <w:rsid w:val="00611480"/>
    <w:rsid w:val="006114F7"/>
    <w:rsid w:val="0061169F"/>
    <w:rsid w:val="006119CA"/>
    <w:rsid w:val="00611CD7"/>
    <w:rsid w:val="00611D35"/>
    <w:rsid w:val="00611FB4"/>
    <w:rsid w:val="00612011"/>
    <w:rsid w:val="00612169"/>
    <w:rsid w:val="006121D5"/>
    <w:rsid w:val="00612664"/>
    <w:rsid w:val="00612791"/>
    <w:rsid w:val="0061347C"/>
    <w:rsid w:val="006135E3"/>
    <w:rsid w:val="0061394B"/>
    <w:rsid w:val="0061395C"/>
    <w:rsid w:val="00613CE4"/>
    <w:rsid w:val="00613F4D"/>
    <w:rsid w:val="00614188"/>
    <w:rsid w:val="006142DD"/>
    <w:rsid w:val="0061431D"/>
    <w:rsid w:val="00614E56"/>
    <w:rsid w:val="00615159"/>
    <w:rsid w:val="006153CB"/>
    <w:rsid w:val="00615527"/>
    <w:rsid w:val="006155C3"/>
    <w:rsid w:val="006159AB"/>
    <w:rsid w:val="006159F8"/>
    <w:rsid w:val="00615D11"/>
    <w:rsid w:val="00615FE7"/>
    <w:rsid w:val="006163BB"/>
    <w:rsid w:val="00616561"/>
    <w:rsid w:val="00616AE8"/>
    <w:rsid w:val="00616D97"/>
    <w:rsid w:val="00616DC4"/>
    <w:rsid w:val="006172E8"/>
    <w:rsid w:val="006177D0"/>
    <w:rsid w:val="00617880"/>
    <w:rsid w:val="00617A35"/>
    <w:rsid w:val="00617AEF"/>
    <w:rsid w:val="00617CFB"/>
    <w:rsid w:val="006203F0"/>
    <w:rsid w:val="00620B5C"/>
    <w:rsid w:val="00620E1B"/>
    <w:rsid w:val="00620E76"/>
    <w:rsid w:val="00620F20"/>
    <w:rsid w:val="00621084"/>
    <w:rsid w:val="00621704"/>
    <w:rsid w:val="006217C4"/>
    <w:rsid w:val="00621E6D"/>
    <w:rsid w:val="00622228"/>
    <w:rsid w:val="00622263"/>
    <w:rsid w:val="006222E3"/>
    <w:rsid w:val="006225DF"/>
    <w:rsid w:val="00622747"/>
    <w:rsid w:val="0062295E"/>
    <w:rsid w:val="00622994"/>
    <w:rsid w:val="00622A6A"/>
    <w:rsid w:val="00622C6D"/>
    <w:rsid w:val="00622CE8"/>
    <w:rsid w:val="00622D47"/>
    <w:rsid w:val="00622F21"/>
    <w:rsid w:val="00622F6F"/>
    <w:rsid w:val="00623492"/>
    <w:rsid w:val="00623851"/>
    <w:rsid w:val="00623A50"/>
    <w:rsid w:val="00623BA8"/>
    <w:rsid w:val="00623FA1"/>
    <w:rsid w:val="006240B6"/>
    <w:rsid w:val="0062418E"/>
    <w:rsid w:val="00624217"/>
    <w:rsid w:val="00624567"/>
    <w:rsid w:val="00624657"/>
    <w:rsid w:val="006258C5"/>
    <w:rsid w:val="00625CAF"/>
    <w:rsid w:val="00625F5E"/>
    <w:rsid w:val="00625FA9"/>
    <w:rsid w:val="00626681"/>
    <w:rsid w:val="0062674A"/>
    <w:rsid w:val="00626A54"/>
    <w:rsid w:val="00626FFB"/>
    <w:rsid w:val="00627204"/>
    <w:rsid w:val="00627220"/>
    <w:rsid w:val="00627312"/>
    <w:rsid w:val="00627664"/>
    <w:rsid w:val="00627729"/>
    <w:rsid w:val="0062774D"/>
    <w:rsid w:val="00627C3E"/>
    <w:rsid w:val="0063012D"/>
    <w:rsid w:val="00630271"/>
    <w:rsid w:val="00630726"/>
    <w:rsid w:val="006308FB"/>
    <w:rsid w:val="00630A96"/>
    <w:rsid w:val="00630AF9"/>
    <w:rsid w:val="00630EAA"/>
    <w:rsid w:val="006311D4"/>
    <w:rsid w:val="006318FD"/>
    <w:rsid w:val="00631CE7"/>
    <w:rsid w:val="00632211"/>
    <w:rsid w:val="00632789"/>
    <w:rsid w:val="00632925"/>
    <w:rsid w:val="00632954"/>
    <w:rsid w:val="00632B4D"/>
    <w:rsid w:val="00632E87"/>
    <w:rsid w:val="00632F20"/>
    <w:rsid w:val="00632F36"/>
    <w:rsid w:val="006332DA"/>
    <w:rsid w:val="006332F7"/>
    <w:rsid w:val="00633362"/>
    <w:rsid w:val="006334D3"/>
    <w:rsid w:val="006336D7"/>
    <w:rsid w:val="00633828"/>
    <w:rsid w:val="00633D3D"/>
    <w:rsid w:val="0063441A"/>
    <w:rsid w:val="006344FA"/>
    <w:rsid w:val="00635742"/>
    <w:rsid w:val="00635A49"/>
    <w:rsid w:val="00635CBB"/>
    <w:rsid w:val="00635E5A"/>
    <w:rsid w:val="00635FB5"/>
    <w:rsid w:val="00636043"/>
    <w:rsid w:val="006364F7"/>
    <w:rsid w:val="006369E9"/>
    <w:rsid w:val="00636BED"/>
    <w:rsid w:val="00636ECA"/>
    <w:rsid w:val="00636F11"/>
    <w:rsid w:val="00637609"/>
    <w:rsid w:val="00637BBF"/>
    <w:rsid w:val="00637E93"/>
    <w:rsid w:val="006400CF"/>
    <w:rsid w:val="00640694"/>
    <w:rsid w:val="00640B59"/>
    <w:rsid w:val="00640C3D"/>
    <w:rsid w:val="0064109B"/>
    <w:rsid w:val="00641511"/>
    <w:rsid w:val="0064191E"/>
    <w:rsid w:val="006419C0"/>
    <w:rsid w:val="00641A32"/>
    <w:rsid w:val="00641AEE"/>
    <w:rsid w:val="00641C00"/>
    <w:rsid w:val="00641C88"/>
    <w:rsid w:val="00641D52"/>
    <w:rsid w:val="00641ED0"/>
    <w:rsid w:val="00642076"/>
    <w:rsid w:val="006420ED"/>
    <w:rsid w:val="00642811"/>
    <w:rsid w:val="00642888"/>
    <w:rsid w:val="00642C20"/>
    <w:rsid w:val="00642E8E"/>
    <w:rsid w:val="006431B0"/>
    <w:rsid w:val="00643897"/>
    <w:rsid w:val="006442B7"/>
    <w:rsid w:val="006443E1"/>
    <w:rsid w:val="006445AD"/>
    <w:rsid w:val="006448F4"/>
    <w:rsid w:val="006451D0"/>
    <w:rsid w:val="006452F5"/>
    <w:rsid w:val="006456BF"/>
    <w:rsid w:val="006457D8"/>
    <w:rsid w:val="00645C12"/>
    <w:rsid w:val="00645C75"/>
    <w:rsid w:val="00645D8C"/>
    <w:rsid w:val="00646061"/>
    <w:rsid w:val="006463C3"/>
    <w:rsid w:val="006468E1"/>
    <w:rsid w:val="00646DF7"/>
    <w:rsid w:val="00646FAA"/>
    <w:rsid w:val="00647241"/>
    <w:rsid w:val="00647410"/>
    <w:rsid w:val="0064766D"/>
    <w:rsid w:val="00647958"/>
    <w:rsid w:val="00650308"/>
    <w:rsid w:val="006505A6"/>
    <w:rsid w:val="006506B9"/>
    <w:rsid w:val="00650C5A"/>
    <w:rsid w:val="00650CDB"/>
    <w:rsid w:val="00650DAA"/>
    <w:rsid w:val="00650F8A"/>
    <w:rsid w:val="0065151A"/>
    <w:rsid w:val="00651750"/>
    <w:rsid w:val="00651779"/>
    <w:rsid w:val="00651BA3"/>
    <w:rsid w:val="00651C7F"/>
    <w:rsid w:val="00651D5F"/>
    <w:rsid w:val="00651E61"/>
    <w:rsid w:val="00651FE4"/>
    <w:rsid w:val="0065281D"/>
    <w:rsid w:val="00652A81"/>
    <w:rsid w:val="006531AA"/>
    <w:rsid w:val="0065359C"/>
    <w:rsid w:val="00653763"/>
    <w:rsid w:val="006537A6"/>
    <w:rsid w:val="006538E7"/>
    <w:rsid w:val="006539BB"/>
    <w:rsid w:val="00653B1B"/>
    <w:rsid w:val="00653B99"/>
    <w:rsid w:val="0065408C"/>
    <w:rsid w:val="006542F6"/>
    <w:rsid w:val="00654377"/>
    <w:rsid w:val="006544E6"/>
    <w:rsid w:val="00654620"/>
    <w:rsid w:val="006549C0"/>
    <w:rsid w:val="0065574D"/>
    <w:rsid w:val="0065585D"/>
    <w:rsid w:val="00655E96"/>
    <w:rsid w:val="00656026"/>
    <w:rsid w:val="006568DC"/>
    <w:rsid w:val="00656A94"/>
    <w:rsid w:val="00656CD2"/>
    <w:rsid w:val="006575A7"/>
    <w:rsid w:val="00657964"/>
    <w:rsid w:val="00657E03"/>
    <w:rsid w:val="00657E9B"/>
    <w:rsid w:val="00657F69"/>
    <w:rsid w:val="0066034F"/>
    <w:rsid w:val="006606A2"/>
    <w:rsid w:val="0066072A"/>
    <w:rsid w:val="00660816"/>
    <w:rsid w:val="006608BC"/>
    <w:rsid w:val="00660A56"/>
    <w:rsid w:val="00660C2D"/>
    <w:rsid w:val="006610EF"/>
    <w:rsid w:val="0066174B"/>
    <w:rsid w:val="006618F9"/>
    <w:rsid w:val="00661B4B"/>
    <w:rsid w:val="006620F9"/>
    <w:rsid w:val="006622BB"/>
    <w:rsid w:val="0066236C"/>
    <w:rsid w:val="00662B04"/>
    <w:rsid w:val="00662B32"/>
    <w:rsid w:val="00662CF9"/>
    <w:rsid w:val="0066320B"/>
    <w:rsid w:val="00663226"/>
    <w:rsid w:val="006634B8"/>
    <w:rsid w:val="00663CAA"/>
    <w:rsid w:val="00663D4E"/>
    <w:rsid w:val="00663E2C"/>
    <w:rsid w:val="00663FD4"/>
    <w:rsid w:val="00664075"/>
    <w:rsid w:val="006650A7"/>
    <w:rsid w:val="0066570D"/>
    <w:rsid w:val="006657CA"/>
    <w:rsid w:val="006658F8"/>
    <w:rsid w:val="00665B44"/>
    <w:rsid w:val="00665C8E"/>
    <w:rsid w:val="00665EFC"/>
    <w:rsid w:val="00666162"/>
    <w:rsid w:val="006662CC"/>
    <w:rsid w:val="00666A8C"/>
    <w:rsid w:val="00666B52"/>
    <w:rsid w:val="00667016"/>
    <w:rsid w:val="00667458"/>
    <w:rsid w:val="006676B0"/>
    <w:rsid w:val="006678F9"/>
    <w:rsid w:val="00667B1D"/>
    <w:rsid w:val="00667E68"/>
    <w:rsid w:val="0067003E"/>
    <w:rsid w:val="00670115"/>
    <w:rsid w:val="0067068F"/>
    <w:rsid w:val="00670979"/>
    <w:rsid w:val="00670D17"/>
    <w:rsid w:val="00670EBB"/>
    <w:rsid w:val="0067129B"/>
    <w:rsid w:val="00671B40"/>
    <w:rsid w:val="00671B65"/>
    <w:rsid w:val="00671D4C"/>
    <w:rsid w:val="00671E01"/>
    <w:rsid w:val="00671E2E"/>
    <w:rsid w:val="00671EA4"/>
    <w:rsid w:val="00671F25"/>
    <w:rsid w:val="00672358"/>
    <w:rsid w:val="00672A2C"/>
    <w:rsid w:val="00672F1B"/>
    <w:rsid w:val="006730D3"/>
    <w:rsid w:val="00673285"/>
    <w:rsid w:val="006736BE"/>
    <w:rsid w:val="006736FE"/>
    <w:rsid w:val="006738E0"/>
    <w:rsid w:val="00673BE9"/>
    <w:rsid w:val="00673C98"/>
    <w:rsid w:val="00673F58"/>
    <w:rsid w:val="006740CC"/>
    <w:rsid w:val="00674584"/>
    <w:rsid w:val="006745DA"/>
    <w:rsid w:val="0067478C"/>
    <w:rsid w:val="006749B7"/>
    <w:rsid w:val="00674E07"/>
    <w:rsid w:val="006751E1"/>
    <w:rsid w:val="00675489"/>
    <w:rsid w:val="006755D1"/>
    <w:rsid w:val="006757AD"/>
    <w:rsid w:val="00675A8A"/>
    <w:rsid w:val="00675EC2"/>
    <w:rsid w:val="006763CF"/>
    <w:rsid w:val="006765FA"/>
    <w:rsid w:val="006768B6"/>
    <w:rsid w:val="00676EF0"/>
    <w:rsid w:val="00677476"/>
    <w:rsid w:val="00677490"/>
    <w:rsid w:val="006774B5"/>
    <w:rsid w:val="0067799F"/>
    <w:rsid w:val="00677AAE"/>
    <w:rsid w:val="00677B7D"/>
    <w:rsid w:val="00677C47"/>
    <w:rsid w:val="00677CF9"/>
    <w:rsid w:val="00680601"/>
    <w:rsid w:val="0068062E"/>
    <w:rsid w:val="00680A1D"/>
    <w:rsid w:val="00680DF3"/>
    <w:rsid w:val="00680E60"/>
    <w:rsid w:val="00680F4D"/>
    <w:rsid w:val="006813DB"/>
    <w:rsid w:val="00681EC1"/>
    <w:rsid w:val="00681F25"/>
    <w:rsid w:val="00681F8F"/>
    <w:rsid w:val="0068257E"/>
    <w:rsid w:val="006829A6"/>
    <w:rsid w:val="00682AF3"/>
    <w:rsid w:val="00682CAA"/>
    <w:rsid w:val="00682CDC"/>
    <w:rsid w:val="00682DED"/>
    <w:rsid w:val="00683367"/>
    <w:rsid w:val="006837AA"/>
    <w:rsid w:val="006838BB"/>
    <w:rsid w:val="006838F2"/>
    <w:rsid w:val="00683AC2"/>
    <w:rsid w:val="00683C1C"/>
    <w:rsid w:val="00684344"/>
    <w:rsid w:val="00684568"/>
    <w:rsid w:val="00684928"/>
    <w:rsid w:val="00684AB8"/>
    <w:rsid w:val="00684B88"/>
    <w:rsid w:val="00685376"/>
    <w:rsid w:val="006854A5"/>
    <w:rsid w:val="006859A9"/>
    <w:rsid w:val="00685CEE"/>
    <w:rsid w:val="0068612D"/>
    <w:rsid w:val="00686170"/>
    <w:rsid w:val="006861AC"/>
    <w:rsid w:val="006861CF"/>
    <w:rsid w:val="00686324"/>
    <w:rsid w:val="00686362"/>
    <w:rsid w:val="00686476"/>
    <w:rsid w:val="0068686B"/>
    <w:rsid w:val="00686A0D"/>
    <w:rsid w:val="00686BD6"/>
    <w:rsid w:val="00686CD1"/>
    <w:rsid w:val="0068770A"/>
    <w:rsid w:val="00687B5E"/>
    <w:rsid w:val="0069039B"/>
    <w:rsid w:val="00690990"/>
    <w:rsid w:val="00690A58"/>
    <w:rsid w:val="00690A83"/>
    <w:rsid w:val="00690F74"/>
    <w:rsid w:val="0069115D"/>
    <w:rsid w:val="00691348"/>
    <w:rsid w:val="0069167F"/>
    <w:rsid w:val="00691F19"/>
    <w:rsid w:val="00691FAF"/>
    <w:rsid w:val="00692141"/>
    <w:rsid w:val="00692292"/>
    <w:rsid w:val="00692901"/>
    <w:rsid w:val="00692A2E"/>
    <w:rsid w:val="00692F18"/>
    <w:rsid w:val="00693356"/>
    <w:rsid w:val="006933D9"/>
    <w:rsid w:val="0069346D"/>
    <w:rsid w:val="00693529"/>
    <w:rsid w:val="00693859"/>
    <w:rsid w:val="00693CB3"/>
    <w:rsid w:val="00693D35"/>
    <w:rsid w:val="00693D79"/>
    <w:rsid w:val="00693E57"/>
    <w:rsid w:val="00693F5A"/>
    <w:rsid w:val="00693F97"/>
    <w:rsid w:val="00694426"/>
    <w:rsid w:val="006944CE"/>
    <w:rsid w:val="006947E6"/>
    <w:rsid w:val="006948F7"/>
    <w:rsid w:val="00694A5A"/>
    <w:rsid w:val="00694B6F"/>
    <w:rsid w:val="00694BB5"/>
    <w:rsid w:val="00694BC5"/>
    <w:rsid w:val="00695629"/>
    <w:rsid w:val="0069567B"/>
    <w:rsid w:val="006956E5"/>
    <w:rsid w:val="00695B88"/>
    <w:rsid w:val="00695D95"/>
    <w:rsid w:val="00695E47"/>
    <w:rsid w:val="00696001"/>
    <w:rsid w:val="006962C8"/>
    <w:rsid w:val="006969F1"/>
    <w:rsid w:val="00696DE6"/>
    <w:rsid w:val="0069703A"/>
    <w:rsid w:val="00697042"/>
    <w:rsid w:val="006973ED"/>
    <w:rsid w:val="0069763A"/>
    <w:rsid w:val="00697923"/>
    <w:rsid w:val="006979CC"/>
    <w:rsid w:val="00697ADE"/>
    <w:rsid w:val="00697FDD"/>
    <w:rsid w:val="006A034C"/>
    <w:rsid w:val="006A0A53"/>
    <w:rsid w:val="006A0A8A"/>
    <w:rsid w:val="006A0EE1"/>
    <w:rsid w:val="006A14B0"/>
    <w:rsid w:val="006A1504"/>
    <w:rsid w:val="006A1A37"/>
    <w:rsid w:val="006A1BCD"/>
    <w:rsid w:val="006A1F2D"/>
    <w:rsid w:val="006A20A7"/>
    <w:rsid w:val="006A2592"/>
    <w:rsid w:val="006A274B"/>
    <w:rsid w:val="006A275E"/>
    <w:rsid w:val="006A2907"/>
    <w:rsid w:val="006A2E88"/>
    <w:rsid w:val="006A31B3"/>
    <w:rsid w:val="006A33F5"/>
    <w:rsid w:val="006A384C"/>
    <w:rsid w:val="006A3CD2"/>
    <w:rsid w:val="006A4526"/>
    <w:rsid w:val="006A457C"/>
    <w:rsid w:val="006A45B5"/>
    <w:rsid w:val="006A487B"/>
    <w:rsid w:val="006A48D7"/>
    <w:rsid w:val="006A4F81"/>
    <w:rsid w:val="006A5094"/>
    <w:rsid w:val="006A5095"/>
    <w:rsid w:val="006A516A"/>
    <w:rsid w:val="006A5769"/>
    <w:rsid w:val="006A5CCD"/>
    <w:rsid w:val="006A5FBF"/>
    <w:rsid w:val="006A6060"/>
    <w:rsid w:val="006A651F"/>
    <w:rsid w:val="006A68F8"/>
    <w:rsid w:val="006A696E"/>
    <w:rsid w:val="006A6B2B"/>
    <w:rsid w:val="006A6D18"/>
    <w:rsid w:val="006A70C2"/>
    <w:rsid w:val="006A7141"/>
    <w:rsid w:val="006A775E"/>
    <w:rsid w:val="006A7C2D"/>
    <w:rsid w:val="006A7CAE"/>
    <w:rsid w:val="006A7D12"/>
    <w:rsid w:val="006B037A"/>
    <w:rsid w:val="006B0408"/>
    <w:rsid w:val="006B080D"/>
    <w:rsid w:val="006B0AFA"/>
    <w:rsid w:val="006B0CFE"/>
    <w:rsid w:val="006B0E86"/>
    <w:rsid w:val="006B14DF"/>
    <w:rsid w:val="006B1537"/>
    <w:rsid w:val="006B1A89"/>
    <w:rsid w:val="006B1D5E"/>
    <w:rsid w:val="006B1D84"/>
    <w:rsid w:val="006B2479"/>
    <w:rsid w:val="006B27A8"/>
    <w:rsid w:val="006B286A"/>
    <w:rsid w:val="006B2B0F"/>
    <w:rsid w:val="006B2DEB"/>
    <w:rsid w:val="006B32D1"/>
    <w:rsid w:val="006B3437"/>
    <w:rsid w:val="006B34E4"/>
    <w:rsid w:val="006B3513"/>
    <w:rsid w:val="006B3656"/>
    <w:rsid w:val="006B366E"/>
    <w:rsid w:val="006B36B1"/>
    <w:rsid w:val="006B36BE"/>
    <w:rsid w:val="006B37D9"/>
    <w:rsid w:val="006B38E0"/>
    <w:rsid w:val="006B3A87"/>
    <w:rsid w:val="006B4337"/>
    <w:rsid w:val="006B443E"/>
    <w:rsid w:val="006B45FE"/>
    <w:rsid w:val="006B46E3"/>
    <w:rsid w:val="006B487B"/>
    <w:rsid w:val="006B488E"/>
    <w:rsid w:val="006B4CED"/>
    <w:rsid w:val="006B5022"/>
    <w:rsid w:val="006B511E"/>
    <w:rsid w:val="006B537E"/>
    <w:rsid w:val="006B56FF"/>
    <w:rsid w:val="006B57A7"/>
    <w:rsid w:val="006B5985"/>
    <w:rsid w:val="006B5D70"/>
    <w:rsid w:val="006B5F5F"/>
    <w:rsid w:val="006B60A3"/>
    <w:rsid w:val="006B691F"/>
    <w:rsid w:val="006B6A6F"/>
    <w:rsid w:val="006B6FBA"/>
    <w:rsid w:val="006B70E1"/>
    <w:rsid w:val="006B70E7"/>
    <w:rsid w:val="006B7153"/>
    <w:rsid w:val="006B7315"/>
    <w:rsid w:val="006B7380"/>
    <w:rsid w:val="006B75DC"/>
    <w:rsid w:val="006B772C"/>
    <w:rsid w:val="006B7EA4"/>
    <w:rsid w:val="006B7FB7"/>
    <w:rsid w:val="006B7FE3"/>
    <w:rsid w:val="006C054C"/>
    <w:rsid w:val="006C0716"/>
    <w:rsid w:val="006C0989"/>
    <w:rsid w:val="006C09AD"/>
    <w:rsid w:val="006C0B33"/>
    <w:rsid w:val="006C0BD0"/>
    <w:rsid w:val="006C0DCB"/>
    <w:rsid w:val="006C0FCE"/>
    <w:rsid w:val="006C12E7"/>
    <w:rsid w:val="006C155B"/>
    <w:rsid w:val="006C172F"/>
    <w:rsid w:val="006C18BF"/>
    <w:rsid w:val="006C197E"/>
    <w:rsid w:val="006C2079"/>
    <w:rsid w:val="006C20B6"/>
    <w:rsid w:val="006C240A"/>
    <w:rsid w:val="006C2443"/>
    <w:rsid w:val="006C245E"/>
    <w:rsid w:val="006C2776"/>
    <w:rsid w:val="006C287F"/>
    <w:rsid w:val="006C2976"/>
    <w:rsid w:val="006C2B4E"/>
    <w:rsid w:val="006C32AB"/>
    <w:rsid w:val="006C3638"/>
    <w:rsid w:val="006C38A8"/>
    <w:rsid w:val="006C3F38"/>
    <w:rsid w:val="006C3F39"/>
    <w:rsid w:val="006C415F"/>
    <w:rsid w:val="006C4547"/>
    <w:rsid w:val="006C47AB"/>
    <w:rsid w:val="006C49A4"/>
    <w:rsid w:val="006C49D7"/>
    <w:rsid w:val="006C4DD9"/>
    <w:rsid w:val="006C5030"/>
    <w:rsid w:val="006C56E6"/>
    <w:rsid w:val="006C5874"/>
    <w:rsid w:val="006C5A59"/>
    <w:rsid w:val="006C5D0F"/>
    <w:rsid w:val="006C5DB4"/>
    <w:rsid w:val="006C5FC0"/>
    <w:rsid w:val="006C6243"/>
    <w:rsid w:val="006C6250"/>
    <w:rsid w:val="006C65ED"/>
    <w:rsid w:val="006C666E"/>
    <w:rsid w:val="006C6715"/>
    <w:rsid w:val="006C6F24"/>
    <w:rsid w:val="006D0174"/>
    <w:rsid w:val="006D0193"/>
    <w:rsid w:val="006D01F5"/>
    <w:rsid w:val="006D03B0"/>
    <w:rsid w:val="006D03E1"/>
    <w:rsid w:val="006D0707"/>
    <w:rsid w:val="006D0973"/>
    <w:rsid w:val="006D0F04"/>
    <w:rsid w:val="006D1248"/>
    <w:rsid w:val="006D1319"/>
    <w:rsid w:val="006D147C"/>
    <w:rsid w:val="006D170D"/>
    <w:rsid w:val="006D1895"/>
    <w:rsid w:val="006D1AE2"/>
    <w:rsid w:val="006D1E34"/>
    <w:rsid w:val="006D1E9C"/>
    <w:rsid w:val="006D204F"/>
    <w:rsid w:val="006D264B"/>
    <w:rsid w:val="006D2896"/>
    <w:rsid w:val="006D28B1"/>
    <w:rsid w:val="006D2B50"/>
    <w:rsid w:val="006D2C65"/>
    <w:rsid w:val="006D2FCD"/>
    <w:rsid w:val="006D2FEB"/>
    <w:rsid w:val="006D35DB"/>
    <w:rsid w:val="006D372D"/>
    <w:rsid w:val="006D37D2"/>
    <w:rsid w:val="006D3E91"/>
    <w:rsid w:val="006D3FAB"/>
    <w:rsid w:val="006D41D6"/>
    <w:rsid w:val="006D44AB"/>
    <w:rsid w:val="006D48B9"/>
    <w:rsid w:val="006D4A1D"/>
    <w:rsid w:val="006D4CFD"/>
    <w:rsid w:val="006D4DA0"/>
    <w:rsid w:val="006D4E59"/>
    <w:rsid w:val="006D4ED8"/>
    <w:rsid w:val="006D4F8F"/>
    <w:rsid w:val="006D50A2"/>
    <w:rsid w:val="006D51BE"/>
    <w:rsid w:val="006D52EA"/>
    <w:rsid w:val="006D575F"/>
    <w:rsid w:val="006D5AF6"/>
    <w:rsid w:val="006D5D6C"/>
    <w:rsid w:val="006D5F07"/>
    <w:rsid w:val="006D7A9C"/>
    <w:rsid w:val="006E02E3"/>
    <w:rsid w:val="006E03E8"/>
    <w:rsid w:val="006E05AD"/>
    <w:rsid w:val="006E0CF3"/>
    <w:rsid w:val="006E0FAB"/>
    <w:rsid w:val="006E0FC9"/>
    <w:rsid w:val="006E11DF"/>
    <w:rsid w:val="006E1201"/>
    <w:rsid w:val="006E1257"/>
    <w:rsid w:val="006E1708"/>
    <w:rsid w:val="006E1972"/>
    <w:rsid w:val="006E1983"/>
    <w:rsid w:val="006E1B78"/>
    <w:rsid w:val="006E1CCE"/>
    <w:rsid w:val="006E1D7B"/>
    <w:rsid w:val="006E1EA3"/>
    <w:rsid w:val="006E23CF"/>
    <w:rsid w:val="006E24F8"/>
    <w:rsid w:val="006E2604"/>
    <w:rsid w:val="006E27CF"/>
    <w:rsid w:val="006E2902"/>
    <w:rsid w:val="006E2988"/>
    <w:rsid w:val="006E2B0D"/>
    <w:rsid w:val="006E2DB5"/>
    <w:rsid w:val="006E2F4F"/>
    <w:rsid w:val="006E2FCB"/>
    <w:rsid w:val="006E3048"/>
    <w:rsid w:val="006E320D"/>
    <w:rsid w:val="006E37AA"/>
    <w:rsid w:val="006E3BB1"/>
    <w:rsid w:val="006E3D1C"/>
    <w:rsid w:val="006E40D2"/>
    <w:rsid w:val="006E4115"/>
    <w:rsid w:val="006E43BB"/>
    <w:rsid w:val="006E4546"/>
    <w:rsid w:val="006E4640"/>
    <w:rsid w:val="006E47B1"/>
    <w:rsid w:val="006E4A3E"/>
    <w:rsid w:val="006E4A72"/>
    <w:rsid w:val="006E4D04"/>
    <w:rsid w:val="006E5162"/>
    <w:rsid w:val="006E5608"/>
    <w:rsid w:val="006E584A"/>
    <w:rsid w:val="006E5855"/>
    <w:rsid w:val="006E58D7"/>
    <w:rsid w:val="006E5BD3"/>
    <w:rsid w:val="006E6002"/>
    <w:rsid w:val="006E619F"/>
    <w:rsid w:val="006E624D"/>
    <w:rsid w:val="006E65D8"/>
    <w:rsid w:val="006E6765"/>
    <w:rsid w:val="006E691A"/>
    <w:rsid w:val="006E6A0C"/>
    <w:rsid w:val="006E6A33"/>
    <w:rsid w:val="006E6B48"/>
    <w:rsid w:val="006E6C03"/>
    <w:rsid w:val="006E6D63"/>
    <w:rsid w:val="006E6FF1"/>
    <w:rsid w:val="006E700D"/>
    <w:rsid w:val="006E721F"/>
    <w:rsid w:val="006E72AB"/>
    <w:rsid w:val="006E774A"/>
    <w:rsid w:val="006E7B58"/>
    <w:rsid w:val="006E7C93"/>
    <w:rsid w:val="006E7C95"/>
    <w:rsid w:val="006F01FC"/>
    <w:rsid w:val="006F039F"/>
    <w:rsid w:val="006F04BD"/>
    <w:rsid w:val="006F0DE2"/>
    <w:rsid w:val="006F1004"/>
    <w:rsid w:val="006F1059"/>
    <w:rsid w:val="006F1656"/>
    <w:rsid w:val="006F18B4"/>
    <w:rsid w:val="006F1CDF"/>
    <w:rsid w:val="006F1DBF"/>
    <w:rsid w:val="006F1DED"/>
    <w:rsid w:val="006F250E"/>
    <w:rsid w:val="006F27DA"/>
    <w:rsid w:val="006F2887"/>
    <w:rsid w:val="006F2A01"/>
    <w:rsid w:val="006F2B3C"/>
    <w:rsid w:val="006F2B50"/>
    <w:rsid w:val="006F351E"/>
    <w:rsid w:val="006F354E"/>
    <w:rsid w:val="006F36D5"/>
    <w:rsid w:val="006F401D"/>
    <w:rsid w:val="006F4220"/>
    <w:rsid w:val="006F46E0"/>
    <w:rsid w:val="006F48B8"/>
    <w:rsid w:val="006F4D86"/>
    <w:rsid w:val="006F4E05"/>
    <w:rsid w:val="006F5054"/>
    <w:rsid w:val="006F50C7"/>
    <w:rsid w:val="006F5194"/>
    <w:rsid w:val="006F5319"/>
    <w:rsid w:val="006F556F"/>
    <w:rsid w:val="006F5B1E"/>
    <w:rsid w:val="006F5B92"/>
    <w:rsid w:val="006F60F5"/>
    <w:rsid w:val="006F612E"/>
    <w:rsid w:val="006F65AD"/>
    <w:rsid w:val="006F66D8"/>
    <w:rsid w:val="006F6BD5"/>
    <w:rsid w:val="006F7104"/>
    <w:rsid w:val="006F795F"/>
    <w:rsid w:val="006F7A5B"/>
    <w:rsid w:val="006F7AD0"/>
    <w:rsid w:val="006F7B71"/>
    <w:rsid w:val="00700020"/>
    <w:rsid w:val="00700040"/>
    <w:rsid w:val="00700609"/>
    <w:rsid w:val="0070093D"/>
    <w:rsid w:val="00700F09"/>
    <w:rsid w:val="00701005"/>
    <w:rsid w:val="00701020"/>
    <w:rsid w:val="007010BB"/>
    <w:rsid w:val="007011CA"/>
    <w:rsid w:val="0070140D"/>
    <w:rsid w:val="00701467"/>
    <w:rsid w:val="007014E7"/>
    <w:rsid w:val="007019EA"/>
    <w:rsid w:val="00701C12"/>
    <w:rsid w:val="00701F3E"/>
    <w:rsid w:val="0070272A"/>
    <w:rsid w:val="00702CFD"/>
    <w:rsid w:val="00702F99"/>
    <w:rsid w:val="00702FDF"/>
    <w:rsid w:val="00703322"/>
    <w:rsid w:val="00703455"/>
    <w:rsid w:val="00703B6B"/>
    <w:rsid w:val="00703CB5"/>
    <w:rsid w:val="00704849"/>
    <w:rsid w:val="00704A04"/>
    <w:rsid w:val="00704BD1"/>
    <w:rsid w:val="00704C1B"/>
    <w:rsid w:val="00704C43"/>
    <w:rsid w:val="00704F7F"/>
    <w:rsid w:val="00704F98"/>
    <w:rsid w:val="0070504B"/>
    <w:rsid w:val="007052FB"/>
    <w:rsid w:val="0070585C"/>
    <w:rsid w:val="007058A5"/>
    <w:rsid w:val="00705B0A"/>
    <w:rsid w:val="00705E4A"/>
    <w:rsid w:val="00706286"/>
    <w:rsid w:val="00706656"/>
    <w:rsid w:val="00706760"/>
    <w:rsid w:val="00706D14"/>
    <w:rsid w:val="00706D16"/>
    <w:rsid w:val="00706DFF"/>
    <w:rsid w:val="007072F5"/>
    <w:rsid w:val="00707793"/>
    <w:rsid w:val="00707868"/>
    <w:rsid w:val="00707AAB"/>
    <w:rsid w:val="00707C63"/>
    <w:rsid w:val="00707DDD"/>
    <w:rsid w:val="00710055"/>
    <w:rsid w:val="00710719"/>
    <w:rsid w:val="00710A0D"/>
    <w:rsid w:val="00710CCA"/>
    <w:rsid w:val="00710EB0"/>
    <w:rsid w:val="0071114F"/>
    <w:rsid w:val="007113ED"/>
    <w:rsid w:val="007116E6"/>
    <w:rsid w:val="00711904"/>
    <w:rsid w:val="00711DA3"/>
    <w:rsid w:val="00712277"/>
    <w:rsid w:val="0071228A"/>
    <w:rsid w:val="00712433"/>
    <w:rsid w:val="00712852"/>
    <w:rsid w:val="007128BD"/>
    <w:rsid w:val="007128BF"/>
    <w:rsid w:val="00712FEC"/>
    <w:rsid w:val="00713210"/>
    <w:rsid w:val="007133FD"/>
    <w:rsid w:val="00713E2D"/>
    <w:rsid w:val="00713E95"/>
    <w:rsid w:val="00713F05"/>
    <w:rsid w:val="00714635"/>
    <w:rsid w:val="00714715"/>
    <w:rsid w:val="00714ECE"/>
    <w:rsid w:val="007153E3"/>
    <w:rsid w:val="007155D2"/>
    <w:rsid w:val="00715639"/>
    <w:rsid w:val="00715904"/>
    <w:rsid w:val="00715D21"/>
    <w:rsid w:val="00715DF2"/>
    <w:rsid w:val="00715F46"/>
    <w:rsid w:val="00716684"/>
    <w:rsid w:val="0071681D"/>
    <w:rsid w:val="00716B9E"/>
    <w:rsid w:val="007170B3"/>
    <w:rsid w:val="007173B3"/>
    <w:rsid w:val="00717478"/>
    <w:rsid w:val="0071751B"/>
    <w:rsid w:val="00717690"/>
    <w:rsid w:val="007177BF"/>
    <w:rsid w:val="00717BC3"/>
    <w:rsid w:val="00720731"/>
    <w:rsid w:val="007207DB"/>
    <w:rsid w:val="00720962"/>
    <w:rsid w:val="007209AE"/>
    <w:rsid w:val="007213D0"/>
    <w:rsid w:val="00721442"/>
    <w:rsid w:val="00721813"/>
    <w:rsid w:val="00721B38"/>
    <w:rsid w:val="00721BF0"/>
    <w:rsid w:val="00721CA1"/>
    <w:rsid w:val="00722093"/>
    <w:rsid w:val="0072228E"/>
    <w:rsid w:val="00722328"/>
    <w:rsid w:val="00722410"/>
    <w:rsid w:val="00722536"/>
    <w:rsid w:val="007226E6"/>
    <w:rsid w:val="00722DAE"/>
    <w:rsid w:val="00722FDF"/>
    <w:rsid w:val="007234AB"/>
    <w:rsid w:val="00723551"/>
    <w:rsid w:val="00723C7A"/>
    <w:rsid w:val="00724163"/>
    <w:rsid w:val="00724339"/>
    <w:rsid w:val="00724623"/>
    <w:rsid w:val="0072483E"/>
    <w:rsid w:val="00724B17"/>
    <w:rsid w:val="00724D9D"/>
    <w:rsid w:val="00724E16"/>
    <w:rsid w:val="007253CF"/>
    <w:rsid w:val="007256E5"/>
    <w:rsid w:val="007257E3"/>
    <w:rsid w:val="007259AD"/>
    <w:rsid w:val="00725A9A"/>
    <w:rsid w:val="00725BBE"/>
    <w:rsid w:val="00725FAC"/>
    <w:rsid w:val="00726319"/>
    <w:rsid w:val="00726520"/>
    <w:rsid w:val="007273AE"/>
    <w:rsid w:val="00727446"/>
    <w:rsid w:val="00727522"/>
    <w:rsid w:val="00727EF2"/>
    <w:rsid w:val="00727F09"/>
    <w:rsid w:val="007301ED"/>
    <w:rsid w:val="00730805"/>
    <w:rsid w:val="007308CC"/>
    <w:rsid w:val="00730F87"/>
    <w:rsid w:val="0073129D"/>
    <w:rsid w:val="0073138D"/>
    <w:rsid w:val="0073144F"/>
    <w:rsid w:val="00731776"/>
    <w:rsid w:val="00731DEC"/>
    <w:rsid w:val="00731DF4"/>
    <w:rsid w:val="00731E9A"/>
    <w:rsid w:val="00731F1F"/>
    <w:rsid w:val="00731F7D"/>
    <w:rsid w:val="00732032"/>
    <w:rsid w:val="00732246"/>
    <w:rsid w:val="00732389"/>
    <w:rsid w:val="00732488"/>
    <w:rsid w:val="00732912"/>
    <w:rsid w:val="00732D9E"/>
    <w:rsid w:val="00732DBC"/>
    <w:rsid w:val="00732F43"/>
    <w:rsid w:val="00733331"/>
    <w:rsid w:val="007336AA"/>
    <w:rsid w:val="007336F8"/>
    <w:rsid w:val="00733957"/>
    <w:rsid w:val="00733CA8"/>
    <w:rsid w:val="007342A9"/>
    <w:rsid w:val="00734391"/>
    <w:rsid w:val="00734751"/>
    <w:rsid w:val="00734ADA"/>
    <w:rsid w:val="007350C6"/>
    <w:rsid w:val="007351F6"/>
    <w:rsid w:val="00735607"/>
    <w:rsid w:val="007358B2"/>
    <w:rsid w:val="00735A5D"/>
    <w:rsid w:val="00735D19"/>
    <w:rsid w:val="0073629D"/>
    <w:rsid w:val="0073663C"/>
    <w:rsid w:val="00736CB6"/>
    <w:rsid w:val="00736E85"/>
    <w:rsid w:val="0073711A"/>
    <w:rsid w:val="00737BC7"/>
    <w:rsid w:val="00737F14"/>
    <w:rsid w:val="0074001F"/>
    <w:rsid w:val="00740AE3"/>
    <w:rsid w:val="00740F8A"/>
    <w:rsid w:val="0074135B"/>
    <w:rsid w:val="0074142B"/>
    <w:rsid w:val="00741E10"/>
    <w:rsid w:val="007421C1"/>
    <w:rsid w:val="0074243B"/>
    <w:rsid w:val="00742469"/>
    <w:rsid w:val="00742474"/>
    <w:rsid w:val="0074268D"/>
    <w:rsid w:val="007426C2"/>
    <w:rsid w:val="00742868"/>
    <w:rsid w:val="007429E7"/>
    <w:rsid w:val="00742B5C"/>
    <w:rsid w:val="00743042"/>
    <w:rsid w:val="00743E8C"/>
    <w:rsid w:val="00744138"/>
    <w:rsid w:val="00744C72"/>
    <w:rsid w:val="00744C85"/>
    <w:rsid w:val="00744CAB"/>
    <w:rsid w:val="007453B2"/>
    <w:rsid w:val="0074563F"/>
    <w:rsid w:val="00745781"/>
    <w:rsid w:val="00745894"/>
    <w:rsid w:val="007458A1"/>
    <w:rsid w:val="007465CD"/>
    <w:rsid w:val="00746A02"/>
    <w:rsid w:val="00747095"/>
    <w:rsid w:val="00747120"/>
    <w:rsid w:val="00747173"/>
    <w:rsid w:val="007471D5"/>
    <w:rsid w:val="007474FC"/>
    <w:rsid w:val="007475B4"/>
    <w:rsid w:val="007475B7"/>
    <w:rsid w:val="00747643"/>
    <w:rsid w:val="007476A5"/>
    <w:rsid w:val="00747CB9"/>
    <w:rsid w:val="00747D8C"/>
    <w:rsid w:val="00747DD9"/>
    <w:rsid w:val="00747E21"/>
    <w:rsid w:val="00747E43"/>
    <w:rsid w:val="00750067"/>
    <w:rsid w:val="00750109"/>
    <w:rsid w:val="00750192"/>
    <w:rsid w:val="00750254"/>
    <w:rsid w:val="007508B8"/>
    <w:rsid w:val="00750F5C"/>
    <w:rsid w:val="00751660"/>
    <w:rsid w:val="00751956"/>
    <w:rsid w:val="00751975"/>
    <w:rsid w:val="00751F02"/>
    <w:rsid w:val="00752700"/>
    <w:rsid w:val="00752799"/>
    <w:rsid w:val="007527BA"/>
    <w:rsid w:val="00752804"/>
    <w:rsid w:val="00752B70"/>
    <w:rsid w:val="00753108"/>
    <w:rsid w:val="0075381E"/>
    <w:rsid w:val="00753C10"/>
    <w:rsid w:val="00753CBF"/>
    <w:rsid w:val="007543DC"/>
    <w:rsid w:val="007545E0"/>
    <w:rsid w:val="007549F0"/>
    <w:rsid w:val="00754C11"/>
    <w:rsid w:val="00754D80"/>
    <w:rsid w:val="00755053"/>
    <w:rsid w:val="00755994"/>
    <w:rsid w:val="00756051"/>
    <w:rsid w:val="007561FA"/>
    <w:rsid w:val="00756268"/>
    <w:rsid w:val="0075649A"/>
    <w:rsid w:val="00756558"/>
    <w:rsid w:val="00756864"/>
    <w:rsid w:val="00756E05"/>
    <w:rsid w:val="00757204"/>
    <w:rsid w:val="007573D4"/>
    <w:rsid w:val="00757BDE"/>
    <w:rsid w:val="00757F99"/>
    <w:rsid w:val="007601A9"/>
    <w:rsid w:val="00760D0A"/>
    <w:rsid w:val="00760F2B"/>
    <w:rsid w:val="00761438"/>
    <w:rsid w:val="0076143B"/>
    <w:rsid w:val="00761519"/>
    <w:rsid w:val="00761767"/>
    <w:rsid w:val="0076178B"/>
    <w:rsid w:val="007617DF"/>
    <w:rsid w:val="0076188C"/>
    <w:rsid w:val="0076199B"/>
    <w:rsid w:val="00761A2B"/>
    <w:rsid w:val="00761BD3"/>
    <w:rsid w:val="00761C1E"/>
    <w:rsid w:val="00761D49"/>
    <w:rsid w:val="00762020"/>
    <w:rsid w:val="00762184"/>
    <w:rsid w:val="007624C2"/>
    <w:rsid w:val="00762550"/>
    <w:rsid w:val="00762CFC"/>
    <w:rsid w:val="00763229"/>
    <w:rsid w:val="0076327E"/>
    <w:rsid w:val="0076330B"/>
    <w:rsid w:val="00763314"/>
    <w:rsid w:val="00763563"/>
    <w:rsid w:val="00763900"/>
    <w:rsid w:val="00763BBB"/>
    <w:rsid w:val="0076405D"/>
    <w:rsid w:val="007646E9"/>
    <w:rsid w:val="00764A34"/>
    <w:rsid w:val="00764D97"/>
    <w:rsid w:val="0076524D"/>
    <w:rsid w:val="00765283"/>
    <w:rsid w:val="007652D6"/>
    <w:rsid w:val="00765822"/>
    <w:rsid w:val="0076595F"/>
    <w:rsid w:val="007659E3"/>
    <w:rsid w:val="00765B04"/>
    <w:rsid w:val="00765BCA"/>
    <w:rsid w:val="00765F09"/>
    <w:rsid w:val="007661B9"/>
    <w:rsid w:val="007663EC"/>
    <w:rsid w:val="00766446"/>
    <w:rsid w:val="00766790"/>
    <w:rsid w:val="00766D49"/>
    <w:rsid w:val="00766D74"/>
    <w:rsid w:val="00766E5F"/>
    <w:rsid w:val="0076754F"/>
    <w:rsid w:val="00767949"/>
    <w:rsid w:val="00767A96"/>
    <w:rsid w:val="00767D10"/>
    <w:rsid w:val="00767E9E"/>
    <w:rsid w:val="007702B4"/>
    <w:rsid w:val="007706BC"/>
    <w:rsid w:val="00770716"/>
    <w:rsid w:val="0077077A"/>
    <w:rsid w:val="007709A3"/>
    <w:rsid w:val="007709F0"/>
    <w:rsid w:val="00770A3B"/>
    <w:rsid w:val="00770AC6"/>
    <w:rsid w:val="00770CE0"/>
    <w:rsid w:val="00770F17"/>
    <w:rsid w:val="00771584"/>
    <w:rsid w:val="00771B76"/>
    <w:rsid w:val="007728E4"/>
    <w:rsid w:val="00772DE6"/>
    <w:rsid w:val="00772E3D"/>
    <w:rsid w:val="007735F1"/>
    <w:rsid w:val="0077366A"/>
    <w:rsid w:val="00773CD6"/>
    <w:rsid w:val="00773F09"/>
    <w:rsid w:val="00773F0A"/>
    <w:rsid w:val="00774156"/>
    <w:rsid w:val="00774483"/>
    <w:rsid w:val="00774723"/>
    <w:rsid w:val="007752EE"/>
    <w:rsid w:val="007754A1"/>
    <w:rsid w:val="00775688"/>
    <w:rsid w:val="00775B3A"/>
    <w:rsid w:val="00776324"/>
    <w:rsid w:val="00776339"/>
    <w:rsid w:val="007763CB"/>
    <w:rsid w:val="007767AC"/>
    <w:rsid w:val="0077739D"/>
    <w:rsid w:val="007773A7"/>
    <w:rsid w:val="0077799D"/>
    <w:rsid w:val="0077799F"/>
    <w:rsid w:val="00777AF9"/>
    <w:rsid w:val="00777F92"/>
    <w:rsid w:val="00780078"/>
    <w:rsid w:val="00780516"/>
    <w:rsid w:val="0078053C"/>
    <w:rsid w:val="007805F8"/>
    <w:rsid w:val="0078088D"/>
    <w:rsid w:val="00780C31"/>
    <w:rsid w:val="00781783"/>
    <w:rsid w:val="00781974"/>
    <w:rsid w:val="00781B08"/>
    <w:rsid w:val="00781C55"/>
    <w:rsid w:val="0078220B"/>
    <w:rsid w:val="00782365"/>
    <w:rsid w:val="007829E2"/>
    <w:rsid w:val="00782A2E"/>
    <w:rsid w:val="00782C42"/>
    <w:rsid w:val="00783016"/>
    <w:rsid w:val="0078306F"/>
    <w:rsid w:val="007830BC"/>
    <w:rsid w:val="007834DB"/>
    <w:rsid w:val="007837DE"/>
    <w:rsid w:val="00783A4B"/>
    <w:rsid w:val="00783A6A"/>
    <w:rsid w:val="00783B89"/>
    <w:rsid w:val="00783BC4"/>
    <w:rsid w:val="00783CA7"/>
    <w:rsid w:val="00784585"/>
    <w:rsid w:val="007845D8"/>
    <w:rsid w:val="0078478A"/>
    <w:rsid w:val="007848A6"/>
    <w:rsid w:val="00784A0F"/>
    <w:rsid w:val="00784A4E"/>
    <w:rsid w:val="00784B6A"/>
    <w:rsid w:val="00784D19"/>
    <w:rsid w:val="0078506A"/>
    <w:rsid w:val="0078567C"/>
    <w:rsid w:val="007858A1"/>
    <w:rsid w:val="0078590E"/>
    <w:rsid w:val="00785939"/>
    <w:rsid w:val="00785AAE"/>
    <w:rsid w:val="00785F2D"/>
    <w:rsid w:val="00785F63"/>
    <w:rsid w:val="0078657C"/>
    <w:rsid w:val="0078659A"/>
    <w:rsid w:val="00786810"/>
    <w:rsid w:val="00786959"/>
    <w:rsid w:val="00786B38"/>
    <w:rsid w:val="00786BAB"/>
    <w:rsid w:val="00786BF3"/>
    <w:rsid w:val="00787561"/>
    <w:rsid w:val="00787BEB"/>
    <w:rsid w:val="00787DCF"/>
    <w:rsid w:val="00787E09"/>
    <w:rsid w:val="00790099"/>
    <w:rsid w:val="00790491"/>
    <w:rsid w:val="00790518"/>
    <w:rsid w:val="007907CC"/>
    <w:rsid w:val="007908AC"/>
    <w:rsid w:val="007909A5"/>
    <w:rsid w:val="00791AA5"/>
    <w:rsid w:val="007921AF"/>
    <w:rsid w:val="007921BA"/>
    <w:rsid w:val="00792358"/>
    <w:rsid w:val="00792553"/>
    <w:rsid w:val="007925C8"/>
    <w:rsid w:val="00792D28"/>
    <w:rsid w:val="00793657"/>
    <w:rsid w:val="00793A36"/>
    <w:rsid w:val="00793DAC"/>
    <w:rsid w:val="00793E50"/>
    <w:rsid w:val="0079432A"/>
    <w:rsid w:val="00794574"/>
    <w:rsid w:val="007945B4"/>
    <w:rsid w:val="0079481F"/>
    <w:rsid w:val="007948EE"/>
    <w:rsid w:val="00794B0B"/>
    <w:rsid w:val="00794D14"/>
    <w:rsid w:val="00794ECD"/>
    <w:rsid w:val="007950AE"/>
    <w:rsid w:val="007950E2"/>
    <w:rsid w:val="007951D7"/>
    <w:rsid w:val="00795BCC"/>
    <w:rsid w:val="007960BA"/>
    <w:rsid w:val="00796146"/>
    <w:rsid w:val="0079630D"/>
    <w:rsid w:val="00796390"/>
    <w:rsid w:val="007966B1"/>
    <w:rsid w:val="00796FB4"/>
    <w:rsid w:val="007971AF"/>
    <w:rsid w:val="007972BD"/>
    <w:rsid w:val="00797CE1"/>
    <w:rsid w:val="00797DBF"/>
    <w:rsid w:val="00797E18"/>
    <w:rsid w:val="00797E66"/>
    <w:rsid w:val="007A017F"/>
    <w:rsid w:val="007A018D"/>
    <w:rsid w:val="007A030E"/>
    <w:rsid w:val="007A0391"/>
    <w:rsid w:val="007A0464"/>
    <w:rsid w:val="007A0767"/>
    <w:rsid w:val="007A0A79"/>
    <w:rsid w:val="007A0E07"/>
    <w:rsid w:val="007A133D"/>
    <w:rsid w:val="007A1420"/>
    <w:rsid w:val="007A17DE"/>
    <w:rsid w:val="007A1BAA"/>
    <w:rsid w:val="007A1C19"/>
    <w:rsid w:val="007A2527"/>
    <w:rsid w:val="007A254E"/>
    <w:rsid w:val="007A2AFC"/>
    <w:rsid w:val="007A2D8F"/>
    <w:rsid w:val="007A30F6"/>
    <w:rsid w:val="007A3740"/>
    <w:rsid w:val="007A3BA7"/>
    <w:rsid w:val="007A41B3"/>
    <w:rsid w:val="007A49E9"/>
    <w:rsid w:val="007A5009"/>
    <w:rsid w:val="007A56C9"/>
    <w:rsid w:val="007A5D90"/>
    <w:rsid w:val="007A5E90"/>
    <w:rsid w:val="007A5EB0"/>
    <w:rsid w:val="007A6D64"/>
    <w:rsid w:val="007A6E62"/>
    <w:rsid w:val="007A74E6"/>
    <w:rsid w:val="007A76EF"/>
    <w:rsid w:val="007A78DE"/>
    <w:rsid w:val="007A7944"/>
    <w:rsid w:val="007A7AE8"/>
    <w:rsid w:val="007A7D10"/>
    <w:rsid w:val="007A7E72"/>
    <w:rsid w:val="007B026E"/>
    <w:rsid w:val="007B0451"/>
    <w:rsid w:val="007B0517"/>
    <w:rsid w:val="007B0A4E"/>
    <w:rsid w:val="007B0DE6"/>
    <w:rsid w:val="007B0EEF"/>
    <w:rsid w:val="007B1032"/>
    <w:rsid w:val="007B19CD"/>
    <w:rsid w:val="007B2095"/>
    <w:rsid w:val="007B224E"/>
    <w:rsid w:val="007B2482"/>
    <w:rsid w:val="007B24EF"/>
    <w:rsid w:val="007B356A"/>
    <w:rsid w:val="007B3766"/>
    <w:rsid w:val="007B41A9"/>
    <w:rsid w:val="007B424D"/>
    <w:rsid w:val="007B465F"/>
    <w:rsid w:val="007B4E32"/>
    <w:rsid w:val="007B5104"/>
    <w:rsid w:val="007B51D7"/>
    <w:rsid w:val="007B5DA9"/>
    <w:rsid w:val="007B5E1D"/>
    <w:rsid w:val="007B5E9D"/>
    <w:rsid w:val="007B6011"/>
    <w:rsid w:val="007B62EF"/>
    <w:rsid w:val="007B6391"/>
    <w:rsid w:val="007B63AA"/>
    <w:rsid w:val="007B63DB"/>
    <w:rsid w:val="007B6906"/>
    <w:rsid w:val="007B6990"/>
    <w:rsid w:val="007B6CCE"/>
    <w:rsid w:val="007B6E33"/>
    <w:rsid w:val="007B6F0F"/>
    <w:rsid w:val="007B7071"/>
    <w:rsid w:val="007B708B"/>
    <w:rsid w:val="007B71B3"/>
    <w:rsid w:val="007B720C"/>
    <w:rsid w:val="007B724E"/>
    <w:rsid w:val="007B7933"/>
    <w:rsid w:val="007B7F14"/>
    <w:rsid w:val="007B7F4B"/>
    <w:rsid w:val="007C05A7"/>
    <w:rsid w:val="007C05E1"/>
    <w:rsid w:val="007C06C8"/>
    <w:rsid w:val="007C136F"/>
    <w:rsid w:val="007C13ED"/>
    <w:rsid w:val="007C164B"/>
    <w:rsid w:val="007C1951"/>
    <w:rsid w:val="007C1A89"/>
    <w:rsid w:val="007C1C66"/>
    <w:rsid w:val="007C22E7"/>
    <w:rsid w:val="007C237C"/>
    <w:rsid w:val="007C276D"/>
    <w:rsid w:val="007C27E1"/>
    <w:rsid w:val="007C2B48"/>
    <w:rsid w:val="007C2D18"/>
    <w:rsid w:val="007C2F9D"/>
    <w:rsid w:val="007C3329"/>
    <w:rsid w:val="007C36D3"/>
    <w:rsid w:val="007C36EB"/>
    <w:rsid w:val="007C42C1"/>
    <w:rsid w:val="007C431A"/>
    <w:rsid w:val="007C4334"/>
    <w:rsid w:val="007C44FA"/>
    <w:rsid w:val="007C552E"/>
    <w:rsid w:val="007C5646"/>
    <w:rsid w:val="007C5D20"/>
    <w:rsid w:val="007C5D36"/>
    <w:rsid w:val="007C5D50"/>
    <w:rsid w:val="007C618B"/>
    <w:rsid w:val="007C682A"/>
    <w:rsid w:val="007C6AB9"/>
    <w:rsid w:val="007C6BBA"/>
    <w:rsid w:val="007C6D10"/>
    <w:rsid w:val="007C6E0F"/>
    <w:rsid w:val="007C7079"/>
    <w:rsid w:val="007C7119"/>
    <w:rsid w:val="007C7216"/>
    <w:rsid w:val="007C7470"/>
    <w:rsid w:val="007C751C"/>
    <w:rsid w:val="007C79C9"/>
    <w:rsid w:val="007C7F12"/>
    <w:rsid w:val="007D03EF"/>
    <w:rsid w:val="007D056F"/>
    <w:rsid w:val="007D06E3"/>
    <w:rsid w:val="007D0738"/>
    <w:rsid w:val="007D0924"/>
    <w:rsid w:val="007D0AA0"/>
    <w:rsid w:val="007D11C2"/>
    <w:rsid w:val="007D12BE"/>
    <w:rsid w:val="007D18B6"/>
    <w:rsid w:val="007D1A07"/>
    <w:rsid w:val="007D1F17"/>
    <w:rsid w:val="007D1F6E"/>
    <w:rsid w:val="007D22DE"/>
    <w:rsid w:val="007D24B4"/>
    <w:rsid w:val="007D251E"/>
    <w:rsid w:val="007D270F"/>
    <w:rsid w:val="007D296C"/>
    <w:rsid w:val="007D2C69"/>
    <w:rsid w:val="007D2DC0"/>
    <w:rsid w:val="007D30E1"/>
    <w:rsid w:val="007D3123"/>
    <w:rsid w:val="007D3215"/>
    <w:rsid w:val="007D3228"/>
    <w:rsid w:val="007D3270"/>
    <w:rsid w:val="007D34B4"/>
    <w:rsid w:val="007D35A9"/>
    <w:rsid w:val="007D3BD0"/>
    <w:rsid w:val="007D3F8F"/>
    <w:rsid w:val="007D4504"/>
    <w:rsid w:val="007D46FE"/>
    <w:rsid w:val="007D497F"/>
    <w:rsid w:val="007D4C49"/>
    <w:rsid w:val="007D51EF"/>
    <w:rsid w:val="007D5653"/>
    <w:rsid w:val="007D571B"/>
    <w:rsid w:val="007D59C9"/>
    <w:rsid w:val="007D59F2"/>
    <w:rsid w:val="007D5AB3"/>
    <w:rsid w:val="007D5FA6"/>
    <w:rsid w:val="007D601F"/>
    <w:rsid w:val="007D60A0"/>
    <w:rsid w:val="007D60F1"/>
    <w:rsid w:val="007D673C"/>
    <w:rsid w:val="007D6B92"/>
    <w:rsid w:val="007D6D03"/>
    <w:rsid w:val="007D70EA"/>
    <w:rsid w:val="007D75AE"/>
    <w:rsid w:val="007D75B0"/>
    <w:rsid w:val="007D767E"/>
    <w:rsid w:val="007D76DB"/>
    <w:rsid w:val="007D7FFC"/>
    <w:rsid w:val="007E030D"/>
    <w:rsid w:val="007E128C"/>
    <w:rsid w:val="007E16E5"/>
    <w:rsid w:val="007E1B3E"/>
    <w:rsid w:val="007E1D14"/>
    <w:rsid w:val="007E22BA"/>
    <w:rsid w:val="007E24ED"/>
    <w:rsid w:val="007E2BD3"/>
    <w:rsid w:val="007E2FAF"/>
    <w:rsid w:val="007E33A0"/>
    <w:rsid w:val="007E347B"/>
    <w:rsid w:val="007E399B"/>
    <w:rsid w:val="007E3EB7"/>
    <w:rsid w:val="007E47A8"/>
    <w:rsid w:val="007E47BE"/>
    <w:rsid w:val="007E4AAD"/>
    <w:rsid w:val="007E4B1B"/>
    <w:rsid w:val="007E4B8C"/>
    <w:rsid w:val="007E4BE8"/>
    <w:rsid w:val="007E5062"/>
    <w:rsid w:val="007E5C38"/>
    <w:rsid w:val="007E5C89"/>
    <w:rsid w:val="007E5DD3"/>
    <w:rsid w:val="007E677B"/>
    <w:rsid w:val="007E7673"/>
    <w:rsid w:val="007E7C3C"/>
    <w:rsid w:val="007E7D58"/>
    <w:rsid w:val="007E7E9E"/>
    <w:rsid w:val="007F07DA"/>
    <w:rsid w:val="007F0809"/>
    <w:rsid w:val="007F08B0"/>
    <w:rsid w:val="007F09CD"/>
    <w:rsid w:val="007F0B9E"/>
    <w:rsid w:val="007F0F54"/>
    <w:rsid w:val="007F1526"/>
    <w:rsid w:val="007F17D1"/>
    <w:rsid w:val="007F18BC"/>
    <w:rsid w:val="007F1A74"/>
    <w:rsid w:val="007F1A81"/>
    <w:rsid w:val="007F1C50"/>
    <w:rsid w:val="007F1CC4"/>
    <w:rsid w:val="007F2042"/>
    <w:rsid w:val="007F20DB"/>
    <w:rsid w:val="007F2736"/>
    <w:rsid w:val="007F2A1C"/>
    <w:rsid w:val="007F2AD9"/>
    <w:rsid w:val="007F2BAE"/>
    <w:rsid w:val="007F333B"/>
    <w:rsid w:val="007F344B"/>
    <w:rsid w:val="007F360E"/>
    <w:rsid w:val="007F373E"/>
    <w:rsid w:val="007F3AB7"/>
    <w:rsid w:val="007F3DA0"/>
    <w:rsid w:val="007F43F7"/>
    <w:rsid w:val="007F469A"/>
    <w:rsid w:val="007F479B"/>
    <w:rsid w:val="007F4B53"/>
    <w:rsid w:val="007F4BB3"/>
    <w:rsid w:val="007F5886"/>
    <w:rsid w:val="007F5A22"/>
    <w:rsid w:val="007F5C0F"/>
    <w:rsid w:val="007F5CC0"/>
    <w:rsid w:val="007F6221"/>
    <w:rsid w:val="007F62CF"/>
    <w:rsid w:val="007F6354"/>
    <w:rsid w:val="007F63B9"/>
    <w:rsid w:val="007F657B"/>
    <w:rsid w:val="007F65C0"/>
    <w:rsid w:val="007F663B"/>
    <w:rsid w:val="007F66E0"/>
    <w:rsid w:val="007F6B14"/>
    <w:rsid w:val="007F6E9A"/>
    <w:rsid w:val="007F72B5"/>
    <w:rsid w:val="007F73D2"/>
    <w:rsid w:val="007F7709"/>
    <w:rsid w:val="007F793F"/>
    <w:rsid w:val="008000D0"/>
    <w:rsid w:val="00800459"/>
    <w:rsid w:val="00800ECF"/>
    <w:rsid w:val="00801064"/>
    <w:rsid w:val="0080185D"/>
    <w:rsid w:val="008018D5"/>
    <w:rsid w:val="00801C81"/>
    <w:rsid w:val="00801D6C"/>
    <w:rsid w:val="00801D97"/>
    <w:rsid w:val="00801DBE"/>
    <w:rsid w:val="0080339E"/>
    <w:rsid w:val="00803444"/>
    <w:rsid w:val="00803466"/>
    <w:rsid w:val="00803702"/>
    <w:rsid w:val="00803778"/>
    <w:rsid w:val="00803C87"/>
    <w:rsid w:val="00803CD8"/>
    <w:rsid w:val="00804209"/>
    <w:rsid w:val="00804525"/>
    <w:rsid w:val="00804767"/>
    <w:rsid w:val="00804B41"/>
    <w:rsid w:val="00804DDA"/>
    <w:rsid w:val="008053D2"/>
    <w:rsid w:val="008059E0"/>
    <w:rsid w:val="008059E2"/>
    <w:rsid w:val="008059FA"/>
    <w:rsid w:val="00805BCE"/>
    <w:rsid w:val="00805DF3"/>
    <w:rsid w:val="0080614E"/>
    <w:rsid w:val="0080633F"/>
    <w:rsid w:val="00806616"/>
    <w:rsid w:val="008066E9"/>
    <w:rsid w:val="00806892"/>
    <w:rsid w:val="00806972"/>
    <w:rsid w:val="00806A1C"/>
    <w:rsid w:val="00806B79"/>
    <w:rsid w:val="00806CDA"/>
    <w:rsid w:val="00806E6E"/>
    <w:rsid w:val="0080702E"/>
    <w:rsid w:val="008071D4"/>
    <w:rsid w:val="00807445"/>
    <w:rsid w:val="008075DA"/>
    <w:rsid w:val="008078A9"/>
    <w:rsid w:val="008078AE"/>
    <w:rsid w:val="00807962"/>
    <w:rsid w:val="0081044C"/>
    <w:rsid w:val="0081066B"/>
    <w:rsid w:val="00810BDD"/>
    <w:rsid w:val="00810F7F"/>
    <w:rsid w:val="0081113C"/>
    <w:rsid w:val="00811834"/>
    <w:rsid w:val="008118BE"/>
    <w:rsid w:val="00811A16"/>
    <w:rsid w:val="00811DF0"/>
    <w:rsid w:val="00811EF1"/>
    <w:rsid w:val="00812818"/>
    <w:rsid w:val="00812883"/>
    <w:rsid w:val="00812935"/>
    <w:rsid w:val="00812B5E"/>
    <w:rsid w:val="00812C7C"/>
    <w:rsid w:val="00812FA6"/>
    <w:rsid w:val="00813075"/>
    <w:rsid w:val="0081324A"/>
    <w:rsid w:val="0081395F"/>
    <w:rsid w:val="00813989"/>
    <w:rsid w:val="00813FB2"/>
    <w:rsid w:val="008141E6"/>
    <w:rsid w:val="008145A3"/>
    <w:rsid w:val="008145DD"/>
    <w:rsid w:val="008147A4"/>
    <w:rsid w:val="00814978"/>
    <w:rsid w:val="00814DCD"/>
    <w:rsid w:val="00814DED"/>
    <w:rsid w:val="00814FA2"/>
    <w:rsid w:val="008154ED"/>
    <w:rsid w:val="008157CE"/>
    <w:rsid w:val="008165ED"/>
    <w:rsid w:val="008167F5"/>
    <w:rsid w:val="00816A14"/>
    <w:rsid w:val="00816C0E"/>
    <w:rsid w:val="00816C7D"/>
    <w:rsid w:val="0081723A"/>
    <w:rsid w:val="008174C6"/>
    <w:rsid w:val="00817641"/>
    <w:rsid w:val="008177C6"/>
    <w:rsid w:val="008178C7"/>
    <w:rsid w:val="00817B01"/>
    <w:rsid w:val="0082007F"/>
    <w:rsid w:val="008203BA"/>
    <w:rsid w:val="008205DF"/>
    <w:rsid w:val="00820B05"/>
    <w:rsid w:val="00820C6A"/>
    <w:rsid w:val="00820FE7"/>
    <w:rsid w:val="00821223"/>
    <w:rsid w:val="00821612"/>
    <w:rsid w:val="008218FB"/>
    <w:rsid w:val="00821A39"/>
    <w:rsid w:val="00822764"/>
    <w:rsid w:val="00822A20"/>
    <w:rsid w:val="00822EDF"/>
    <w:rsid w:val="00822F55"/>
    <w:rsid w:val="00823223"/>
    <w:rsid w:val="00823D50"/>
    <w:rsid w:val="00823FB3"/>
    <w:rsid w:val="0082409C"/>
    <w:rsid w:val="00824915"/>
    <w:rsid w:val="008249E2"/>
    <w:rsid w:val="008249E8"/>
    <w:rsid w:val="00824A9D"/>
    <w:rsid w:val="00824C66"/>
    <w:rsid w:val="00824E8E"/>
    <w:rsid w:val="0082501F"/>
    <w:rsid w:val="008250A6"/>
    <w:rsid w:val="00825266"/>
    <w:rsid w:val="00825501"/>
    <w:rsid w:val="008258B5"/>
    <w:rsid w:val="00825B34"/>
    <w:rsid w:val="008261C9"/>
    <w:rsid w:val="00826798"/>
    <w:rsid w:val="008269E6"/>
    <w:rsid w:val="00826F76"/>
    <w:rsid w:val="008273BC"/>
    <w:rsid w:val="00827E49"/>
    <w:rsid w:val="00830333"/>
    <w:rsid w:val="008307FE"/>
    <w:rsid w:val="00830808"/>
    <w:rsid w:val="00830F0B"/>
    <w:rsid w:val="00831109"/>
    <w:rsid w:val="00831220"/>
    <w:rsid w:val="0083163B"/>
    <w:rsid w:val="0083197C"/>
    <w:rsid w:val="00831C65"/>
    <w:rsid w:val="008322F3"/>
    <w:rsid w:val="00832307"/>
    <w:rsid w:val="00832388"/>
    <w:rsid w:val="00833568"/>
    <w:rsid w:val="008335BF"/>
    <w:rsid w:val="00833637"/>
    <w:rsid w:val="008337F7"/>
    <w:rsid w:val="00833A7B"/>
    <w:rsid w:val="00834060"/>
    <w:rsid w:val="008340A7"/>
    <w:rsid w:val="00834167"/>
    <w:rsid w:val="008343EB"/>
    <w:rsid w:val="008346EA"/>
    <w:rsid w:val="008352A6"/>
    <w:rsid w:val="008353F8"/>
    <w:rsid w:val="00835A19"/>
    <w:rsid w:val="00835A1B"/>
    <w:rsid w:val="00835B79"/>
    <w:rsid w:val="00835BC4"/>
    <w:rsid w:val="00835C6A"/>
    <w:rsid w:val="00836716"/>
    <w:rsid w:val="00836BF0"/>
    <w:rsid w:val="00837017"/>
    <w:rsid w:val="0083723C"/>
    <w:rsid w:val="00837490"/>
    <w:rsid w:val="008374E1"/>
    <w:rsid w:val="00837B23"/>
    <w:rsid w:val="00837B88"/>
    <w:rsid w:val="00837F6A"/>
    <w:rsid w:val="00840180"/>
    <w:rsid w:val="00840261"/>
    <w:rsid w:val="0084068D"/>
    <w:rsid w:val="008408FB"/>
    <w:rsid w:val="00840BAF"/>
    <w:rsid w:val="00840D63"/>
    <w:rsid w:val="00840ED1"/>
    <w:rsid w:val="00840F2D"/>
    <w:rsid w:val="00840F7F"/>
    <w:rsid w:val="008416FB"/>
    <w:rsid w:val="00841997"/>
    <w:rsid w:val="008419D0"/>
    <w:rsid w:val="008420CB"/>
    <w:rsid w:val="008422DC"/>
    <w:rsid w:val="008424EC"/>
    <w:rsid w:val="00842C0A"/>
    <w:rsid w:val="00843794"/>
    <w:rsid w:val="00843B2D"/>
    <w:rsid w:val="00843DAC"/>
    <w:rsid w:val="0084413A"/>
    <w:rsid w:val="008442C3"/>
    <w:rsid w:val="008444F8"/>
    <w:rsid w:val="00844AB7"/>
    <w:rsid w:val="00844BB9"/>
    <w:rsid w:val="0084528C"/>
    <w:rsid w:val="008457A7"/>
    <w:rsid w:val="00845E41"/>
    <w:rsid w:val="00846167"/>
    <w:rsid w:val="00846215"/>
    <w:rsid w:val="008468FE"/>
    <w:rsid w:val="00846AC8"/>
    <w:rsid w:val="00846AE4"/>
    <w:rsid w:val="00846BA2"/>
    <w:rsid w:val="00847247"/>
    <w:rsid w:val="008473E4"/>
    <w:rsid w:val="008475F3"/>
    <w:rsid w:val="008477DD"/>
    <w:rsid w:val="00847BED"/>
    <w:rsid w:val="0085010E"/>
    <w:rsid w:val="008504D7"/>
    <w:rsid w:val="008505D7"/>
    <w:rsid w:val="00850CA8"/>
    <w:rsid w:val="00850DC1"/>
    <w:rsid w:val="00851292"/>
    <w:rsid w:val="00851301"/>
    <w:rsid w:val="0085145C"/>
    <w:rsid w:val="00851A46"/>
    <w:rsid w:val="00851BAF"/>
    <w:rsid w:val="00851E5D"/>
    <w:rsid w:val="00852665"/>
    <w:rsid w:val="0085280F"/>
    <w:rsid w:val="00852B29"/>
    <w:rsid w:val="00852BE1"/>
    <w:rsid w:val="00852D2C"/>
    <w:rsid w:val="00852F2D"/>
    <w:rsid w:val="00853422"/>
    <w:rsid w:val="00853875"/>
    <w:rsid w:val="008539CA"/>
    <w:rsid w:val="00853AD6"/>
    <w:rsid w:val="00853CD6"/>
    <w:rsid w:val="00853F23"/>
    <w:rsid w:val="0085416D"/>
    <w:rsid w:val="008544AC"/>
    <w:rsid w:val="008544B8"/>
    <w:rsid w:val="008546CE"/>
    <w:rsid w:val="00854AA9"/>
    <w:rsid w:val="00854EF5"/>
    <w:rsid w:val="00855196"/>
    <w:rsid w:val="008554DA"/>
    <w:rsid w:val="0085572D"/>
    <w:rsid w:val="00855A38"/>
    <w:rsid w:val="00855D22"/>
    <w:rsid w:val="00855F77"/>
    <w:rsid w:val="00855FFC"/>
    <w:rsid w:val="00856647"/>
    <w:rsid w:val="0085671A"/>
    <w:rsid w:val="008567B2"/>
    <w:rsid w:val="00856ADC"/>
    <w:rsid w:val="00856C4E"/>
    <w:rsid w:val="00856F2D"/>
    <w:rsid w:val="008573E8"/>
    <w:rsid w:val="00857D23"/>
    <w:rsid w:val="0086013B"/>
    <w:rsid w:val="008601EE"/>
    <w:rsid w:val="0086040D"/>
    <w:rsid w:val="008605A4"/>
    <w:rsid w:val="0086086E"/>
    <w:rsid w:val="00860B45"/>
    <w:rsid w:val="00860EE6"/>
    <w:rsid w:val="00860F39"/>
    <w:rsid w:val="00860FAE"/>
    <w:rsid w:val="008615D0"/>
    <w:rsid w:val="00861650"/>
    <w:rsid w:val="0086179F"/>
    <w:rsid w:val="00861ABD"/>
    <w:rsid w:val="00861BB6"/>
    <w:rsid w:val="00861D43"/>
    <w:rsid w:val="00861FF4"/>
    <w:rsid w:val="00862169"/>
    <w:rsid w:val="008621AD"/>
    <w:rsid w:val="00862443"/>
    <w:rsid w:val="008625C9"/>
    <w:rsid w:val="00862A16"/>
    <w:rsid w:val="00862D31"/>
    <w:rsid w:val="00862EEB"/>
    <w:rsid w:val="00862F8A"/>
    <w:rsid w:val="00863579"/>
    <w:rsid w:val="0086372B"/>
    <w:rsid w:val="008639ED"/>
    <w:rsid w:val="00863A3A"/>
    <w:rsid w:val="0086401C"/>
    <w:rsid w:val="0086454C"/>
    <w:rsid w:val="008645AC"/>
    <w:rsid w:val="00864874"/>
    <w:rsid w:val="00864900"/>
    <w:rsid w:val="0086499C"/>
    <w:rsid w:val="00864D16"/>
    <w:rsid w:val="00864E08"/>
    <w:rsid w:val="00864FBB"/>
    <w:rsid w:val="00865653"/>
    <w:rsid w:val="0086568E"/>
    <w:rsid w:val="00865A39"/>
    <w:rsid w:val="00865BF6"/>
    <w:rsid w:val="00865C94"/>
    <w:rsid w:val="00865D5F"/>
    <w:rsid w:val="00865E5C"/>
    <w:rsid w:val="00865F43"/>
    <w:rsid w:val="008660DA"/>
    <w:rsid w:val="0086623A"/>
    <w:rsid w:val="008666F9"/>
    <w:rsid w:val="00866785"/>
    <w:rsid w:val="0086689C"/>
    <w:rsid w:val="00866B66"/>
    <w:rsid w:val="00866CBA"/>
    <w:rsid w:val="00866E96"/>
    <w:rsid w:val="008676EE"/>
    <w:rsid w:val="0086793F"/>
    <w:rsid w:val="008679A5"/>
    <w:rsid w:val="00867C88"/>
    <w:rsid w:val="00867D73"/>
    <w:rsid w:val="008709AD"/>
    <w:rsid w:val="00870A00"/>
    <w:rsid w:val="00870E47"/>
    <w:rsid w:val="00870EEA"/>
    <w:rsid w:val="00871059"/>
    <w:rsid w:val="0087106A"/>
    <w:rsid w:val="0087114B"/>
    <w:rsid w:val="008712DB"/>
    <w:rsid w:val="008714BB"/>
    <w:rsid w:val="0087158D"/>
    <w:rsid w:val="008717E0"/>
    <w:rsid w:val="008719A5"/>
    <w:rsid w:val="00871B99"/>
    <w:rsid w:val="00872027"/>
    <w:rsid w:val="0087204C"/>
    <w:rsid w:val="00872555"/>
    <w:rsid w:val="00872AE8"/>
    <w:rsid w:val="00872AF6"/>
    <w:rsid w:val="00872C37"/>
    <w:rsid w:val="00872E98"/>
    <w:rsid w:val="00872EBF"/>
    <w:rsid w:val="00873292"/>
    <w:rsid w:val="00873796"/>
    <w:rsid w:val="00873815"/>
    <w:rsid w:val="0087382A"/>
    <w:rsid w:val="00873971"/>
    <w:rsid w:val="00873F54"/>
    <w:rsid w:val="0087411A"/>
    <w:rsid w:val="00874AA3"/>
    <w:rsid w:val="00874ACC"/>
    <w:rsid w:val="008751C6"/>
    <w:rsid w:val="0087521A"/>
    <w:rsid w:val="0087527D"/>
    <w:rsid w:val="008754F3"/>
    <w:rsid w:val="008758C9"/>
    <w:rsid w:val="008758F9"/>
    <w:rsid w:val="00875986"/>
    <w:rsid w:val="00875E56"/>
    <w:rsid w:val="00875FDF"/>
    <w:rsid w:val="00876113"/>
    <w:rsid w:val="0087616C"/>
    <w:rsid w:val="00876A36"/>
    <w:rsid w:val="00876EEB"/>
    <w:rsid w:val="0087736C"/>
    <w:rsid w:val="008774E5"/>
    <w:rsid w:val="0087751E"/>
    <w:rsid w:val="00877530"/>
    <w:rsid w:val="008802BE"/>
    <w:rsid w:val="0088036D"/>
    <w:rsid w:val="008803B2"/>
    <w:rsid w:val="00880549"/>
    <w:rsid w:val="00880606"/>
    <w:rsid w:val="0088098A"/>
    <w:rsid w:val="00880C83"/>
    <w:rsid w:val="00880E76"/>
    <w:rsid w:val="008812E7"/>
    <w:rsid w:val="00881687"/>
    <w:rsid w:val="008816C9"/>
    <w:rsid w:val="0088170E"/>
    <w:rsid w:val="00881922"/>
    <w:rsid w:val="00881C95"/>
    <w:rsid w:val="008820EE"/>
    <w:rsid w:val="00882244"/>
    <w:rsid w:val="008829B3"/>
    <w:rsid w:val="008829B6"/>
    <w:rsid w:val="00883217"/>
    <w:rsid w:val="0088379F"/>
    <w:rsid w:val="008839DA"/>
    <w:rsid w:val="00884131"/>
    <w:rsid w:val="0088440E"/>
    <w:rsid w:val="00884599"/>
    <w:rsid w:val="0088493C"/>
    <w:rsid w:val="00884B8F"/>
    <w:rsid w:val="00884C78"/>
    <w:rsid w:val="00885038"/>
    <w:rsid w:val="0088510C"/>
    <w:rsid w:val="00885586"/>
    <w:rsid w:val="008857B7"/>
    <w:rsid w:val="00885B3E"/>
    <w:rsid w:val="00885B89"/>
    <w:rsid w:val="00885E50"/>
    <w:rsid w:val="00886133"/>
    <w:rsid w:val="0088626B"/>
    <w:rsid w:val="00886434"/>
    <w:rsid w:val="008865F2"/>
    <w:rsid w:val="00886662"/>
    <w:rsid w:val="008867F4"/>
    <w:rsid w:val="00886E48"/>
    <w:rsid w:val="0088701E"/>
    <w:rsid w:val="00887329"/>
    <w:rsid w:val="00887CBF"/>
    <w:rsid w:val="00887CD0"/>
    <w:rsid w:val="008901A6"/>
    <w:rsid w:val="00890263"/>
    <w:rsid w:val="008903DA"/>
    <w:rsid w:val="00890439"/>
    <w:rsid w:val="00890612"/>
    <w:rsid w:val="00890DC4"/>
    <w:rsid w:val="00890FA3"/>
    <w:rsid w:val="00890FD5"/>
    <w:rsid w:val="008910D9"/>
    <w:rsid w:val="008910E1"/>
    <w:rsid w:val="00891758"/>
    <w:rsid w:val="0089184F"/>
    <w:rsid w:val="008918BF"/>
    <w:rsid w:val="008920B4"/>
    <w:rsid w:val="00892128"/>
    <w:rsid w:val="008921E0"/>
    <w:rsid w:val="00892812"/>
    <w:rsid w:val="00892A91"/>
    <w:rsid w:val="00893470"/>
    <w:rsid w:val="00893A1D"/>
    <w:rsid w:val="00893B97"/>
    <w:rsid w:val="00893C93"/>
    <w:rsid w:val="00893D30"/>
    <w:rsid w:val="00893EC2"/>
    <w:rsid w:val="008949D7"/>
    <w:rsid w:val="00894B3C"/>
    <w:rsid w:val="00894B58"/>
    <w:rsid w:val="00894C4C"/>
    <w:rsid w:val="00894DB9"/>
    <w:rsid w:val="00894E61"/>
    <w:rsid w:val="0089550B"/>
    <w:rsid w:val="0089568B"/>
    <w:rsid w:val="008956E9"/>
    <w:rsid w:val="0089592F"/>
    <w:rsid w:val="00895A40"/>
    <w:rsid w:val="00895A72"/>
    <w:rsid w:val="00895D15"/>
    <w:rsid w:val="0089608D"/>
    <w:rsid w:val="008960D1"/>
    <w:rsid w:val="0089691D"/>
    <w:rsid w:val="00896B0E"/>
    <w:rsid w:val="00896DFC"/>
    <w:rsid w:val="0089703D"/>
    <w:rsid w:val="00897519"/>
    <w:rsid w:val="0089760C"/>
    <w:rsid w:val="00897621"/>
    <w:rsid w:val="008976E1"/>
    <w:rsid w:val="00897AA4"/>
    <w:rsid w:val="00897F08"/>
    <w:rsid w:val="00897F34"/>
    <w:rsid w:val="008A0166"/>
    <w:rsid w:val="008A0187"/>
    <w:rsid w:val="008A03D7"/>
    <w:rsid w:val="008A04EC"/>
    <w:rsid w:val="008A05A8"/>
    <w:rsid w:val="008A0940"/>
    <w:rsid w:val="008A0B8A"/>
    <w:rsid w:val="008A0F6E"/>
    <w:rsid w:val="008A0F7C"/>
    <w:rsid w:val="008A25BD"/>
    <w:rsid w:val="008A25C0"/>
    <w:rsid w:val="008A2D24"/>
    <w:rsid w:val="008A360F"/>
    <w:rsid w:val="008A36C9"/>
    <w:rsid w:val="008A3752"/>
    <w:rsid w:val="008A3C08"/>
    <w:rsid w:val="008A48F6"/>
    <w:rsid w:val="008A4AC1"/>
    <w:rsid w:val="008A4B37"/>
    <w:rsid w:val="008A4B49"/>
    <w:rsid w:val="008A5124"/>
    <w:rsid w:val="008A5AFE"/>
    <w:rsid w:val="008A619F"/>
    <w:rsid w:val="008A67A7"/>
    <w:rsid w:val="008A68AA"/>
    <w:rsid w:val="008A6DD8"/>
    <w:rsid w:val="008A6E3A"/>
    <w:rsid w:val="008A6E7D"/>
    <w:rsid w:val="008A6F2D"/>
    <w:rsid w:val="008A7210"/>
    <w:rsid w:val="008A7CCA"/>
    <w:rsid w:val="008A7EC1"/>
    <w:rsid w:val="008B0080"/>
    <w:rsid w:val="008B04CC"/>
    <w:rsid w:val="008B0627"/>
    <w:rsid w:val="008B06F6"/>
    <w:rsid w:val="008B0CF1"/>
    <w:rsid w:val="008B0ECD"/>
    <w:rsid w:val="008B10A3"/>
    <w:rsid w:val="008B110F"/>
    <w:rsid w:val="008B1215"/>
    <w:rsid w:val="008B1247"/>
    <w:rsid w:val="008B14D1"/>
    <w:rsid w:val="008B19FC"/>
    <w:rsid w:val="008B1A36"/>
    <w:rsid w:val="008B1F1B"/>
    <w:rsid w:val="008B2049"/>
    <w:rsid w:val="008B2145"/>
    <w:rsid w:val="008B22D3"/>
    <w:rsid w:val="008B236F"/>
    <w:rsid w:val="008B237F"/>
    <w:rsid w:val="008B2939"/>
    <w:rsid w:val="008B2ADB"/>
    <w:rsid w:val="008B2D57"/>
    <w:rsid w:val="008B3180"/>
    <w:rsid w:val="008B34BA"/>
    <w:rsid w:val="008B34DD"/>
    <w:rsid w:val="008B3661"/>
    <w:rsid w:val="008B36FD"/>
    <w:rsid w:val="008B3A09"/>
    <w:rsid w:val="008B3D0E"/>
    <w:rsid w:val="008B406F"/>
    <w:rsid w:val="008B4508"/>
    <w:rsid w:val="008B5897"/>
    <w:rsid w:val="008B5A88"/>
    <w:rsid w:val="008B5E8B"/>
    <w:rsid w:val="008B5F9D"/>
    <w:rsid w:val="008B6155"/>
    <w:rsid w:val="008B6374"/>
    <w:rsid w:val="008B691C"/>
    <w:rsid w:val="008B6D4F"/>
    <w:rsid w:val="008B6EDA"/>
    <w:rsid w:val="008B7239"/>
    <w:rsid w:val="008B7580"/>
    <w:rsid w:val="008B7C01"/>
    <w:rsid w:val="008C015F"/>
    <w:rsid w:val="008C01BA"/>
    <w:rsid w:val="008C04BE"/>
    <w:rsid w:val="008C0606"/>
    <w:rsid w:val="008C069B"/>
    <w:rsid w:val="008C06E3"/>
    <w:rsid w:val="008C073E"/>
    <w:rsid w:val="008C0BA5"/>
    <w:rsid w:val="008C0CCB"/>
    <w:rsid w:val="008C0DD4"/>
    <w:rsid w:val="008C0DE3"/>
    <w:rsid w:val="008C0E08"/>
    <w:rsid w:val="008C0ED3"/>
    <w:rsid w:val="008C1007"/>
    <w:rsid w:val="008C11EB"/>
    <w:rsid w:val="008C152B"/>
    <w:rsid w:val="008C1AAA"/>
    <w:rsid w:val="008C1B8C"/>
    <w:rsid w:val="008C1DA0"/>
    <w:rsid w:val="008C22C6"/>
    <w:rsid w:val="008C25E7"/>
    <w:rsid w:val="008C2659"/>
    <w:rsid w:val="008C291C"/>
    <w:rsid w:val="008C2A3B"/>
    <w:rsid w:val="008C2B59"/>
    <w:rsid w:val="008C3891"/>
    <w:rsid w:val="008C38AD"/>
    <w:rsid w:val="008C3BF7"/>
    <w:rsid w:val="008C3DE5"/>
    <w:rsid w:val="008C46EF"/>
    <w:rsid w:val="008C47AC"/>
    <w:rsid w:val="008C4AEE"/>
    <w:rsid w:val="008C4CEC"/>
    <w:rsid w:val="008C4D56"/>
    <w:rsid w:val="008C4D94"/>
    <w:rsid w:val="008C4EDA"/>
    <w:rsid w:val="008C54D0"/>
    <w:rsid w:val="008C555E"/>
    <w:rsid w:val="008C60C1"/>
    <w:rsid w:val="008C635B"/>
    <w:rsid w:val="008C64DC"/>
    <w:rsid w:val="008C6677"/>
    <w:rsid w:val="008C68FF"/>
    <w:rsid w:val="008C696C"/>
    <w:rsid w:val="008C6A5C"/>
    <w:rsid w:val="008C6C61"/>
    <w:rsid w:val="008C7627"/>
    <w:rsid w:val="008C771B"/>
    <w:rsid w:val="008C7B18"/>
    <w:rsid w:val="008C7B7D"/>
    <w:rsid w:val="008C7D8D"/>
    <w:rsid w:val="008D01BF"/>
    <w:rsid w:val="008D0650"/>
    <w:rsid w:val="008D0AA9"/>
    <w:rsid w:val="008D110D"/>
    <w:rsid w:val="008D1136"/>
    <w:rsid w:val="008D118E"/>
    <w:rsid w:val="008D13F9"/>
    <w:rsid w:val="008D16A4"/>
    <w:rsid w:val="008D1E3B"/>
    <w:rsid w:val="008D21FB"/>
    <w:rsid w:val="008D22F3"/>
    <w:rsid w:val="008D2838"/>
    <w:rsid w:val="008D2A7D"/>
    <w:rsid w:val="008D2B75"/>
    <w:rsid w:val="008D2F2D"/>
    <w:rsid w:val="008D31A7"/>
    <w:rsid w:val="008D31D3"/>
    <w:rsid w:val="008D3A09"/>
    <w:rsid w:val="008D3B66"/>
    <w:rsid w:val="008D3E4B"/>
    <w:rsid w:val="008D3E80"/>
    <w:rsid w:val="008D4131"/>
    <w:rsid w:val="008D53CB"/>
    <w:rsid w:val="008D5604"/>
    <w:rsid w:val="008D5739"/>
    <w:rsid w:val="008D5CEA"/>
    <w:rsid w:val="008D6228"/>
    <w:rsid w:val="008D6425"/>
    <w:rsid w:val="008D6A69"/>
    <w:rsid w:val="008D6CEE"/>
    <w:rsid w:val="008D6E89"/>
    <w:rsid w:val="008D7108"/>
    <w:rsid w:val="008D7130"/>
    <w:rsid w:val="008D781C"/>
    <w:rsid w:val="008E0065"/>
    <w:rsid w:val="008E00EE"/>
    <w:rsid w:val="008E0402"/>
    <w:rsid w:val="008E056E"/>
    <w:rsid w:val="008E05C4"/>
    <w:rsid w:val="008E06B6"/>
    <w:rsid w:val="008E0AAD"/>
    <w:rsid w:val="008E0BFB"/>
    <w:rsid w:val="008E0C94"/>
    <w:rsid w:val="008E0E58"/>
    <w:rsid w:val="008E141E"/>
    <w:rsid w:val="008E15B3"/>
    <w:rsid w:val="008E1714"/>
    <w:rsid w:val="008E1A05"/>
    <w:rsid w:val="008E1C21"/>
    <w:rsid w:val="008E1CD7"/>
    <w:rsid w:val="008E1D27"/>
    <w:rsid w:val="008E1DA3"/>
    <w:rsid w:val="008E1EB6"/>
    <w:rsid w:val="008E24A4"/>
    <w:rsid w:val="008E25D9"/>
    <w:rsid w:val="008E276A"/>
    <w:rsid w:val="008E27B4"/>
    <w:rsid w:val="008E2AE8"/>
    <w:rsid w:val="008E32B7"/>
    <w:rsid w:val="008E3342"/>
    <w:rsid w:val="008E3701"/>
    <w:rsid w:val="008E395A"/>
    <w:rsid w:val="008E3B34"/>
    <w:rsid w:val="008E3B74"/>
    <w:rsid w:val="008E3B77"/>
    <w:rsid w:val="008E3D3F"/>
    <w:rsid w:val="008E3F88"/>
    <w:rsid w:val="008E3FDF"/>
    <w:rsid w:val="008E403B"/>
    <w:rsid w:val="008E43C6"/>
    <w:rsid w:val="008E47CE"/>
    <w:rsid w:val="008E4978"/>
    <w:rsid w:val="008E4B5F"/>
    <w:rsid w:val="008E4C45"/>
    <w:rsid w:val="008E4E39"/>
    <w:rsid w:val="008E4F0D"/>
    <w:rsid w:val="008E4F32"/>
    <w:rsid w:val="008E4F7C"/>
    <w:rsid w:val="008E53A6"/>
    <w:rsid w:val="008E5662"/>
    <w:rsid w:val="008E5B72"/>
    <w:rsid w:val="008E5C1F"/>
    <w:rsid w:val="008E5D49"/>
    <w:rsid w:val="008E624D"/>
    <w:rsid w:val="008E62A3"/>
    <w:rsid w:val="008E6505"/>
    <w:rsid w:val="008E6956"/>
    <w:rsid w:val="008E6B3D"/>
    <w:rsid w:val="008E6DB5"/>
    <w:rsid w:val="008E6ED5"/>
    <w:rsid w:val="008E726C"/>
    <w:rsid w:val="008E75A8"/>
    <w:rsid w:val="008E7B51"/>
    <w:rsid w:val="008E7E66"/>
    <w:rsid w:val="008F01DF"/>
    <w:rsid w:val="008F0250"/>
    <w:rsid w:val="008F02F2"/>
    <w:rsid w:val="008F0A4A"/>
    <w:rsid w:val="008F1009"/>
    <w:rsid w:val="008F1836"/>
    <w:rsid w:val="008F1B21"/>
    <w:rsid w:val="008F1BD6"/>
    <w:rsid w:val="008F1C76"/>
    <w:rsid w:val="008F2377"/>
    <w:rsid w:val="008F26AE"/>
    <w:rsid w:val="008F2B26"/>
    <w:rsid w:val="008F2FB5"/>
    <w:rsid w:val="008F2FF0"/>
    <w:rsid w:val="008F3B0E"/>
    <w:rsid w:val="008F3D86"/>
    <w:rsid w:val="008F421D"/>
    <w:rsid w:val="008F43C7"/>
    <w:rsid w:val="008F4E71"/>
    <w:rsid w:val="008F4F50"/>
    <w:rsid w:val="008F5197"/>
    <w:rsid w:val="008F5724"/>
    <w:rsid w:val="008F5D39"/>
    <w:rsid w:val="008F5DA0"/>
    <w:rsid w:val="008F5E63"/>
    <w:rsid w:val="008F5E68"/>
    <w:rsid w:val="008F64B0"/>
    <w:rsid w:val="008F64CE"/>
    <w:rsid w:val="008F6824"/>
    <w:rsid w:val="008F6A78"/>
    <w:rsid w:val="008F72B2"/>
    <w:rsid w:val="008F7380"/>
    <w:rsid w:val="008F76D3"/>
    <w:rsid w:val="008F7B2E"/>
    <w:rsid w:val="008F7BF2"/>
    <w:rsid w:val="008F7F68"/>
    <w:rsid w:val="009000EF"/>
    <w:rsid w:val="00900233"/>
    <w:rsid w:val="009004C0"/>
    <w:rsid w:val="00900755"/>
    <w:rsid w:val="00900B52"/>
    <w:rsid w:val="00900C0C"/>
    <w:rsid w:val="00900E4F"/>
    <w:rsid w:val="00900EF2"/>
    <w:rsid w:val="0090103C"/>
    <w:rsid w:val="00901489"/>
    <w:rsid w:val="00901892"/>
    <w:rsid w:val="00901D06"/>
    <w:rsid w:val="009024F2"/>
    <w:rsid w:val="00902B53"/>
    <w:rsid w:val="00902C41"/>
    <w:rsid w:val="00902D2A"/>
    <w:rsid w:val="00902D47"/>
    <w:rsid w:val="009030F7"/>
    <w:rsid w:val="0090315A"/>
    <w:rsid w:val="009034E1"/>
    <w:rsid w:val="0090364D"/>
    <w:rsid w:val="0090464D"/>
    <w:rsid w:val="00904669"/>
    <w:rsid w:val="009047B1"/>
    <w:rsid w:val="00904AF0"/>
    <w:rsid w:val="00904FBE"/>
    <w:rsid w:val="00905EC4"/>
    <w:rsid w:val="009064B6"/>
    <w:rsid w:val="009065F8"/>
    <w:rsid w:val="00906B24"/>
    <w:rsid w:val="00906B58"/>
    <w:rsid w:val="00906BDF"/>
    <w:rsid w:val="009078EE"/>
    <w:rsid w:val="00907920"/>
    <w:rsid w:val="00907F21"/>
    <w:rsid w:val="009105BF"/>
    <w:rsid w:val="0091073A"/>
    <w:rsid w:val="00910879"/>
    <w:rsid w:val="00910B1C"/>
    <w:rsid w:val="0091155B"/>
    <w:rsid w:val="00911562"/>
    <w:rsid w:val="0091167E"/>
    <w:rsid w:val="0091181D"/>
    <w:rsid w:val="00911E3E"/>
    <w:rsid w:val="00911E6E"/>
    <w:rsid w:val="009121E6"/>
    <w:rsid w:val="00912226"/>
    <w:rsid w:val="00912521"/>
    <w:rsid w:val="00912579"/>
    <w:rsid w:val="00913560"/>
    <w:rsid w:val="0091370D"/>
    <w:rsid w:val="00913BBB"/>
    <w:rsid w:val="00913FD3"/>
    <w:rsid w:val="009140AB"/>
    <w:rsid w:val="0091421E"/>
    <w:rsid w:val="009145C1"/>
    <w:rsid w:val="0091473D"/>
    <w:rsid w:val="00914A8F"/>
    <w:rsid w:val="00914C1F"/>
    <w:rsid w:val="00914F1D"/>
    <w:rsid w:val="009150D7"/>
    <w:rsid w:val="0091641E"/>
    <w:rsid w:val="009166C2"/>
    <w:rsid w:val="00916864"/>
    <w:rsid w:val="009169D8"/>
    <w:rsid w:val="009172E0"/>
    <w:rsid w:val="00917399"/>
    <w:rsid w:val="00917FC4"/>
    <w:rsid w:val="00920029"/>
    <w:rsid w:val="00920056"/>
    <w:rsid w:val="0092092F"/>
    <w:rsid w:val="00921199"/>
    <w:rsid w:val="00921708"/>
    <w:rsid w:val="00921846"/>
    <w:rsid w:val="00921908"/>
    <w:rsid w:val="00921924"/>
    <w:rsid w:val="00921A5B"/>
    <w:rsid w:val="00921AF8"/>
    <w:rsid w:val="00922A0F"/>
    <w:rsid w:val="00922BB6"/>
    <w:rsid w:val="00922BC8"/>
    <w:rsid w:val="009232A6"/>
    <w:rsid w:val="00923608"/>
    <w:rsid w:val="00923BF2"/>
    <w:rsid w:val="00923E84"/>
    <w:rsid w:val="0092410A"/>
    <w:rsid w:val="00924F95"/>
    <w:rsid w:val="00924FE3"/>
    <w:rsid w:val="00925509"/>
    <w:rsid w:val="009255CB"/>
    <w:rsid w:val="0092562A"/>
    <w:rsid w:val="009257EC"/>
    <w:rsid w:val="009259A6"/>
    <w:rsid w:val="00925C53"/>
    <w:rsid w:val="00925F68"/>
    <w:rsid w:val="0092610B"/>
    <w:rsid w:val="00926413"/>
    <w:rsid w:val="009264C9"/>
    <w:rsid w:val="009268FC"/>
    <w:rsid w:val="0092696A"/>
    <w:rsid w:val="00927397"/>
    <w:rsid w:val="00927991"/>
    <w:rsid w:val="00927ACA"/>
    <w:rsid w:val="009300C5"/>
    <w:rsid w:val="0093045F"/>
    <w:rsid w:val="009304B5"/>
    <w:rsid w:val="009304FB"/>
    <w:rsid w:val="00930910"/>
    <w:rsid w:val="00930951"/>
    <w:rsid w:val="00930971"/>
    <w:rsid w:val="00930C62"/>
    <w:rsid w:val="00930D23"/>
    <w:rsid w:val="00930D62"/>
    <w:rsid w:val="009310BE"/>
    <w:rsid w:val="009311D2"/>
    <w:rsid w:val="00931227"/>
    <w:rsid w:val="00931474"/>
    <w:rsid w:val="009314CD"/>
    <w:rsid w:val="009318E0"/>
    <w:rsid w:val="00931DEF"/>
    <w:rsid w:val="00932297"/>
    <w:rsid w:val="00932645"/>
    <w:rsid w:val="009326E7"/>
    <w:rsid w:val="0093292E"/>
    <w:rsid w:val="009329DA"/>
    <w:rsid w:val="00932CC7"/>
    <w:rsid w:val="00932CD7"/>
    <w:rsid w:val="00933099"/>
    <w:rsid w:val="0093313E"/>
    <w:rsid w:val="0093315B"/>
    <w:rsid w:val="0093317D"/>
    <w:rsid w:val="00933745"/>
    <w:rsid w:val="009337AC"/>
    <w:rsid w:val="00933810"/>
    <w:rsid w:val="00933967"/>
    <w:rsid w:val="00933998"/>
    <w:rsid w:val="00933B9E"/>
    <w:rsid w:val="00933BE7"/>
    <w:rsid w:val="009341F4"/>
    <w:rsid w:val="0093448A"/>
    <w:rsid w:val="0093458B"/>
    <w:rsid w:val="00934855"/>
    <w:rsid w:val="00934885"/>
    <w:rsid w:val="00934A63"/>
    <w:rsid w:val="00934DAA"/>
    <w:rsid w:val="00934F50"/>
    <w:rsid w:val="0093576A"/>
    <w:rsid w:val="00935ACA"/>
    <w:rsid w:val="00935B50"/>
    <w:rsid w:val="009365D4"/>
    <w:rsid w:val="00936C9E"/>
    <w:rsid w:val="0093701F"/>
    <w:rsid w:val="009371A9"/>
    <w:rsid w:val="009377A2"/>
    <w:rsid w:val="009379C2"/>
    <w:rsid w:val="00937CFC"/>
    <w:rsid w:val="00937DCB"/>
    <w:rsid w:val="00937DD6"/>
    <w:rsid w:val="00937F03"/>
    <w:rsid w:val="009400CE"/>
    <w:rsid w:val="00940261"/>
    <w:rsid w:val="009402A1"/>
    <w:rsid w:val="00940379"/>
    <w:rsid w:val="00940449"/>
    <w:rsid w:val="00940A90"/>
    <w:rsid w:val="00940B1D"/>
    <w:rsid w:val="00940DA2"/>
    <w:rsid w:val="00941413"/>
    <w:rsid w:val="009417A7"/>
    <w:rsid w:val="00941D64"/>
    <w:rsid w:val="00941EC2"/>
    <w:rsid w:val="00941F1A"/>
    <w:rsid w:val="00941F26"/>
    <w:rsid w:val="0094201B"/>
    <w:rsid w:val="0094242E"/>
    <w:rsid w:val="009427F0"/>
    <w:rsid w:val="0094290B"/>
    <w:rsid w:val="00942E54"/>
    <w:rsid w:val="00943023"/>
    <w:rsid w:val="009434BB"/>
    <w:rsid w:val="009435EC"/>
    <w:rsid w:val="0094360E"/>
    <w:rsid w:val="00943C35"/>
    <w:rsid w:val="00943D15"/>
    <w:rsid w:val="00943D1A"/>
    <w:rsid w:val="009440B4"/>
    <w:rsid w:val="0094415B"/>
    <w:rsid w:val="009445C9"/>
    <w:rsid w:val="00944746"/>
    <w:rsid w:val="009447F0"/>
    <w:rsid w:val="00944960"/>
    <w:rsid w:val="00944C45"/>
    <w:rsid w:val="00944DEA"/>
    <w:rsid w:val="00944EC7"/>
    <w:rsid w:val="009452D3"/>
    <w:rsid w:val="00945413"/>
    <w:rsid w:val="0094550E"/>
    <w:rsid w:val="00945BCC"/>
    <w:rsid w:val="00945F61"/>
    <w:rsid w:val="0094620C"/>
    <w:rsid w:val="00946277"/>
    <w:rsid w:val="0094658C"/>
    <w:rsid w:val="00946694"/>
    <w:rsid w:val="00946EC6"/>
    <w:rsid w:val="00947154"/>
    <w:rsid w:val="009474C9"/>
    <w:rsid w:val="009474D1"/>
    <w:rsid w:val="009475B2"/>
    <w:rsid w:val="00947707"/>
    <w:rsid w:val="00947D37"/>
    <w:rsid w:val="00947DC2"/>
    <w:rsid w:val="00947FBC"/>
    <w:rsid w:val="00950034"/>
    <w:rsid w:val="009504EA"/>
    <w:rsid w:val="00950729"/>
    <w:rsid w:val="00950FF7"/>
    <w:rsid w:val="00951124"/>
    <w:rsid w:val="0095164E"/>
    <w:rsid w:val="009516CE"/>
    <w:rsid w:val="009517D7"/>
    <w:rsid w:val="00951B22"/>
    <w:rsid w:val="00951BF8"/>
    <w:rsid w:val="00951C04"/>
    <w:rsid w:val="00951C06"/>
    <w:rsid w:val="00951DF2"/>
    <w:rsid w:val="00951E6A"/>
    <w:rsid w:val="00952061"/>
    <w:rsid w:val="0095222E"/>
    <w:rsid w:val="00952273"/>
    <w:rsid w:val="009522A9"/>
    <w:rsid w:val="009523A5"/>
    <w:rsid w:val="0095274D"/>
    <w:rsid w:val="009528AC"/>
    <w:rsid w:val="00952DC6"/>
    <w:rsid w:val="00952E11"/>
    <w:rsid w:val="00952E24"/>
    <w:rsid w:val="00952E8D"/>
    <w:rsid w:val="00952EF3"/>
    <w:rsid w:val="00952F3F"/>
    <w:rsid w:val="00952FC1"/>
    <w:rsid w:val="00952FF2"/>
    <w:rsid w:val="009531BE"/>
    <w:rsid w:val="00953333"/>
    <w:rsid w:val="00953791"/>
    <w:rsid w:val="009538D2"/>
    <w:rsid w:val="00954163"/>
    <w:rsid w:val="00954994"/>
    <w:rsid w:val="009551FD"/>
    <w:rsid w:val="00955227"/>
    <w:rsid w:val="0095565F"/>
    <w:rsid w:val="00955676"/>
    <w:rsid w:val="0095591B"/>
    <w:rsid w:val="00955A0D"/>
    <w:rsid w:val="00955E68"/>
    <w:rsid w:val="00956430"/>
    <w:rsid w:val="00956991"/>
    <w:rsid w:val="00956D18"/>
    <w:rsid w:val="00956FF7"/>
    <w:rsid w:val="0095719D"/>
    <w:rsid w:val="00957679"/>
    <w:rsid w:val="0095777D"/>
    <w:rsid w:val="009578AF"/>
    <w:rsid w:val="00957949"/>
    <w:rsid w:val="00957D95"/>
    <w:rsid w:val="00960021"/>
    <w:rsid w:val="00960266"/>
    <w:rsid w:val="00960473"/>
    <w:rsid w:val="00960486"/>
    <w:rsid w:val="00960600"/>
    <w:rsid w:val="00960614"/>
    <w:rsid w:val="00960687"/>
    <w:rsid w:val="00960773"/>
    <w:rsid w:val="009608C5"/>
    <w:rsid w:val="00960A54"/>
    <w:rsid w:val="00960FF3"/>
    <w:rsid w:val="0096110B"/>
    <w:rsid w:val="009612A2"/>
    <w:rsid w:val="009612B6"/>
    <w:rsid w:val="00961775"/>
    <w:rsid w:val="0096179D"/>
    <w:rsid w:val="009617FB"/>
    <w:rsid w:val="00961A70"/>
    <w:rsid w:val="009621E6"/>
    <w:rsid w:val="00962439"/>
    <w:rsid w:val="00962505"/>
    <w:rsid w:val="00962E85"/>
    <w:rsid w:val="00963201"/>
    <w:rsid w:val="009634F0"/>
    <w:rsid w:val="00963A83"/>
    <w:rsid w:val="00963EE4"/>
    <w:rsid w:val="009643D3"/>
    <w:rsid w:val="009647AF"/>
    <w:rsid w:val="00964840"/>
    <w:rsid w:val="009649A5"/>
    <w:rsid w:val="00964BBF"/>
    <w:rsid w:val="00964E63"/>
    <w:rsid w:val="00964E76"/>
    <w:rsid w:val="00964F57"/>
    <w:rsid w:val="00965A70"/>
    <w:rsid w:val="00966008"/>
    <w:rsid w:val="00966583"/>
    <w:rsid w:val="009665F7"/>
    <w:rsid w:val="009667D3"/>
    <w:rsid w:val="009668E8"/>
    <w:rsid w:val="00966DE4"/>
    <w:rsid w:val="00967069"/>
    <w:rsid w:val="00967655"/>
    <w:rsid w:val="0096779B"/>
    <w:rsid w:val="00967FE8"/>
    <w:rsid w:val="00970331"/>
    <w:rsid w:val="00970390"/>
    <w:rsid w:val="009703DD"/>
    <w:rsid w:val="009707D4"/>
    <w:rsid w:val="00970F41"/>
    <w:rsid w:val="00971624"/>
    <w:rsid w:val="00971888"/>
    <w:rsid w:val="00971C79"/>
    <w:rsid w:val="0097213C"/>
    <w:rsid w:val="0097248E"/>
    <w:rsid w:val="00972734"/>
    <w:rsid w:val="009734B7"/>
    <w:rsid w:val="00973659"/>
    <w:rsid w:val="0097369A"/>
    <w:rsid w:val="00973701"/>
    <w:rsid w:val="00973956"/>
    <w:rsid w:val="00973A7A"/>
    <w:rsid w:val="00973EB7"/>
    <w:rsid w:val="00973FAE"/>
    <w:rsid w:val="009749F0"/>
    <w:rsid w:val="00974AE1"/>
    <w:rsid w:val="00974B09"/>
    <w:rsid w:val="00975F44"/>
    <w:rsid w:val="009763EE"/>
    <w:rsid w:val="0097651A"/>
    <w:rsid w:val="00976EBE"/>
    <w:rsid w:val="00977293"/>
    <w:rsid w:val="009773C9"/>
    <w:rsid w:val="009774F5"/>
    <w:rsid w:val="00977591"/>
    <w:rsid w:val="00977713"/>
    <w:rsid w:val="00977AB7"/>
    <w:rsid w:val="00977B76"/>
    <w:rsid w:val="00977D3C"/>
    <w:rsid w:val="00977DE0"/>
    <w:rsid w:val="00980144"/>
    <w:rsid w:val="0098022E"/>
    <w:rsid w:val="00980284"/>
    <w:rsid w:val="00980559"/>
    <w:rsid w:val="00980736"/>
    <w:rsid w:val="00980925"/>
    <w:rsid w:val="00980CEB"/>
    <w:rsid w:val="00980DAC"/>
    <w:rsid w:val="00980E9F"/>
    <w:rsid w:val="009812F2"/>
    <w:rsid w:val="00981BD4"/>
    <w:rsid w:val="00981C0F"/>
    <w:rsid w:val="00981EAC"/>
    <w:rsid w:val="00982484"/>
    <w:rsid w:val="009826B1"/>
    <w:rsid w:val="00982785"/>
    <w:rsid w:val="00982ADD"/>
    <w:rsid w:val="00982F4F"/>
    <w:rsid w:val="0098311B"/>
    <w:rsid w:val="009831D8"/>
    <w:rsid w:val="009832DC"/>
    <w:rsid w:val="00983327"/>
    <w:rsid w:val="00983760"/>
    <w:rsid w:val="00983843"/>
    <w:rsid w:val="009838A7"/>
    <w:rsid w:val="009840C0"/>
    <w:rsid w:val="00984118"/>
    <w:rsid w:val="00984276"/>
    <w:rsid w:val="00984322"/>
    <w:rsid w:val="009848DE"/>
    <w:rsid w:val="00984AC9"/>
    <w:rsid w:val="00984B1B"/>
    <w:rsid w:val="00984CF1"/>
    <w:rsid w:val="00984F99"/>
    <w:rsid w:val="0098518F"/>
    <w:rsid w:val="009851B1"/>
    <w:rsid w:val="0098537C"/>
    <w:rsid w:val="0098559F"/>
    <w:rsid w:val="00985889"/>
    <w:rsid w:val="00985A75"/>
    <w:rsid w:val="00985B69"/>
    <w:rsid w:val="00985D85"/>
    <w:rsid w:val="00986207"/>
    <w:rsid w:val="00986688"/>
    <w:rsid w:val="00986954"/>
    <w:rsid w:val="00986BD9"/>
    <w:rsid w:val="00987412"/>
    <w:rsid w:val="00987583"/>
    <w:rsid w:val="009875E0"/>
    <w:rsid w:val="00987E91"/>
    <w:rsid w:val="00990105"/>
    <w:rsid w:val="0099032D"/>
    <w:rsid w:val="0099056D"/>
    <w:rsid w:val="00990AAF"/>
    <w:rsid w:val="00990B4D"/>
    <w:rsid w:val="00990C3D"/>
    <w:rsid w:val="00990EE2"/>
    <w:rsid w:val="00990F13"/>
    <w:rsid w:val="0099137A"/>
    <w:rsid w:val="0099137C"/>
    <w:rsid w:val="00991935"/>
    <w:rsid w:val="009919C9"/>
    <w:rsid w:val="00991C36"/>
    <w:rsid w:val="00991D70"/>
    <w:rsid w:val="00991FE2"/>
    <w:rsid w:val="00992062"/>
    <w:rsid w:val="009922D7"/>
    <w:rsid w:val="00992B5F"/>
    <w:rsid w:val="00992E8C"/>
    <w:rsid w:val="00992E98"/>
    <w:rsid w:val="00992F1F"/>
    <w:rsid w:val="009930EF"/>
    <w:rsid w:val="009932F0"/>
    <w:rsid w:val="009934A4"/>
    <w:rsid w:val="0099390B"/>
    <w:rsid w:val="00993BCF"/>
    <w:rsid w:val="00993EF6"/>
    <w:rsid w:val="0099409A"/>
    <w:rsid w:val="00994201"/>
    <w:rsid w:val="009942E8"/>
    <w:rsid w:val="0099437F"/>
    <w:rsid w:val="00994675"/>
    <w:rsid w:val="00994806"/>
    <w:rsid w:val="00994BE2"/>
    <w:rsid w:val="00994D76"/>
    <w:rsid w:val="00994F0E"/>
    <w:rsid w:val="00995274"/>
    <w:rsid w:val="0099539C"/>
    <w:rsid w:val="00995E64"/>
    <w:rsid w:val="00995F5B"/>
    <w:rsid w:val="00995F5D"/>
    <w:rsid w:val="00996285"/>
    <w:rsid w:val="009966C3"/>
    <w:rsid w:val="0099700F"/>
    <w:rsid w:val="00997270"/>
    <w:rsid w:val="00997315"/>
    <w:rsid w:val="0099747D"/>
    <w:rsid w:val="009975A1"/>
    <w:rsid w:val="009975BE"/>
    <w:rsid w:val="009A00F2"/>
    <w:rsid w:val="009A02E8"/>
    <w:rsid w:val="009A0469"/>
    <w:rsid w:val="009A047A"/>
    <w:rsid w:val="009A065A"/>
    <w:rsid w:val="009A0B5F"/>
    <w:rsid w:val="009A0C7E"/>
    <w:rsid w:val="009A0E59"/>
    <w:rsid w:val="009A10A5"/>
    <w:rsid w:val="009A1553"/>
    <w:rsid w:val="009A1B69"/>
    <w:rsid w:val="009A1D3E"/>
    <w:rsid w:val="009A1D57"/>
    <w:rsid w:val="009A1D91"/>
    <w:rsid w:val="009A23C6"/>
    <w:rsid w:val="009A247B"/>
    <w:rsid w:val="009A271D"/>
    <w:rsid w:val="009A29DF"/>
    <w:rsid w:val="009A2C7E"/>
    <w:rsid w:val="009A32C0"/>
    <w:rsid w:val="009A3534"/>
    <w:rsid w:val="009A37D4"/>
    <w:rsid w:val="009A3A77"/>
    <w:rsid w:val="009A4141"/>
    <w:rsid w:val="009A4175"/>
    <w:rsid w:val="009A44E9"/>
    <w:rsid w:val="009A48AE"/>
    <w:rsid w:val="009A492F"/>
    <w:rsid w:val="009A4954"/>
    <w:rsid w:val="009A4964"/>
    <w:rsid w:val="009A4BC8"/>
    <w:rsid w:val="009A4F3E"/>
    <w:rsid w:val="009A51D0"/>
    <w:rsid w:val="009A5382"/>
    <w:rsid w:val="009A5630"/>
    <w:rsid w:val="009A57CD"/>
    <w:rsid w:val="009A5A0E"/>
    <w:rsid w:val="009A5B73"/>
    <w:rsid w:val="009A5E18"/>
    <w:rsid w:val="009A5EA1"/>
    <w:rsid w:val="009A62B8"/>
    <w:rsid w:val="009A6387"/>
    <w:rsid w:val="009A63AC"/>
    <w:rsid w:val="009A6502"/>
    <w:rsid w:val="009A661A"/>
    <w:rsid w:val="009A6B6F"/>
    <w:rsid w:val="009A7007"/>
    <w:rsid w:val="009A718E"/>
    <w:rsid w:val="009A761B"/>
    <w:rsid w:val="009A7701"/>
    <w:rsid w:val="009A78D4"/>
    <w:rsid w:val="009A795F"/>
    <w:rsid w:val="009A7B26"/>
    <w:rsid w:val="009A7C1B"/>
    <w:rsid w:val="009A7CCB"/>
    <w:rsid w:val="009A7F18"/>
    <w:rsid w:val="009B0D31"/>
    <w:rsid w:val="009B0FBD"/>
    <w:rsid w:val="009B154A"/>
    <w:rsid w:val="009B18E7"/>
    <w:rsid w:val="009B19BE"/>
    <w:rsid w:val="009B1AEC"/>
    <w:rsid w:val="009B1BA7"/>
    <w:rsid w:val="009B20F4"/>
    <w:rsid w:val="009B21EB"/>
    <w:rsid w:val="009B22C9"/>
    <w:rsid w:val="009B244F"/>
    <w:rsid w:val="009B2A04"/>
    <w:rsid w:val="009B2A91"/>
    <w:rsid w:val="009B326D"/>
    <w:rsid w:val="009B39F9"/>
    <w:rsid w:val="009B3A3A"/>
    <w:rsid w:val="009B3A56"/>
    <w:rsid w:val="009B3B6E"/>
    <w:rsid w:val="009B3D56"/>
    <w:rsid w:val="009B3DD2"/>
    <w:rsid w:val="009B3EBF"/>
    <w:rsid w:val="009B43B8"/>
    <w:rsid w:val="009B44EF"/>
    <w:rsid w:val="009B48AA"/>
    <w:rsid w:val="009B51C4"/>
    <w:rsid w:val="009B5226"/>
    <w:rsid w:val="009B577D"/>
    <w:rsid w:val="009B5B2B"/>
    <w:rsid w:val="009B6085"/>
    <w:rsid w:val="009B62F0"/>
    <w:rsid w:val="009B6358"/>
    <w:rsid w:val="009B6723"/>
    <w:rsid w:val="009B6734"/>
    <w:rsid w:val="009B681E"/>
    <w:rsid w:val="009B684C"/>
    <w:rsid w:val="009B6B53"/>
    <w:rsid w:val="009B6E3D"/>
    <w:rsid w:val="009B7069"/>
    <w:rsid w:val="009C00EF"/>
    <w:rsid w:val="009C058E"/>
    <w:rsid w:val="009C08C6"/>
    <w:rsid w:val="009C0D74"/>
    <w:rsid w:val="009C12E9"/>
    <w:rsid w:val="009C1305"/>
    <w:rsid w:val="009C1346"/>
    <w:rsid w:val="009C15E8"/>
    <w:rsid w:val="009C1E30"/>
    <w:rsid w:val="009C207D"/>
    <w:rsid w:val="009C22F8"/>
    <w:rsid w:val="009C2352"/>
    <w:rsid w:val="009C27D3"/>
    <w:rsid w:val="009C32AE"/>
    <w:rsid w:val="009C338B"/>
    <w:rsid w:val="009C362D"/>
    <w:rsid w:val="009C3A08"/>
    <w:rsid w:val="009C3BF0"/>
    <w:rsid w:val="009C3DC4"/>
    <w:rsid w:val="009C4292"/>
    <w:rsid w:val="009C436A"/>
    <w:rsid w:val="009C45E4"/>
    <w:rsid w:val="009C4681"/>
    <w:rsid w:val="009C4CC0"/>
    <w:rsid w:val="009C4DB7"/>
    <w:rsid w:val="009C4EAA"/>
    <w:rsid w:val="009C58D1"/>
    <w:rsid w:val="009C5E4D"/>
    <w:rsid w:val="009C6321"/>
    <w:rsid w:val="009C6635"/>
    <w:rsid w:val="009C6C75"/>
    <w:rsid w:val="009C76BC"/>
    <w:rsid w:val="009C77EE"/>
    <w:rsid w:val="009D01DD"/>
    <w:rsid w:val="009D02E6"/>
    <w:rsid w:val="009D04B4"/>
    <w:rsid w:val="009D0929"/>
    <w:rsid w:val="009D0FDC"/>
    <w:rsid w:val="009D17D4"/>
    <w:rsid w:val="009D17E3"/>
    <w:rsid w:val="009D2175"/>
    <w:rsid w:val="009D246B"/>
    <w:rsid w:val="009D260B"/>
    <w:rsid w:val="009D2761"/>
    <w:rsid w:val="009D27EE"/>
    <w:rsid w:val="009D2E2F"/>
    <w:rsid w:val="009D3027"/>
    <w:rsid w:val="009D316D"/>
    <w:rsid w:val="009D3349"/>
    <w:rsid w:val="009D355F"/>
    <w:rsid w:val="009D3DED"/>
    <w:rsid w:val="009D3F66"/>
    <w:rsid w:val="009D4052"/>
    <w:rsid w:val="009D43D9"/>
    <w:rsid w:val="009D467D"/>
    <w:rsid w:val="009D46A6"/>
    <w:rsid w:val="009D4706"/>
    <w:rsid w:val="009D4C05"/>
    <w:rsid w:val="009D4F77"/>
    <w:rsid w:val="009D5094"/>
    <w:rsid w:val="009D51D5"/>
    <w:rsid w:val="009D5366"/>
    <w:rsid w:val="009D5429"/>
    <w:rsid w:val="009D5554"/>
    <w:rsid w:val="009D56E8"/>
    <w:rsid w:val="009D5BCB"/>
    <w:rsid w:val="009D5D2A"/>
    <w:rsid w:val="009D5EC1"/>
    <w:rsid w:val="009D673E"/>
    <w:rsid w:val="009D68DF"/>
    <w:rsid w:val="009D6931"/>
    <w:rsid w:val="009D69D0"/>
    <w:rsid w:val="009D6C68"/>
    <w:rsid w:val="009D6E46"/>
    <w:rsid w:val="009D71B0"/>
    <w:rsid w:val="009D7324"/>
    <w:rsid w:val="009D75DC"/>
    <w:rsid w:val="009D7972"/>
    <w:rsid w:val="009D7F85"/>
    <w:rsid w:val="009E033E"/>
    <w:rsid w:val="009E0387"/>
    <w:rsid w:val="009E0460"/>
    <w:rsid w:val="009E0531"/>
    <w:rsid w:val="009E0ABE"/>
    <w:rsid w:val="009E0CA4"/>
    <w:rsid w:val="009E1086"/>
    <w:rsid w:val="009E1865"/>
    <w:rsid w:val="009E1AD0"/>
    <w:rsid w:val="009E1B05"/>
    <w:rsid w:val="009E1C16"/>
    <w:rsid w:val="009E1EF0"/>
    <w:rsid w:val="009E1F5A"/>
    <w:rsid w:val="009E1F75"/>
    <w:rsid w:val="009E2010"/>
    <w:rsid w:val="009E2491"/>
    <w:rsid w:val="009E25D8"/>
    <w:rsid w:val="009E2EA2"/>
    <w:rsid w:val="009E2F92"/>
    <w:rsid w:val="009E3249"/>
    <w:rsid w:val="009E340D"/>
    <w:rsid w:val="009E3650"/>
    <w:rsid w:val="009E3675"/>
    <w:rsid w:val="009E373B"/>
    <w:rsid w:val="009E379C"/>
    <w:rsid w:val="009E3CEF"/>
    <w:rsid w:val="009E4017"/>
    <w:rsid w:val="009E401F"/>
    <w:rsid w:val="009E42E6"/>
    <w:rsid w:val="009E4838"/>
    <w:rsid w:val="009E4B47"/>
    <w:rsid w:val="009E51E9"/>
    <w:rsid w:val="009E53D2"/>
    <w:rsid w:val="009E555B"/>
    <w:rsid w:val="009E55D0"/>
    <w:rsid w:val="009E57BD"/>
    <w:rsid w:val="009E58FB"/>
    <w:rsid w:val="009E5AAC"/>
    <w:rsid w:val="009E6310"/>
    <w:rsid w:val="009E6936"/>
    <w:rsid w:val="009E6B22"/>
    <w:rsid w:val="009E6DB2"/>
    <w:rsid w:val="009E6E7B"/>
    <w:rsid w:val="009E6F06"/>
    <w:rsid w:val="009E7348"/>
    <w:rsid w:val="009E7480"/>
    <w:rsid w:val="009E7AE3"/>
    <w:rsid w:val="009E7BFB"/>
    <w:rsid w:val="009F0025"/>
    <w:rsid w:val="009F00A0"/>
    <w:rsid w:val="009F00F8"/>
    <w:rsid w:val="009F0985"/>
    <w:rsid w:val="009F0B78"/>
    <w:rsid w:val="009F0C29"/>
    <w:rsid w:val="009F0C86"/>
    <w:rsid w:val="009F0DA9"/>
    <w:rsid w:val="009F1145"/>
    <w:rsid w:val="009F1641"/>
    <w:rsid w:val="009F1D8A"/>
    <w:rsid w:val="009F1EBB"/>
    <w:rsid w:val="009F24C0"/>
    <w:rsid w:val="009F24E4"/>
    <w:rsid w:val="009F266E"/>
    <w:rsid w:val="009F28C7"/>
    <w:rsid w:val="009F2909"/>
    <w:rsid w:val="009F2C5C"/>
    <w:rsid w:val="009F2EFC"/>
    <w:rsid w:val="009F3366"/>
    <w:rsid w:val="009F339A"/>
    <w:rsid w:val="009F373D"/>
    <w:rsid w:val="009F3899"/>
    <w:rsid w:val="009F3B5E"/>
    <w:rsid w:val="009F46F0"/>
    <w:rsid w:val="009F5138"/>
    <w:rsid w:val="009F56B2"/>
    <w:rsid w:val="009F5751"/>
    <w:rsid w:val="009F57E0"/>
    <w:rsid w:val="009F5893"/>
    <w:rsid w:val="009F5C79"/>
    <w:rsid w:val="009F5D1A"/>
    <w:rsid w:val="009F624B"/>
    <w:rsid w:val="009F629F"/>
    <w:rsid w:val="009F671A"/>
    <w:rsid w:val="009F6774"/>
    <w:rsid w:val="009F6AD5"/>
    <w:rsid w:val="009F6B0E"/>
    <w:rsid w:val="009F705E"/>
    <w:rsid w:val="009F7187"/>
    <w:rsid w:val="009F77E6"/>
    <w:rsid w:val="009F7843"/>
    <w:rsid w:val="009F7C14"/>
    <w:rsid w:val="009F7F58"/>
    <w:rsid w:val="00A000D6"/>
    <w:rsid w:val="00A004B6"/>
    <w:rsid w:val="00A00513"/>
    <w:rsid w:val="00A00AA6"/>
    <w:rsid w:val="00A00CC5"/>
    <w:rsid w:val="00A00F74"/>
    <w:rsid w:val="00A01009"/>
    <w:rsid w:val="00A014E2"/>
    <w:rsid w:val="00A015FE"/>
    <w:rsid w:val="00A01B68"/>
    <w:rsid w:val="00A01E1B"/>
    <w:rsid w:val="00A02180"/>
    <w:rsid w:val="00A0262C"/>
    <w:rsid w:val="00A027E3"/>
    <w:rsid w:val="00A02901"/>
    <w:rsid w:val="00A02967"/>
    <w:rsid w:val="00A029B1"/>
    <w:rsid w:val="00A033B8"/>
    <w:rsid w:val="00A033DB"/>
    <w:rsid w:val="00A035AD"/>
    <w:rsid w:val="00A037E2"/>
    <w:rsid w:val="00A03851"/>
    <w:rsid w:val="00A040D9"/>
    <w:rsid w:val="00A042B0"/>
    <w:rsid w:val="00A0491F"/>
    <w:rsid w:val="00A049A7"/>
    <w:rsid w:val="00A04AF2"/>
    <w:rsid w:val="00A04B35"/>
    <w:rsid w:val="00A04CEF"/>
    <w:rsid w:val="00A04D32"/>
    <w:rsid w:val="00A04E2B"/>
    <w:rsid w:val="00A04F78"/>
    <w:rsid w:val="00A04F7B"/>
    <w:rsid w:val="00A05270"/>
    <w:rsid w:val="00A053C9"/>
    <w:rsid w:val="00A05B0B"/>
    <w:rsid w:val="00A05DA9"/>
    <w:rsid w:val="00A05DD5"/>
    <w:rsid w:val="00A05FDC"/>
    <w:rsid w:val="00A0600D"/>
    <w:rsid w:val="00A06DBE"/>
    <w:rsid w:val="00A07067"/>
    <w:rsid w:val="00A07244"/>
    <w:rsid w:val="00A0751D"/>
    <w:rsid w:val="00A076ED"/>
    <w:rsid w:val="00A07720"/>
    <w:rsid w:val="00A07734"/>
    <w:rsid w:val="00A079FD"/>
    <w:rsid w:val="00A07B03"/>
    <w:rsid w:val="00A07F00"/>
    <w:rsid w:val="00A10072"/>
    <w:rsid w:val="00A10168"/>
    <w:rsid w:val="00A1062F"/>
    <w:rsid w:val="00A1067B"/>
    <w:rsid w:val="00A10E1A"/>
    <w:rsid w:val="00A110ED"/>
    <w:rsid w:val="00A1138E"/>
    <w:rsid w:val="00A11B64"/>
    <w:rsid w:val="00A11D7A"/>
    <w:rsid w:val="00A11FEB"/>
    <w:rsid w:val="00A125D2"/>
    <w:rsid w:val="00A12B42"/>
    <w:rsid w:val="00A12B6E"/>
    <w:rsid w:val="00A12C7B"/>
    <w:rsid w:val="00A12CCF"/>
    <w:rsid w:val="00A12D66"/>
    <w:rsid w:val="00A12FB8"/>
    <w:rsid w:val="00A13777"/>
    <w:rsid w:val="00A1391C"/>
    <w:rsid w:val="00A1398C"/>
    <w:rsid w:val="00A13A74"/>
    <w:rsid w:val="00A13BA1"/>
    <w:rsid w:val="00A13FA4"/>
    <w:rsid w:val="00A146C2"/>
    <w:rsid w:val="00A14733"/>
    <w:rsid w:val="00A147CA"/>
    <w:rsid w:val="00A147FE"/>
    <w:rsid w:val="00A148F9"/>
    <w:rsid w:val="00A14BEB"/>
    <w:rsid w:val="00A14C0D"/>
    <w:rsid w:val="00A15130"/>
    <w:rsid w:val="00A158EC"/>
    <w:rsid w:val="00A15976"/>
    <w:rsid w:val="00A15B9F"/>
    <w:rsid w:val="00A16054"/>
    <w:rsid w:val="00A16361"/>
    <w:rsid w:val="00A164B3"/>
    <w:rsid w:val="00A16608"/>
    <w:rsid w:val="00A1663B"/>
    <w:rsid w:val="00A16A11"/>
    <w:rsid w:val="00A16C77"/>
    <w:rsid w:val="00A16F51"/>
    <w:rsid w:val="00A1720F"/>
    <w:rsid w:val="00A176B6"/>
    <w:rsid w:val="00A17C58"/>
    <w:rsid w:val="00A2025F"/>
    <w:rsid w:val="00A20266"/>
    <w:rsid w:val="00A202CA"/>
    <w:rsid w:val="00A20879"/>
    <w:rsid w:val="00A20AFD"/>
    <w:rsid w:val="00A20BC2"/>
    <w:rsid w:val="00A20C41"/>
    <w:rsid w:val="00A20D7A"/>
    <w:rsid w:val="00A20FDF"/>
    <w:rsid w:val="00A21165"/>
    <w:rsid w:val="00A2129C"/>
    <w:rsid w:val="00A21700"/>
    <w:rsid w:val="00A21C3C"/>
    <w:rsid w:val="00A21C4E"/>
    <w:rsid w:val="00A21CCC"/>
    <w:rsid w:val="00A21E58"/>
    <w:rsid w:val="00A223A9"/>
    <w:rsid w:val="00A224B6"/>
    <w:rsid w:val="00A22756"/>
    <w:rsid w:val="00A22AE2"/>
    <w:rsid w:val="00A22B67"/>
    <w:rsid w:val="00A22C2E"/>
    <w:rsid w:val="00A22D3C"/>
    <w:rsid w:val="00A2358B"/>
    <w:rsid w:val="00A23806"/>
    <w:rsid w:val="00A23979"/>
    <w:rsid w:val="00A239F6"/>
    <w:rsid w:val="00A23A5B"/>
    <w:rsid w:val="00A2489A"/>
    <w:rsid w:val="00A24BC1"/>
    <w:rsid w:val="00A24C5F"/>
    <w:rsid w:val="00A254B0"/>
    <w:rsid w:val="00A255D0"/>
    <w:rsid w:val="00A2568B"/>
    <w:rsid w:val="00A257F9"/>
    <w:rsid w:val="00A2587F"/>
    <w:rsid w:val="00A25E4B"/>
    <w:rsid w:val="00A263C6"/>
    <w:rsid w:val="00A268BD"/>
    <w:rsid w:val="00A272A7"/>
    <w:rsid w:val="00A273E8"/>
    <w:rsid w:val="00A274E7"/>
    <w:rsid w:val="00A30123"/>
    <w:rsid w:val="00A303B9"/>
    <w:rsid w:val="00A30497"/>
    <w:rsid w:val="00A30804"/>
    <w:rsid w:val="00A30C5B"/>
    <w:rsid w:val="00A30E1F"/>
    <w:rsid w:val="00A31807"/>
    <w:rsid w:val="00A31879"/>
    <w:rsid w:val="00A31EF0"/>
    <w:rsid w:val="00A32235"/>
    <w:rsid w:val="00A323DF"/>
    <w:rsid w:val="00A32C09"/>
    <w:rsid w:val="00A32F7C"/>
    <w:rsid w:val="00A32F83"/>
    <w:rsid w:val="00A3350E"/>
    <w:rsid w:val="00A33520"/>
    <w:rsid w:val="00A338AD"/>
    <w:rsid w:val="00A33B79"/>
    <w:rsid w:val="00A33C5B"/>
    <w:rsid w:val="00A33CE1"/>
    <w:rsid w:val="00A33D3E"/>
    <w:rsid w:val="00A33E59"/>
    <w:rsid w:val="00A33ECF"/>
    <w:rsid w:val="00A34081"/>
    <w:rsid w:val="00A340C6"/>
    <w:rsid w:val="00A343C8"/>
    <w:rsid w:val="00A34A87"/>
    <w:rsid w:val="00A34EF2"/>
    <w:rsid w:val="00A35392"/>
    <w:rsid w:val="00A35817"/>
    <w:rsid w:val="00A35D0A"/>
    <w:rsid w:val="00A35D89"/>
    <w:rsid w:val="00A3606E"/>
    <w:rsid w:val="00A36506"/>
    <w:rsid w:val="00A36915"/>
    <w:rsid w:val="00A36A89"/>
    <w:rsid w:val="00A36FE9"/>
    <w:rsid w:val="00A3744C"/>
    <w:rsid w:val="00A375AF"/>
    <w:rsid w:val="00A375FB"/>
    <w:rsid w:val="00A37925"/>
    <w:rsid w:val="00A37B98"/>
    <w:rsid w:val="00A37E39"/>
    <w:rsid w:val="00A37F22"/>
    <w:rsid w:val="00A40BC4"/>
    <w:rsid w:val="00A40F39"/>
    <w:rsid w:val="00A41394"/>
    <w:rsid w:val="00A417BB"/>
    <w:rsid w:val="00A42131"/>
    <w:rsid w:val="00A42276"/>
    <w:rsid w:val="00A422BD"/>
    <w:rsid w:val="00A423DA"/>
    <w:rsid w:val="00A42481"/>
    <w:rsid w:val="00A42504"/>
    <w:rsid w:val="00A42651"/>
    <w:rsid w:val="00A429E7"/>
    <w:rsid w:val="00A42AAF"/>
    <w:rsid w:val="00A42B29"/>
    <w:rsid w:val="00A43259"/>
    <w:rsid w:val="00A43A4F"/>
    <w:rsid w:val="00A43C32"/>
    <w:rsid w:val="00A44132"/>
    <w:rsid w:val="00A44272"/>
    <w:rsid w:val="00A44447"/>
    <w:rsid w:val="00A44EAB"/>
    <w:rsid w:val="00A450E9"/>
    <w:rsid w:val="00A451A2"/>
    <w:rsid w:val="00A4540B"/>
    <w:rsid w:val="00A4545F"/>
    <w:rsid w:val="00A45571"/>
    <w:rsid w:val="00A45803"/>
    <w:rsid w:val="00A46307"/>
    <w:rsid w:val="00A46717"/>
    <w:rsid w:val="00A46ADD"/>
    <w:rsid w:val="00A46CED"/>
    <w:rsid w:val="00A46DA7"/>
    <w:rsid w:val="00A46F6D"/>
    <w:rsid w:val="00A46F81"/>
    <w:rsid w:val="00A4799B"/>
    <w:rsid w:val="00A479BC"/>
    <w:rsid w:val="00A47CED"/>
    <w:rsid w:val="00A504AC"/>
    <w:rsid w:val="00A507C5"/>
    <w:rsid w:val="00A508FE"/>
    <w:rsid w:val="00A50B8E"/>
    <w:rsid w:val="00A50E40"/>
    <w:rsid w:val="00A50EF7"/>
    <w:rsid w:val="00A50EFF"/>
    <w:rsid w:val="00A50F23"/>
    <w:rsid w:val="00A510F0"/>
    <w:rsid w:val="00A51A13"/>
    <w:rsid w:val="00A51E0F"/>
    <w:rsid w:val="00A51E51"/>
    <w:rsid w:val="00A51F19"/>
    <w:rsid w:val="00A521F1"/>
    <w:rsid w:val="00A526A5"/>
    <w:rsid w:val="00A526B3"/>
    <w:rsid w:val="00A52931"/>
    <w:rsid w:val="00A52DBD"/>
    <w:rsid w:val="00A52F93"/>
    <w:rsid w:val="00A5376B"/>
    <w:rsid w:val="00A5378B"/>
    <w:rsid w:val="00A53818"/>
    <w:rsid w:val="00A541B5"/>
    <w:rsid w:val="00A54350"/>
    <w:rsid w:val="00A547B3"/>
    <w:rsid w:val="00A54D64"/>
    <w:rsid w:val="00A55543"/>
    <w:rsid w:val="00A556F7"/>
    <w:rsid w:val="00A5575A"/>
    <w:rsid w:val="00A55765"/>
    <w:rsid w:val="00A56174"/>
    <w:rsid w:val="00A566D4"/>
    <w:rsid w:val="00A56E7B"/>
    <w:rsid w:val="00A56F90"/>
    <w:rsid w:val="00A57955"/>
    <w:rsid w:val="00A579CA"/>
    <w:rsid w:val="00A579E3"/>
    <w:rsid w:val="00A57B63"/>
    <w:rsid w:val="00A57CF2"/>
    <w:rsid w:val="00A60B33"/>
    <w:rsid w:val="00A60BE2"/>
    <w:rsid w:val="00A60C08"/>
    <w:rsid w:val="00A614B0"/>
    <w:rsid w:val="00A619EA"/>
    <w:rsid w:val="00A61A2B"/>
    <w:rsid w:val="00A61DF3"/>
    <w:rsid w:val="00A6200F"/>
    <w:rsid w:val="00A627BE"/>
    <w:rsid w:val="00A62983"/>
    <w:rsid w:val="00A62989"/>
    <w:rsid w:val="00A62B9A"/>
    <w:rsid w:val="00A62D71"/>
    <w:rsid w:val="00A63094"/>
    <w:rsid w:val="00A63122"/>
    <w:rsid w:val="00A631DF"/>
    <w:rsid w:val="00A6324E"/>
    <w:rsid w:val="00A6371A"/>
    <w:rsid w:val="00A63967"/>
    <w:rsid w:val="00A63D6D"/>
    <w:rsid w:val="00A63DEE"/>
    <w:rsid w:val="00A64556"/>
    <w:rsid w:val="00A645E8"/>
    <w:rsid w:val="00A647A0"/>
    <w:rsid w:val="00A648A0"/>
    <w:rsid w:val="00A648C7"/>
    <w:rsid w:val="00A64A28"/>
    <w:rsid w:val="00A64B50"/>
    <w:rsid w:val="00A64B64"/>
    <w:rsid w:val="00A65054"/>
    <w:rsid w:val="00A6517D"/>
    <w:rsid w:val="00A658E6"/>
    <w:rsid w:val="00A65B8F"/>
    <w:rsid w:val="00A65EF9"/>
    <w:rsid w:val="00A65F18"/>
    <w:rsid w:val="00A6605E"/>
    <w:rsid w:val="00A66075"/>
    <w:rsid w:val="00A66279"/>
    <w:rsid w:val="00A663F1"/>
    <w:rsid w:val="00A66404"/>
    <w:rsid w:val="00A6646E"/>
    <w:rsid w:val="00A6695F"/>
    <w:rsid w:val="00A66DEF"/>
    <w:rsid w:val="00A66E10"/>
    <w:rsid w:val="00A66F4D"/>
    <w:rsid w:val="00A67724"/>
    <w:rsid w:val="00A677D1"/>
    <w:rsid w:val="00A678A0"/>
    <w:rsid w:val="00A67A2C"/>
    <w:rsid w:val="00A67A75"/>
    <w:rsid w:val="00A67FF2"/>
    <w:rsid w:val="00A70076"/>
    <w:rsid w:val="00A71249"/>
    <w:rsid w:val="00A7133F"/>
    <w:rsid w:val="00A717F8"/>
    <w:rsid w:val="00A71D1D"/>
    <w:rsid w:val="00A723AA"/>
    <w:rsid w:val="00A7252B"/>
    <w:rsid w:val="00A726A0"/>
    <w:rsid w:val="00A727A5"/>
    <w:rsid w:val="00A72808"/>
    <w:rsid w:val="00A72C9B"/>
    <w:rsid w:val="00A72CF2"/>
    <w:rsid w:val="00A72D4C"/>
    <w:rsid w:val="00A72E8E"/>
    <w:rsid w:val="00A72F04"/>
    <w:rsid w:val="00A73418"/>
    <w:rsid w:val="00A73435"/>
    <w:rsid w:val="00A735E6"/>
    <w:rsid w:val="00A73715"/>
    <w:rsid w:val="00A73A30"/>
    <w:rsid w:val="00A73AA4"/>
    <w:rsid w:val="00A73B37"/>
    <w:rsid w:val="00A73CD8"/>
    <w:rsid w:val="00A73DB5"/>
    <w:rsid w:val="00A73F7C"/>
    <w:rsid w:val="00A741EC"/>
    <w:rsid w:val="00A74ACD"/>
    <w:rsid w:val="00A74BFD"/>
    <w:rsid w:val="00A74F97"/>
    <w:rsid w:val="00A756AA"/>
    <w:rsid w:val="00A75AF6"/>
    <w:rsid w:val="00A75F1A"/>
    <w:rsid w:val="00A76060"/>
    <w:rsid w:val="00A76776"/>
    <w:rsid w:val="00A769E9"/>
    <w:rsid w:val="00A76AB5"/>
    <w:rsid w:val="00A76ABA"/>
    <w:rsid w:val="00A76CEC"/>
    <w:rsid w:val="00A76F4F"/>
    <w:rsid w:val="00A76F5F"/>
    <w:rsid w:val="00A7701B"/>
    <w:rsid w:val="00A77788"/>
    <w:rsid w:val="00A7799D"/>
    <w:rsid w:val="00A779DD"/>
    <w:rsid w:val="00A77CCE"/>
    <w:rsid w:val="00A809F7"/>
    <w:rsid w:val="00A80A49"/>
    <w:rsid w:val="00A80DDF"/>
    <w:rsid w:val="00A81035"/>
    <w:rsid w:val="00A813D0"/>
    <w:rsid w:val="00A814E9"/>
    <w:rsid w:val="00A8155C"/>
    <w:rsid w:val="00A817E4"/>
    <w:rsid w:val="00A81A99"/>
    <w:rsid w:val="00A81BB7"/>
    <w:rsid w:val="00A81EC5"/>
    <w:rsid w:val="00A81F09"/>
    <w:rsid w:val="00A82449"/>
    <w:rsid w:val="00A82597"/>
    <w:rsid w:val="00A8282A"/>
    <w:rsid w:val="00A82DC0"/>
    <w:rsid w:val="00A83148"/>
    <w:rsid w:val="00A8318E"/>
    <w:rsid w:val="00A838C3"/>
    <w:rsid w:val="00A83BF8"/>
    <w:rsid w:val="00A83DDB"/>
    <w:rsid w:val="00A83DF9"/>
    <w:rsid w:val="00A841D6"/>
    <w:rsid w:val="00A8430F"/>
    <w:rsid w:val="00A845A2"/>
    <w:rsid w:val="00A84859"/>
    <w:rsid w:val="00A849AE"/>
    <w:rsid w:val="00A84B1B"/>
    <w:rsid w:val="00A84B22"/>
    <w:rsid w:val="00A84B4B"/>
    <w:rsid w:val="00A85619"/>
    <w:rsid w:val="00A85C71"/>
    <w:rsid w:val="00A85F7C"/>
    <w:rsid w:val="00A8615F"/>
    <w:rsid w:val="00A861EE"/>
    <w:rsid w:val="00A86211"/>
    <w:rsid w:val="00A8626F"/>
    <w:rsid w:val="00A86370"/>
    <w:rsid w:val="00A8699D"/>
    <w:rsid w:val="00A869A6"/>
    <w:rsid w:val="00A86D5D"/>
    <w:rsid w:val="00A8719E"/>
    <w:rsid w:val="00A87436"/>
    <w:rsid w:val="00A87C9D"/>
    <w:rsid w:val="00A9031D"/>
    <w:rsid w:val="00A90607"/>
    <w:rsid w:val="00A906FE"/>
    <w:rsid w:val="00A90982"/>
    <w:rsid w:val="00A909BA"/>
    <w:rsid w:val="00A910F1"/>
    <w:rsid w:val="00A91763"/>
    <w:rsid w:val="00A91C5D"/>
    <w:rsid w:val="00A91CEB"/>
    <w:rsid w:val="00A92074"/>
    <w:rsid w:val="00A92586"/>
    <w:rsid w:val="00A9376C"/>
    <w:rsid w:val="00A93AAF"/>
    <w:rsid w:val="00A94631"/>
    <w:rsid w:val="00A94A6D"/>
    <w:rsid w:val="00A94EB3"/>
    <w:rsid w:val="00A951DF"/>
    <w:rsid w:val="00A95398"/>
    <w:rsid w:val="00A95600"/>
    <w:rsid w:val="00A958A0"/>
    <w:rsid w:val="00A95E39"/>
    <w:rsid w:val="00A95E58"/>
    <w:rsid w:val="00A95F15"/>
    <w:rsid w:val="00A967D4"/>
    <w:rsid w:val="00A97491"/>
    <w:rsid w:val="00A97620"/>
    <w:rsid w:val="00AA02F9"/>
    <w:rsid w:val="00AA05C7"/>
    <w:rsid w:val="00AA0CD8"/>
    <w:rsid w:val="00AA0D87"/>
    <w:rsid w:val="00AA0E63"/>
    <w:rsid w:val="00AA1795"/>
    <w:rsid w:val="00AA182E"/>
    <w:rsid w:val="00AA18D4"/>
    <w:rsid w:val="00AA1F48"/>
    <w:rsid w:val="00AA2000"/>
    <w:rsid w:val="00AA2AAB"/>
    <w:rsid w:val="00AA3026"/>
    <w:rsid w:val="00AA318A"/>
    <w:rsid w:val="00AA3554"/>
    <w:rsid w:val="00AA36D8"/>
    <w:rsid w:val="00AA3796"/>
    <w:rsid w:val="00AA3F07"/>
    <w:rsid w:val="00AA3F26"/>
    <w:rsid w:val="00AA4014"/>
    <w:rsid w:val="00AA411B"/>
    <w:rsid w:val="00AA4210"/>
    <w:rsid w:val="00AA44E6"/>
    <w:rsid w:val="00AA48D4"/>
    <w:rsid w:val="00AA4D61"/>
    <w:rsid w:val="00AA51A6"/>
    <w:rsid w:val="00AA54E2"/>
    <w:rsid w:val="00AA559A"/>
    <w:rsid w:val="00AA582B"/>
    <w:rsid w:val="00AA5BA7"/>
    <w:rsid w:val="00AA6521"/>
    <w:rsid w:val="00AA7054"/>
    <w:rsid w:val="00AA7315"/>
    <w:rsid w:val="00AA76FF"/>
    <w:rsid w:val="00AA7976"/>
    <w:rsid w:val="00AA7998"/>
    <w:rsid w:val="00AA79D8"/>
    <w:rsid w:val="00AA7A69"/>
    <w:rsid w:val="00AA7AFE"/>
    <w:rsid w:val="00AA7BA2"/>
    <w:rsid w:val="00AA7CDC"/>
    <w:rsid w:val="00AA7F28"/>
    <w:rsid w:val="00AB01E0"/>
    <w:rsid w:val="00AB0254"/>
    <w:rsid w:val="00AB0B88"/>
    <w:rsid w:val="00AB0E3C"/>
    <w:rsid w:val="00AB0F23"/>
    <w:rsid w:val="00AB0F99"/>
    <w:rsid w:val="00AB0FEF"/>
    <w:rsid w:val="00AB1302"/>
    <w:rsid w:val="00AB1415"/>
    <w:rsid w:val="00AB159D"/>
    <w:rsid w:val="00AB2197"/>
    <w:rsid w:val="00AB239C"/>
    <w:rsid w:val="00AB32B0"/>
    <w:rsid w:val="00AB3646"/>
    <w:rsid w:val="00AB36A1"/>
    <w:rsid w:val="00AB386B"/>
    <w:rsid w:val="00AB3D21"/>
    <w:rsid w:val="00AB3D46"/>
    <w:rsid w:val="00AB40CE"/>
    <w:rsid w:val="00AB41AB"/>
    <w:rsid w:val="00AB4830"/>
    <w:rsid w:val="00AB496F"/>
    <w:rsid w:val="00AB4ACD"/>
    <w:rsid w:val="00AB4C48"/>
    <w:rsid w:val="00AB4E2A"/>
    <w:rsid w:val="00AB4E30"/>
    <w:rsid w:val="00AB4EC0"/>
    <w:rsid w:val="00AB56F1"/>
    <w:rsid w:val="00AB5849"/>
    <w:rsid w:val="00AB585E"/>
    <w:rsid w:val="00AB5BCE"/>
    <w:rsid w:val="00AB635B"/>
    <w:rsid w:val="00AB6957"/>
    <w:rsid w:val="00AB6CFA"/>
    <w:rsid w:val="00AB6E1E"/>
    <w:rsid w:val="00AB6FF9"/>
    <w:rsid w:val="00AB716D"/>
    <w:rsid w:val="00AB764D"/>
    <w:rsid w:val="00AB7C11"/>
    <w:rsid w:val="00AB7FD1"/>
    <w:rsid w:val="00AC001C"/>
    <w:rsid w:val="00AC02ED"/>
    <w:rsid w:val="00AC0B44"/>
    <w:rsid w:val="00AC11EA"/>
    <w:rsid w:val="00AC139D"/>
    <w:rsid w:val="00AC16B0"/>
    <w:rsid w:val="00AC16F4"/>
    <w:rsid w:val="00AC17DC"/>
    <w:rsid w:val="00AC1FFC"/>
    <w:rsid w:val="00AC2633"/>
    <w:rsid w:val="00AC277F"/>
    <w:rsid w:val="00AC2917"/>
    <w:rsid w:val="00AC2C62"/>
    <w:rsid w:val="00AC3020"/>
    <w:rsid w:val="00AC3350"/>
    <w:rsid w:val="00AC3681"/>
    <w:rsid w:val="00AC3942"/>
    <w:rsid w:val="00AC394F"/>
    <w:rsid w:val="00AC3B9D"/>
    <w:rsid w:val="00AC3DC9"/>
    <w:rsid w:val="00AC40A1"/>
    <w:rsid w:val="00AC40ED"/>
    <w:rsid w:val="00AC4245"/>
    <w:rsid w:val="00AC4427"/>
    <w:rsid w:val="00AC449E"/>
    <w:rsid w:val="00AC4511"/>
    <w:rsid w:val="00AC459D"/>
    <w:rsid w:val="00AC512B"/>
    <w:rsid w:val="00AC5BAD"/>
    <w:rsid w:val="00AC5F3F"/>
    <w:rsid w:val="00AC5F92"/>
    <w:rsid w:val="00AC6489"/>
    <w:rsid w:val="00AC6A9B"/>
    <w:rsid w:val="00AC6C4F"/>
    <w:rsid w:val="00AC6CB0"/>
    <w:rsid w:val="00AC70E2"/>
    <w:rsid w:val="00AC71CA"/>
    <w:rsid w:val="00AC7467"/>
    <w:rsid w:val="00AC7BCA"/>
    <w:rsid w:val="00AD0089"/>
    <w:rsid w:val="00AD099A"/>
    <w:rsid w:val="00AD09AB"/>
    <w:rsid w:val="00AD0BF2"/>
    <w:rsid w:val="00AD0D11"/>
    <w:rsid w:val="00AD113B"/>
    <w:rsid w:val="00AD15D1"/>
    <w:rsid w:val="00AD1A27"/>
    <w:rsid w:val="00AD1B5F"/>
    <w:rsid w:val="00AD1CA9"/>
    <w:rsid w:val="00AD1CF5"/>
    <w:rsid w:val="00AD1DA7"/>
    <w:rsid w:val="00AD1E7E"/>
    <w:rsid w:val="00AD224F"/>
    <w:rsid w:val="00AD2304"/>
    <w:rsid w:val="00AD2483"/>
    <w:rsid w:val="00AD28F7"/>
    <w:rsid w:val="00AD2E53"/>
    <w:rsid w:val="00AD3168"/>
    <w:rsid w:val="00AD3E50"/>
    <w:rsid w:val="00AD4021"/>
    <w:rsid w:val="00AD4843"/>
    <w:rsid w:val="00AD4A23"/>
    <w:rsid w:val="00AD4BFF"/>
    <w:rsid w:val="00AD520B"/>
    <w:rsid w:val="00AD5316"/>
    <w:rsid w:val="00AD549E"/>
    <w:rsid w:val="00AD57A8"/>
    <w:rsid w:val="00AD59D1"/>
    <w:rsid w:val="00AD5DA4"/>
    <w:rsid w:val="00AD5DA8"/>
    <w:rsid w:val="00AD617B"/>
    <w:rsid w:val="00AD65CB"/>
    <w:rsid w:val="00AD6695"/>
    <w:rsid w:val="00AD672E"/>
    <w:rsid w:val="00AD68F9"/>
    <w:rsid w:val="00AD69E1"/>
    <w:rsid w:val="00AD6AF3"/>
    <w:rsid w:val="00AD7BFF"/>
    <w:rsid w:val="00AE0052"/>
    <w:rsid w:val="00AE0147"/>
    <w:rsid w:val="00AE08AB"/>
    <w:rsid w:val="00AE09BF"/>
    <w:rsid w:val="00AE0AF5"/>
    <w:rsid w:val="00AE0C61"/>
    <w:rsid w:val="00AE0EA3"/>
    <w:rsid w:val="00AE1158"/>
    <w:rsid w:val="00AE11FA"/>
    <w:rsid w:val="00AE152E"/>
    <w:rsid w:val="00AE1642"/>
    <w:rsid w:val="00AE1838"/>
    <w:rsid w:val="00AE22C7"/>
    <w:rsid w:val="00AE2857"/>
    <w:rsid w:val="00AE2AF0"/>
    <w:rsid w:val="00AE3849"/>
    <w:rsid w:val="00AE3FA3"/>
    <w:rsid w:val="00AE4097"/>
    <w:rsid w:val="00AE4638"/>
    <w:rsid w:val="00AE46D2"/>
    <w:rsid w:val="00AE4A68"/>
    <w:rsid w:val="00AE4ABE"/>
    <w:rsid w:val="00AE4B44"/>
    <w:rsid w:val="00AE4D23"/>
    <w:rsid w:val="00AE4E1D"/>
    <w:rsid w:val="00AE4E6E"/>
    <w:rsid w:val="00AE5749"/>
    <w:rsid w:val="00AE58A2"/>
    <w:rsid w:val="00AE5997"/>
    <w:rsid w:val="00AE5B8B"/>
    <w:rsid w:val="00AE5D71"/>
    <w:rsid w:val="00AE5E23"/>
    <w:rsid w:val="00AE5F8F"/>
    <w:rsid w:val="00AE60A1"/>
    <w:rsid w:val="00AE63BE"/>
    <w:rsid w:val="00AE6682"/>
    <w:rsid w:val="00AE6834"/>
    <w:rsid w:val="00AE6A22"/>
    <w:rsid w:val="00AE6A5B"/>
    <w:rsid w:val="00AE6AA3"/>
    <w:rsid w:val="00AE6B36"/>
    <w:rsid w:val="00AE6CFD"/>
    <w:rsid w:val="00AE6FD4"/>
    <w:rsid w:val="00AE708C"/>
    <w:rsid w:val="00AE752E"/>
    <w:rsid w:val="00AE76FD"/>
    <w:rsid w:val="00AE7AC6"/>
    <w:rsid w:val="00AE7F34"/>
    <w:rsid w:val="00AE7FCE"/>
    <w:rsid w:val="00AF01FE"/>
    <w:rsid w:val="00AF0226"/>
    <w:rsid w:val="00AF0236"/>
    <w:rsid w:val="00AF02AA"/>
    <w:rsid w:val="00AF05A6"/>
    <w:rsid w:val="00AF0888"/>
    <w:rsid w:val="00AF0F45"/>
    <w:rsid w:val="00AF1064"/>
    <w:rsid w:val="00AF1084"/>
    <w:rsid w:val="00AF154C"/>
    <w:rsid w:val="00AF1AD1"/>
    <w:rsid w:val="00AF1D70"/>
    <w:rsid w:val="00AF1E3A"/>
    <w:rsid w:val="00AF1F43"/>
    <w:rsid w:val="00AF1FD4"/>
    <w:rsid w:val="00AF28CA"/>
    <w:rsid w:val="00AF2BDD"/>
    <w:rsid w:val="00AF2CBC"/>
    <w:rsid w:val="00AF2D13"/>
    <w:rsid w:val="00AF2D47"/>
    <w:rsid w:val="00AF35E2"/>
    <w:rsid w:val="00AF3A52"/>
    <w:rsid w:val="00AF3ED6"/>
    <w:rsid w:val="00AF407A"/>
    <w:rsid w:val="00AF4114"/>
    <w:rsid w:val="00AF4C61"/>
    <w:rsid w:val="00AF4D8E"/>
    <w:rsid w:val="00AF5110"/>
    <w:rsid w:val="00AF5442"/>
    <w:rsid w:val="00AF551A"/>
    <w:rsid w:val="00AF57B8"/>
    <w:rsid w:val="00AF5F5E"/>
    <w:rsid w:val="00AF63E2"/>
    <w:rsid w:val="00AF69A7"/>
    <w:rsid w:val="00AF69B1"/>
    <w:rsid w:val="00AF7015"/>
    <w:rsid w:val="00AF7687"/>
    <w:rsid w:val="00AF7778"/>
    <w:rsid w:val="00AF7D27"/>
    <w:rsid w:val="00B00330"/>
    <w:rsid w:val="00B004BD"/>
    <w:rsid w:val="00B00884"/>
    <w:rsid w:val="00B00A2A"/>
    <w:rsid w:val="00B00AFE"/>
    <w:rsid w:val="00B00BAC"/>
    <w:rsid w:val="00B00F82"/>
    <w:rsid w:val="00B01060"/>
    <w:rsid w:val="00B010AB"/>
    <w:rsid w:val="00B0138D"/>
    <w:rsid w:val="00B01604"/>
    <w:rsid w:val="00B01BA9"/>
    <w:rsid w:val="00B01C00"/>
    <w:rsid w:val="00B01D36"/>
    <w:rsid w:val="00B01D66"/>
    <w:rsid w:val="00B0201E"/>
    <w:rsid w:val="00B027CE"/>
    <w:rsid w:val="00B02E18"/>
    <w:rsid w:val="00B02EA9"/>
    <w:rsid w:val="00B0317A"/>
    <w:rsid w:val="00B0321E"/>
    <w:rsid w:val="00B0366B"/>
    <w:rsid w:val="00B03AF7"/>
    <w:rsid w:val="00B03B46"/>
    <w:rsid w:val="00B03E7C"/>
    <w:rsid w:val="00B04287"/>
    <w:rsid w:val="00B043A6"/>
    <w:rsid w:val="00B04828"/>
    <w:rsid w:val="00B049AF"/>
    <w:rsid w:val="00B04B0A"/>
    <w:rsid w:val="00B04F0B"/>
    <w:rsid w:val="00B05699"/>
    <w:rsid w:val="00B056CF"/>
    <w:rsid w:val="00B0576F"/>
    <w:rsid w:val="00B057C9"/>
    <w:rsid w:val="00B05879"/>
    <w:rsid w:val="00B0658B"/>
    <w:rsid w:val="00B0688D"/>
    <w:rsid w:val="00B068E0"/>
    <w:rsid w:val="00B06B2C"/>
    <w:rsid w:val="00B06D52"/>
    <w:rsid w:val="00B06D99"/>
    <w:rsid w:val="00B07034"/>
    <w:rsid w:val="00B07149"/>
    <w:rsid w:val="00B07309"/>
    <w:rsid w:val="00B07460"/>
    <w:rsid w:val="00B07DAA"/>
    <w:rsid w:val="00B07EC8"/>
    <w:rsid w:val="00B07F46"/>
    <w:rsid w:val="00B101F7"/>
    <w:rsid w:val="00B1022A"/>
    <w:rsid w:val="00B106A9"/>
    <w:rsid w:val="00B10E04"/>
    <w:rsid w:val="00B1130B"/>
    <w:rsid w:val="00B116E6"/>
    <w:rsid w:val="00B11874"/>
    <w:rsid w:val="00B119D0"/>
    <w:rsid w:val="00B119D7"/>
    <w:rsid w:val="00B11FDD"/>
    <w:rsid w:val="00B12977"/>
    <w:rsid w:val="00B12B89"/>
    <w:rsid w:val="00B12CA0"/>
    <w:rsid w:val="00B12E56"/>
    <w:rsid w:val="00B132DC"/>
    <w:rsid w:val="00B13C64"/>
    <w:rsid w:val="00B13DF1"/>
    <w:rsid w:val="00B13FF9"/>
    <w:rsid w:val="00B145C7"/>
    <w:rsid w:val="00B147FD"/>
    <w:rsid w:val="00B149D2"/>
    <w:rsid w:val="00B14B56"/>
    <w:rsid w:val="00B14D52"/>
    <w:rsid w:val="00B14EBC"/>
    <w:rsid w:val="00B15630"/>
    <w:rsid w:val="00B15919"/>
    <w:rsid w:val="00B15980"/>
    <w:rsid w:val="00B15C07"/>
    <w:rsid w:val="00B15C15"/>
    <w:rsid w:val="00B1691C"/>
    <w:rsid w:val="00B1699F"/>
    <w:rsid w:val="00B16AEE"/>
    <w:rsid w:val="00B16D88"/>
    <w:rsid w:val="00B16E6E"/>
    <w:rsid w:val="00B1712D"/>
    <w:rsid w:val="00B173F3"/>
    <w:rsid w:val="00B1744A"/>
    <w:rsid w:val="00B17977"/>
    <w:rsid w:val="00B17A6E"/>
    <w:rsid w:val="00B17B30"/>
    <w:rsid w:val="00B17B88"/>
    <w:rsid w:val="00B17E68"/>
    <w:rsid w:val="00B17ED4"/>
    <w:rsid w:val="00B17F88"/>
    <w:rsid w:val="00B202A1"/>
    <w:rsid w:val="00B202C6"/>
    <w:rsid w:val="00B205A8"/>
    <w:rsid w:val="00B20730"/>
    <w:rsid w:val="00B21255"/>
    <w:rsid w:val="00B2127E"/>
    <w:rsid w:val="00B213F2"/>
    <w:rsid w:val="00B2153F"/>
    <w:rsid w:val="00B21576"/>
    <w:rsid w:val="00B21782"/>
    <w:rsid w:val="00B219B9"/>
    <w:rsid w:val="00B21E66"/>
    <w:rsid w:val="00B22C56"/>
    <w:rsid w:val="00B22CF5"/>
    <w:rsid w:val="00B2307F"/>
    <w:rsid w:val="00B23122"/>
    <w:rsid w:val="00B23A67"/>
    <w:rsid w:val="00B23B73"/>
    <w:rsid w:val="00B23D84"/>
    <w:rsid w:val="00B23E93"/>
    <w:rsid w:val="00B24055"/>
    <w:rsid w:val="00B24217"/>
    <w:rsid w:val="00B2428F"/>
    <w:rsid w:val="00B246A8"/>
    <w:rsid w:val="00B24AD0"/>
    <w:rsid w:val="00B24EEF"/>
    <w:rsid w:val="00B24F08"/>
    <w:rsid w:val="00B2516E"/>
    <w:rsid w:val="00B25684"/>
    <w:rsid w:val="00B2583C"/>
    <w:rsid w:val="00B25883"/>
    <w:rsid w:val="00B25A6A"/>
    <w:rsid w:val="00B25E56"/>
    <w:rsid w:val="00B26215"/>
    <w:rsid w:val="00B26540"/>
    <w:rsid w:val="00B265B5"/>
    <w:rsid w:val="00B2660E"/>
    <w:rsid w:val="00B26973"/>
    <w:rsid w:val="00B26AFE"/>
    <w:rsid w:val="00B26D3A"/>
    <w:rsid w:val="00B2704D"/>
    <w:rsid w:val="00B270D4"/>
    <w:rsid w:val="00B2732B"/>
    <w:rsid w:val="00B273A2"/>
    <w:rsid w:val="00B273BD"/>
    <w:rsid w:val="00B27546"/>
    <w:rsid w:val="00B278C6"/>
    <w:rsid w:val="00B27AAD"/>
    <w:rsid w:val="00B27B16"/>
    <w:rsid w:val="00B27BE2"/>
    <w:rsid w:val="00B27E9D"/>
    <w:rsid w:val="00B30014"/>
    <w:rsid w:val="00B303CD"/>
    <w:rsid w:val="00B30928"/>
    <w:rsid w:val="00B30AF8"/>
    <w:rsid w:val="00B30B56"/>
    <w:rsid w:val="00B3135F"/>
    <w:rsid w:val="00B3169C"/>
    <w:rsid w:val="00B316A1"/>
    <w:rsid w:val="00B31F6D"/>
    <w:rsid w:val="00B32458"/>
    <w:rsid w:val="00B3283C"/>
    <w:rsid w:val="00B32886"/>
    <w:rsid w:val="00B328C5"/>
    <w:rsid w:val="00B33233"/>
    <w:rsid w:val="00B337D3"/>
    <w:rsid w:val="00B339A4"/>
    <w:rsid w:val="00B33A86"/>
    <w:rsid w:val="00B33AF9"/>
    <w:rsid w:val="00B33B65"/>
    <w:rsid w:val="00B33D21"/>
    <w:rsid w:val="00B34327"/>
    <w:rsid w:val="00B34A56"/>
    <w:rsid w:val="00B34BBF"/>
    <w:rsid w:val="00B34F72"/>
    <w:rsid w:val="00B34FE0"/>
    <w:rsid w:val="00B35B06"/>
    <w:rsid w:val="00B35C14"/>
    <w:rsid w:val="00B36220"/>
    <w:rsid w:val="00B36586"/>
    <w:rsid w:val="00B365E9"/>
    <w:rsid w:val="00B36772"/>
    <w:rsid w:val="00B36966"/>
    <w:rsid w:val="00B37056"/>
    <w:rsid w:val="00B3715E"/>
    <w:rsid w:val="00B372E3"/>
    <w:rsid w:val="00B3764C"/>
    <w:rsid w:val="00B3781F"/>
    <w:rsid w:val="00B378BE"/>
    <w:rsid w:val="00B37969"/>
    <w:rsid w:val="00B3796A"/>
    <w:rsid w:val="00B40111"/>
    <w:rsid w:val="00B40860"/>
    <w:rsid w:val="00B409FA"/>
    <w:rsid w:val="00B40AFE"/>
    <w:rsid w:val="00B40E28"/>
    <w:rsid w:val="00B4106B"/>
    <w:rsid w:val="00B41323"/>
    <w:rsid w:val="00B4140E"/>
    <w:rsid w:val="00B417B9"/>
    <w:rsid w:val="00B424A8"/>
    <w:rsid w:val="00B4269D"/>
    <w:rsid w:val="00B4280D"/>
    <w:rsid w:val="00B429E6"/>
    <w:rsid w:val="00B4301F"/>
    <w:rsid w:val="00B432E1"/>
    <w:rsid w:val="00B43659"/>
    <w:rsid w:val="00B43D3F"/>
    <w:rsid w:val="00B440A5"/>
    <w:rsid w:val="00B4479F"/>
    <w:rsid w:val="00B447FC"/>
    <w:rsid w:val="00B44AF1"/>
    <w:rsid w:val="00B44DF0"/>
    <w:rsid w:val="00B454FE"/>
    <w:rsid w:val="00B457C5"/>
    <w:rsid w:val="00B4598E"/>
    <w:rsid w:val="00B45A1C"/>
    <w:rsid w:val="00B45CDB"/>
    <w:rsid w:val="00B46020"/>
    <w:rsid w:val="00B46483"/>
    <w:rsid w:val="00B4714D"/>
    <w:rsid w:val="00B4745A"/>
    <w:rsid w:val="00B474CB"/>
    <w:rsid w:val="00B47508"/>
    <w:rsid w:val="00B47A83"/>
    <w:rsid w:val="00B47BA2"/>
    <w:rsid w:val="00B47D6F"/>
    <w:rsid w:val="00B500F6"/>
    <w:rsid w:val="00B502C3"/>
    <w:rsid w:val="00B5040D"/>
    <w:rsid w:val="00B50654"/>
    <w:rsid w:val="00B508CD"/>
    <w:rsid w:val="00B50A8F"/>
    <w:rsid w:val="00B50B42"/>
    <w:rsid w:val="00B50BCD"/>
    <w:rsid w:val="00B50D43"/>
    <w:rsid w:val="00B51236"/>
    <w:rsid w:val="00B5136B"/>
    <w:rsid w:val="00B5169B"/>
    <w:rsid w:val="00B51789"/>
    <w:rsid w:val="00B518D4"/>
    <w:rsid w:val="00B51DB1"/>
    <w:rsid w:val="00B51E7B"/>
    <w:rsid w:val="00B524FD"/>
    <w:rsid w:val="00B52A44"/>
    <w:rsid w:val="00B52B26"/>
    <w:rsid w:val="00B531A5"/>
    <w:rsid w:val="00B531EB"/>
    <w:rsid w:val="00B5335F"/>
    <w:rsid w:val="00B53A55"/>
    <w:rsid w:val="00B53C8E"/>
    <w:rsid w:val="00B53D29"/>
    <w:rsid w:val="00B53F71"/>
    <w:rsid w:val="00B54320"/>
    <w:rsid w:val="00B543E4"/>
    <w:rsid w:val="00B546F5"/>
    <w:rsid w:val="00B54BA4"/>
    <w:rsid w:val="00B54CC5"/>
    <w:rsid w:val="00B54DEE"/>
    <w:rsid w:val="00B5578E"/>
    <w:rsid w:val="00B5597E"/>
    <w:rsid w:val="00B55F79"/>
    <w:rsid w:val="00B56037"/>
    <w:rsid w:val="00B564B7"/>
    <w:rsid w:val="00B56A58"/>
    <w:rsid w:val="00B56CA6"/>
    <w:rsid w:val="00B56D89"/>
    <w:rsid w:val="00B57104"/>
    <w:rsid w:val="00B5725D"/>
    <w:rsid w:val="00B57763"/>
    <w:rsid w:val="00B57880"/>
    <w:rsid w:val="00B57985"/>
    <w:rsid w:val="00B57ACE"/>
    <w:rsid w:val="00B57B6E"/>
    <w:rsid w:val="00B57B7F"/>
    <w:rsid w:val="00B57EAD"/>
    <w:rsid w:val="00B60235"/>
    <w:rsid w:val="00B6037A"/>
    <w:rsid w:val="00B606A0"/>
    <w:rsid w:val="00B608A3"/>
    <w:rsid w:val="00B60C6E"/>
    <w:rsid w:val="00B60C9E"/>
    <w:rsid w:val="00B60D6C"/>
    <w:rsid w:val="00B612D2"/>
    <w:rsid w:val="00B6147C"/>
    <w:rsid w:val="00B616CD"/>
    <w:rsid w:val="00B6171B"/>
    <w:rsid w:val="00B617FF"/>
    <w:rsid w:val="00B61AB5"/>
    <w:rsid w:val="00B61AD8"/>
    <w:rsid w:val="00B61DD5"/>
    <w:rsid w:val="00B620F0"/>
    <w:rsid w:val="00B62175"/>
    <w:rsid w:val="00B62283"/>
    <w:rsid w:val="00B623A8"/>
    <w:rsid w:val="00B628AA"/>
    <w:rsid w:val="00B629DC"/>
    <w:rsid w:val="00B62B01"/>
    <w:rsid w:val="00B62B09"/>
    <w:rsid w:val="00B62BCE"/>
    <w:rsid w:val="00B62EC4"/>
    <w:rsid w:val="00B630C0"/>
    <w:rsid w:val="00B63533"/>
    <w:rsid w:val="00B636AE"/>
    <w:rsid w:val="00B638E5"/>
    <w:rsid w:val="00B63C05"/>
    <w:rsid w:val="00B63EF2"/>
    <w:rsid w:val="00B63F5E"/>
    <w:rsid w:val="00B6409F"/>
    <w:rsid w:val="00B640EB"/>
    <w:rsid w:val="00B64254"/>
    <w:rsid w:val="00B64342"/>
    <w:rsid w:val="00B643A7"/>
    <w:rsid w:val="00B64477"/>
    <w:rsid w:val="00B645D6"/>
    <w:rsid w:val="00B6466E"/>
    <w:rsid w:val="00B647AF"/>
    <w:rsid w:val="00B64F04"/>
    <w:rsid w:val="00B64F42"/>
    <w:rsid w:val="00B65026"/>
    <w:rsid w:val="00B651D5"/>
    <w:rsid w:val="00B654E7"/>
    <w:rsid w:val="00B655D6"/>
    <w:rsid w:val="00B65746"/>
    <w:rsid w:val="00B6575D"/>
    <w:rsid w:val="00B65B86"/>
    <w:rsid w:val="00B65B8A"/>
    <w:rsid w:val="00B65C2B"/>
    <w:rsid w:val="00B65F2D"/>
    <w:rsid w:val="00B6607D"/>
    <w:rsid w:val="00B66144"/>
    <w:rsid w:val="00B662F0"/>
    <w:rsid w:val="00B664A7"/>
    <w:rsid w:val="00B6676B"/>
    <w:rsid w:val="00B66B79"/>
    <w:rsid w:val="00B66B9E"/>
    <w:rsid w:val="00B66ECD"/>
    <w:rsid w:val="00B66F3C"/>
    <w:rsid w:val="00B66FF4"/>
    <w:rsid w:val="00B67193"/>
    <w:rsid w:val="00B671F3"/>
    <w:rsid w:val="00B672DD"/>
    <w:rsid w:val="00B673C8"/>
    <w:rsid w:val="00B67686"/>
    <w:rsid w:val="00B6768B"/>
    <w:rsid w:val="00B6778A"/>
    <w:rsid w:val="00B678A7"/>
    <w:rsid w:val="00B679A2"/>
    <w:rsid w:val="00B70228"/>
    <w:rsid w:val="00B7034D"/>
    <w:rsid w:val="00B70653"/>
    <w:rsid w:val="00B70B77"/>
    <w:rsid w:val="00B70CBF"/>
    <w:rsid w:val="00B70F81"/>
    <w:rsid w:val="00B713CB"/>
    <w:rsid w:val="00B713ED"/>
    <w:rsid w:val="00B71461"/>
    <w:rsid w:val="00B71783"/>
    <w:rsid w:val="00B7179C"/>
    <w:rsid w:val="00B71861"/>
    <w:rsid w:val="00B71976"/>
    <w:rsid w:val="00B7215D"/>
    <w:rsid w:val="00B72882"/>
    <w:rsid w:val="00B729B0"/>
    <w:rsid w:val="00B72A6B"/>
    <w:rsid w:val="00B72B36"/>
    <w:rsid w:val="00B72BCD"/>
    <w:rsid w:val="00B7347A"/>
    <w:rsid w:val="00B73D29"/>
    <w:rsid w:val="00B7465C"/>
    <w:rsid w:val="00B747CF"/>
    <w:rsid w:val="00B74959"/>
    <w:rsid w:val="00B74AD8"/>
    <w:rsid w:val="00B74D72"/>
    <w:rsid w:val="00B74FAE"/>
    <w:rsid w:val="00B74FD9"/>
    <w:rsid w:val="00B75152"/>
    <w:rsid w:val="00B7527A"/>
    <w:rsid w:val="00B7543E"/>
    <w:rsid w:val="00B75890"/>
    <w:rsid w:val="00B75CD7"/>
    <w:rsid w:val="00B75CDE"/>
    <w:rsid w:val="00B75E00"/>
    <w:rsid w:val="00B75E3B"/>
    <w:rsid w:val="00B76049"/>
    <w:rsid w:val="00B7650B"/>
    <w:rsid w:val="00B76813"/>
    <w:rsid w:val="00B76968"/>
    <w:rsid w:val="00B769D8"/>
    <w:rsid w:val="00B76BE2"/>
    <w:rsid w:val="00B76C84"/>
    <w:rsid w:val="00B76D30"/>
    <w:rsid w:val="00B76EEB"/>
    <w:rsid w:val="00B7721F"/>
    <w:rsid w:val="00B773CB"/>
    <w:rsid w:val="00B7748D"/>
    <w:rsid w:val="00B80065"/>
    <w:rsid w:val="00B80272"/>
    <w:rsid w:val="00B80354"/>
    <w:rsid w:val="00B803CA"/>
    <w:rsid w:val="00B80DEC"/>
    <w:rsid w:val="00B80E84"/>
    <w:rsid w:val="00B8152B"/>
    <w:rsid w:val="00B819DB"/>
    <w:rsid w:val="00B81BF2"/>
    <w:rsid w:val="00B81D4D"/>
    <w:rsid w:val="00B81F26"/>
    <w:rsid w:val="00B82629"/>
    <w:rsid w:val="00B82767"/>
    <w:rsid w:val="00B82A97"/>
    <w:rsid w:val="00B82DC2"/>
    <w:rsid w:val="00B83514"/>
    <w:rsid w:val="00B836CB"/>
    <w:rsid w:val="00B83744"/>
    <w:rsid w:val="00B8374E"/>
    <w:rsid w:val="00B837CC"/>
    <w:rsid w:val="00B83A2F"/>
    <w:rsid w:val="00B83F00"/>
    <w:rsid w:val="00B840F6"/>
    <w:rsid w:val="00B841EE"/>
    <w:rsid w:val="00B8421C"/>
    <w:rsid w:val="00B842BF"/>
    <w:rsid w:val="00B8433A"/>
    <w:rsid w:val="00B849FD"/>
    <w:rsid w:val="00B84D29"/>
    <w:rsid w:val="00B84FDB"/>
    <w:rsid w:val="00B8512B"/>
    <w:rsid w:val="00B8517D"/>
    <w:rsid w:val="00B8519C"/>
    <w:rsid w:val="00B85707"/>
    <w:rsid w:val="00B85A44"/>
    <w:rsid w:val="00B85B75"/>
    <w:rsid w:val="00B85F57"/>
    <w:rsid w:val="00B860C8"/>
    <w:rsid w:val="00B86389"/>
    <w:rsid w:val="00B866F4"/>
    <w:rsid w:val="00B868CF"/>
    <w:rsid w:val="00B8691A"/>
    <w:rsid w:val="00B86CF7"/>
    <w:rsid w:val="00B86D96"/>
    <w:rsid w:val="00B87955"/>
    <w:rsid w:val="00B87A28"/>
    <w:rsid w:val="00B87EB5"/>
    <w:rsid w:val="00B87F3A"/>
    <w:rsid w:val="00B901D6"/>
    <w:rsid w:val="00B90389"/>
    <w:rsid w:val="00B906D3"/>
    <w:rsid w:val="00B90800"/>
    <w:rsid w:val="00B90C7D"/>
    <w:rsid w:val="00B90E71"/>
    <w:rsid w:val="00B90F18"/>
    <w:rsid w:val="00B9103E"/>
    <w:rsid w:val="00B9110F"/>
    <w:rsid w:val="00B911E4"/>
    <w:rsid w:val="00B9173B"/>
    <w:rsid w:val="00B923C2"/>
    <w:rsid w:val="00B924A1"/>
    <w:rsid w:val="00B925A4"/>
    <w:rsid w:val="00B92E5F"/>
    <w:rsid w:val="00B93130"/>
    <w:rsid w:val="00B93653"/>
    <w:rsid w:val="00B9365D"/>
    <w:rsid w:val="00B936B4"/>
    <w:rsid w:val="00B938F8"/>
    <w:rsid w:val="00B9397E"/>
    <w:rsid w:val="00B93ADF"/>
    <w:rsid w:val="00B93DAB"/>
    <w:rsid w:val="00B93DE3"/>
    <w:rsid w:val="00B94298"/>
    <w:rsid w:val="00B9452F"/>
    <w:rsid w:val="00B945B8"/>
    <w:rsid w:val="00B94940"/>
    <w:rsid w:val="00B949E8"/>
    <w:rsid w:val="00B94C9D"/>
    <w:rsid w:val="00B94C9E"/>
    <w:rsid w:val="00B95349"/>
    <w:rsid w:val="00B95351"/>
    <w:rsid w:val="00B9554B"/>
    <w:rsid w:val="00B9613F"/>
    <w:rsid w:val="00B967DB"/>
    <w:rsid w:val="00B967F5"/>
    <w:rsid w:val="00B96851"/>
    <w:rsid w:val="00B96973"/>
    <w:rsid w:val="00B969CD"/>
    <w:rsid w:val="00B96A61"/>
    <w:rsid w:val="00B96B11"/>
    <w:rsid w:val="00B9727A"/>
    <w:rsid w:val="00B9740E"/>
    <w:rsid w:val="00B97529"/>
    <w:rsid w:val="00B978C7"/>
    <w:rsid w:val="00B97AFE"/>
    <w:rsid w:val="00B97DD2"/>
    <w:rsid w:val="00B97E57"/>
    <w:rsid w:val="00BA0206"/>
    <w:rsid w:val="00BA03E8"/>
    <w:rsid w:val="00BA0611"/>
    <w:rsid w:val="00BA0652"/>
    <w:rsid w:val="00BA070E"/>
    <w:rsid w:val="00BA0B47"/>
    <w:rsid w:val="00BA10EC"/>
    <w:rsid w:val="00BA1296"/>
    <w:rsid w:val="00BA1312"/>
    <w:rsid w:val="00BA1355"/>
    <w:rsid w:val="00BA14CB"/>
    <w:rsid w:val="00BA175E"/>
    <w:rsid w:val="00BA1A2A"/>
    <w:rsid w:val="00BA1A93"/>
    <w:rsid w:val="00BA1D09"/>
    <w:rsid w:val="00BA2073"/>
    <w:rsid w:val="00BA2314"/>
    <w:rsid w:val="00BA23F8"/>
    <w:rsid w:val="00BA2FFA"/>
    <w:rsid w:val="00BA3228"/>
    <w:rsid w:val="00BA327E"/>
    <w:rsid w:val="00BA32DA"/>
    <w:rsid w:val="00BA332E"/>
    <w:rsid w:val="00BA3613"/>
    <w:rsid w:val="00BA3629"/>
    <w:rsid w:val="00BA396F"/>
    <w:rsid w:val="00BA3A4A"/>
    <w:rsid w:val="00BA40D4"/>
    <w:rsid w:val="00BA412C"/>
    <w:rsid w:val="00BA46C9"/>
    <w:rsid w:val="00BA48E2"/>
    <w:rsid w:val="00BA495D"/>
    <w:rsid w:val="00BA4E57"/>
    <w:rsid w:val="00BA4ED5"/>
    <w:rsid w:val="00BA5833"/>
    <w:rsid w:val="00BA5899"/>
    <w:rsid w:val="00BA62F0"/>
    <w:rsid w:val="00BA6525"/>
    <w:rsid w:val="00BA65E2"/>
    <w:rsid w:val="00BA66EA"/>
    <w:rsid w:val="00BA6864"/>
    <w:rsid w:val="00BA6CF1"/>
    <w:rsid w:val="00BA70B3"/>
    <w:rsid w:val="00BB01EB"/>
    <w:rsid w:val="00BB1099"/>
    <w:rsid w:val="00BB1294"/>
    <w:rsid w:val="00BB1A20"/>
    <w:rsid w:val="00BB1B3A"/>
    <w:rsid w:val="00BB241E"/>
    <w:rsid w:val="00BB2658"/>
    <w:rsid w:val="00BB291D"/>
    <w:rsid w:val="00BB2B03"/>
    <w:rsid w:val="00BB2FCD"/>
    <w:rsid w:val="00BB363B"/>
    <w:rsid w:val="00BB38CA"/>
    <w:rsid w:val="00BB3929"/>
    <w:rsid w:val="00BB3AF7"/>
    <w:rsid w:val="00BB3C9C"/>
    <w:rsid w:val="00BB3ECB"/>
    <w:rsid w:val="00BB474C"/>
    <w:rsid w:val="00BB47AD"/>
    <w:rsid w:val="00BB4EC9"/>
    <w:rsid w:val="00BB5129"/>
    <w:rsid w:val="00BB5182"/>
    <w:rsid w:val="00BB51B9"/>
    <w:rsid w:val="00BB54CD"/>
    <w:rsid w:val="00BB556C"/>
    <w:rsid w:val="00BB5A0B"/>
    <w:rsid w:val="00BB5C82"/>
    <w:rsid w:val="00BB5D49"/>
    <w:rsid w:val="00BB5E42"/>
    <w:rsid w:val="00BB6E56"/>
    <w:rsid w:val="00BB720B"/>
    <w:rsid w:val="00BB7282"/>
    <w:rsid w:val="00BB7306"/>
    <w:rsid w:val="00BB7491"/>
    <w:rsid w:val="00BB75D1"/>
    <w:rsid w:val="00BB78B1"/>
    <w:rsid w:val="00BB7BFF"/>
    <w:rsid w:val="00BC04CE"/>
    <w:rsid w:val="00BC078F"/>
    <w:rsid w:val="00BC08F4"/>
    <w:rsid w:val="00BC0B78"/>
    <w:rsid w:val="00BC0C78"/>
    <w:rsid w:val="00BC10DC"/>
    <w:rsid w:val="00BC148D"/>
    <w:rsid w:val="00BC1595"/>
    <w:rsid w:val="00BC1B43"/>
    <w:rsid w:val="00BC1BBA"/>
    <w:rsid w:val="00BC1F16"/>
    <w:rsid w:val="00BC23EE"/>
    <w:rsid w:val="00BC2442"/>
    <w:rsid w:val="00BC2751"/>
    <w:rsid w:val="00BC276F"/>
    <w:rsid w:val="00BC2829"/>
    <w:rsid w:val="00BC3126"/>
    <w:rsid w:val="00BC31F4"/>
    <w:rsid w:val="00BC3459"/>
    <w:rsid w:val="00BC3466"/>
    <w:rsid w:val="00BC3A68"/>
    <w:rsid w:val="00BC3D81"/>
    <w:rsid w:val="00BC3D85"/>
    <w:rsid w:val="00BC3E5C"/>
    <w:rsid w:val="00BC3FEF"/>
    <w:rsid w:val="00BC4033"/>
    <w:rsid w:val="00BC4409"/>
    <w:rsid w:val="00BC4470"/>
    <w:rsid w:val="00BC44D5"/>
    <w:rsid w:val="00BC4633"/>
    <w:rsid w:val="00BC488F"/>
    <w:rsid w:val="00BC4B04"/>
    <w:rsid w:val="00BC5275"/>
    <w:rsid w:val="00BC5397"/>
    <w:rsid w:val="00BC542F"/>
    <w:rsid w:val="00BC5CA6"/>
    <w:rsid w:val="00BC63BF"/>
    <w:rsid w:val="00BC674F"/>
    <w:rsid w:val="00BC69FC"/>
    <w:rsid w:val="00BC6BB6"/>
    <w:rsid w:val="00BC6BEC"/>
    <w:rsid w:val="00BC6CFA"/>
    <w:rsid w:val="00BC6D91"/>
    <w:rsid w:val="00BC7188"/>
    <w:rsid w:val="00BC7286"/>
    <w:rsid w:val="00BC7417"/>
    <w:rsid w:val="00BC744A"/>
    <w:rsid w:val="00BC754A"/>
    <w:rsid w:val="00BC765A"/>
    <w:rsid w:val="00BC77CF"/>
    <w:rsid w:val="00BC7A22"/>
    <w:rsid w:val="00BC7EB1"/>
    <w:rsid w:val="00BC7F72"/>
    <w:rsid w:val="00BD0B7C"/>
    <w:rsid w:val="00BD17E8"/>
    <w:rsid w:val="00BD18E4"/>
    <w:rsid w:val="00BD1A93"/>
    <w:rsid w:val="00BD1AE2"/>
    <w:rsid w:val="00BD1CDF"/>
    <w:rsid w:val="00BD2E68"/>
    <w:rsid w:val="00BD3225"/>
    <w:rsid w:val="00BD4303"/>
    <w:rsid w:val="00BD4379"/>
    <w:rsid w:val="00BD4B25"/>
    <w:rsid w:val="00BD51B5"/>
    <w:rsid w:val="00BD529C"/>
    <w:rsid w:val="00BD5467"/>
    <w:rsid w:val="00BD56E4"/>
    <w:rsid w:val="00BD582B"/>
    <w:rsid w:val="00BD5AE9"/>
    <w:rsid w:val="00BD5BE3"/>
    <w:rsid w:val="00BD5D50"/>
    <w:rsid w:val="00BD5E85"/>
    <w:rsid w:val="00BD609B"/>
    <w:rsid w:val="00BD62BB"/>
    <w:rsid w:val="00BD62D9"/>
    <w:rsid w:val="00BD632E"/>
    <w:rsid w:val="00BD6394"/>
    <w:rsid w:val="00BD64BE"/>
    <w:rsid w:val="00BD64C0"/>
    <w:rsid w:val="00BD6DBB"/>
    <w:rsid w:val="00BD6E47"/>
    <w:rsid w:val="00BD6E81"/>
    <w:rsid w:val="00BD7311"/>
    <w:rsid w:val="00BD7429"/>
    <w:rsid w:val="00BD749B"/>
    <w:rsid w:val="00BD74FE"/>
    <w:rsid w:val="00BD76DA"/>
    <w:rsid w:val="00BD7ADE"/>
    <w:rsid w:val="00BD7BBA"/>
    <w:rsid w:val="00BD7C19"/>
    <w:rsid w:val="00BD7C96"/>
    <w:rsid w:val="00BD7D39"/>
    <w:rsid w:val="00BD7DBD"/>
    <w:rsid w:val="00BD7FC2"/>
    <w:rsid w:val="00BE0338"/>
    <w:rsid w:val="00BE081F"/>
    <w:rsid w:val="00BE0875"/>
    <w:rsid w:val="00BE0AB0"/>
    <w:rsid w:val="00BE0C05"/>
    <w:rsid w:val="00BE0D90"/>
    <w:rsid w:val="00BE0E04"/>
    <w:rsid w:val="00BE1088"/>
    <w:rsid w:val="00BE1198"/>
    <w:rsid w:val="00BE11FA"/>
    <w:rsid w:val="00BE170B"/>
    <w:rsid w:val="00BE174A"/>
    <w:rsid w:val="00BE1BCD"/>
    <w:rsid w:val="00BE1CBF"/>
    <w:rsid w:val="00BE2300"/>
    <w:rsid w:val="00BE2334"/>
    <w:rsid w:val="00BE25F1"/>
    <w:rsid w:val="00BE265A"/>
    <w:rsid w:val="00BE2BB9"/>
    <w:rsid w:val="00BE2EB7"/>
    <w:rsid w:val="00BE301F"/>
    <w:rsid w:val="00BE3247"/>
    <w:rsid w:val="00BE38A3"/>
    <w:rsid w:val="00BE3C7E"/>
    <w:rsid w:val="00BE40FD"/>
    <w:rsid w:val="00BE4194"/>
    <w:rsid w:val="00BE461A"/>
    <w:rsid w:val="00BE4864"/>
    <w:rsid w:val="00BE489A"/>
    <w:rsid w:val="00BE526C"/>
    <w:rsid w:val="00BE56E2"/>
    <w:rsid w:val="00BE58EE"/>
    <w:rsid w:val="00BE5933"/>
    <w:rsid w:val="00BE5951"/>
    <w:rsid w:val="00BE5A63"/>
    <w:rsid w:val="00BE5B65"/>
    <w:rsid w:val="00BE61DF"/>
    <w:rsid w:val="00BE6680"/>
    <w:rsid w:val="00BE6942"/>
    <w:rsid w:val="00BE69FC"/>
    <w:rsid w:val="00BE6EFF"/>
    <w:rsid w:val="00BE73FF"/>
    <w:rsid w:val="00BE754B"/>
    <w:rsid w:val="00BE7753"/>
    <w:rsid w:val="00BE7822"/>
    <w:rsid w:val="00BE7907"/>
    <w:rsid w:val="00BE7AAC"/>
    <w:rsid w:val="00BE7AE0"/>
    <w:rsid w:val="00BE7EC9"/>
    <w:rsid w:val="00BE7EFC"/>
    <w:rsid w:val="00BE7F1E"/>
    <w:rsid w:val="00BF0301"/>
    <w:rsid w:val="00BF069E"/>
    <w:rsid w:val="00BF0ACA"/>
    <w:rsid w:val="00BF0BFA"/>
    <w:rsid w:val="00BF0C84"/>
    <w:rsid w:val="00BF0D06"/>
    <w:rsid w:val="00BF1065"/>
    <w:rsid w:val="00BF1C4A"/>
    <w:rsid w:val="00BF1DF3"/>
    <w:rsid w:val="00BF1F6B"/>
    <w:rsid w:val="00BF2243"/>
    <w:rsid w:val="00BF23BC"/>
    <w:rsid w:val="00BF2533"/>
    <w:rsid w:val="00BF2697"/>
    <w:rsid w:val="00BF288E"/>
    <w:rsid w:val="00BF2A30"/>
    <w:rsid w:val="00BF315D"/>
    <w:rsid w:val="00BF31FB"/>
    <w:rsid w:val="00BF3908"/>
    <w:rsid w:val="00BF3984"/>
    <w:rsid w:val="00BF4427"/>
    <w:rsid w:val="00BF4431"/>
    <w:rsid w:val="00BF478A"/>
    <w:rsid w:val="00BF4795"/>
    <w:rsid w:val="00BF4D6D"/>
    <w:rsid w:val="00BF4EC1"/>
    <w:rsid w:val="00BF5299"/>
    <w:rsid w:val="00BF52F2"/>
    <w:rsid w:val="00BF56F0"/>
    <w:rsid w:val="00BF5E5D"/>
    <w:rsid w:val="00BF6073"/>
    <w:rsid w:val="00BF65B6"/>
    <w:rsid w:val="00BF687B"/>
    <w:rsid w:val="00BF6B7F"/>
    <w:rsid w:val="00BF6D19"/>
    <w:rsid w:val="00BF6F84"/>
    <w:rsid w:val="00BF706A"/>
    <w:rsid w:val="00BF7673"/>
    <w:rsid w:val="00BF76B2"/>
    <w:rsid w:val="00BF7A91"/>
    <w:rsid w:val="00BF7D53"/>
    <w:rsid w:val="00BF7E14"/>
    <w:rsid w:val="00C00D62"/>
    <w:rsid w:val="00C017CC"/>
    <w:rsid w:val="00C0182F"/>
    <w:rsid w:val="00C01939"/>
    <w:rsid w:val="00C01A87"/>
    <w:rsid w:val="00C01FDD"/>
    <w:rsid w:val="00C027E8"/>
    <w:rsid w:val="00C02F0D"/>
    <w:rsid w:val="00C02F28"/>
    <w:rsid w:val="00C03116"/>
    <w:rsid w:val="00C039A0"/>
    <w:rsid w:val="00C03B0B"/>
    <w:rsid w:val="00C03F3D"/>
    <w:rsid w:val="00C04536"/>
    <w:rsid w:val="00C04AEC"/>
    <w:rsid w:val="00C04BBA"/>
    <w:rsid w:val="00C04CFF"/>
    <w:rsid w:val="00C0512F"/>
    <w:rsid w:val="00C05478"/>
    <w:rsid w:val="00C055B5"/>
    <w:rsid w:val="00C057EA"/>
    <w:rsid w:val="00C05811"/>
    <w:rsid w:val="00C05851"/>
    <w:rsid w:val="00C058EB"/>
    <w:rsid w:val="00C05A61"/>
    <w:rsid w:val="00C063E1"/>
    <w:rsid w:val="00C06464"/>
    <w:rsid w:val="00C0654C"/>
    <w:rsid w:val="00C06791"/>
    <w:rsid w:val="00C06AAF"/>
    <w:rsid w:val="00C06C28"/>
    <w:rsid w:val="00C07040"/>
    <w:rsid w:val="00C07805"/>
    <w:rsid w:val="00C0783E"/>
    <w:rsid w:val="00C07D87"/>
    <w:rsid w:val="00C07E5A"/>
    <w:rsid w:val="00C10009"/>
    <w:rsid w:val="00C10192"/>
    <w:rsid w:val="00C102EA"/>
    <w:rsid w:val="00C103BC"/>
    <w:rsid w:val="00C110EE"/>
    <w:rsid w:val="00C11318"/>
    <w:rsid w:val="00C11538"/>
    <w:rsid w:val="00C1158D"/>
    <w:rsid w:val="00C116EB"/>
    <w:rsid w:val="00C119D3"/>
    <w:rsid w:val="00C11D6E"/>
    <w:rsid w:val="00C11F23"/>
    <w:rsid w:val="00C12613"/>
    <w:rsid w:val="00C1262C"/>
    <w:rsid w:val="00C1283C"/>
    <w:rsid w:val="00C12DAF"/>
    <w:rsid w:val="00C12DDA"/>
    <w:rsid w:val="00C12E7E"/>
    <w:rsid w:val="00C12F7D"/>
    <w:rsid w:val="00C13514"/>
    <w:rsid w:val="00C13531"/>
    <w:rsid w:val="00C1382C"/>
    <w:rsid w:val="00C13AC7"/>
    <w:rsid w:val="00C13C71"/>
    <w:rsid w:val="00C141FA"/>
    <w:rsid w:val="00C145B8"/>
    <w:rsid w:val="00C14918"/>
    <w:rsid w:val="00C15147"/>
    <w:rsid w:val="00C152FC"/>
    <w:rsid w:val="00C1534C"/>
    <w:rsid w:val="00C15549"/>
    <w:rsid w:val="00C1575C"/>
    <w:rsid w:val="00C15A0D"/>
    <w:rsid w:val="00C15A30"/>
    <w:rsid w:val="00C15C6A"/>
    <w:rsid w:val="00C15F5C"/>
    <w:rsid w:val="00C160B6"/>
    <w:rsid w:val="00C162DB"/>
    <w:rsid w:val="00C1654B"/>
    <w:rsid w:val="00C166D5"/>
    <w:rsid w:val="00C16785"/>
    <w:rsid w:val="00C16896"/>
    <w:rsid w:val="00C1695C"/>
    <w:rsid w:val="00C16DA7"/>
    <w:rsid w:val="00C16E25"/>
    <w:rsid w:val="00C1706C"/>
    <w:rsid w:val="00C17419"/>
    <w:rsid w:val="00C1762F"/>
    <w:rsid w:val="00C179BA"/>
    <w:rsid w:val="00C2028A"/>
    <w:rsid w:val="00C20335"/>
    <w:rsid w:val="00C20341"/>
    <w:rsid w:val="00C20880"/>
    <w:rsid w:val="00C2098C"/>
    <w:rsid w:val="00C20DFF"/>
    <w:rsid w:val="00C20EA2"/>
    <w:rsid w:val="00C20EC3"/>
    <w:rsid w:val="00C2106A"/>
    <w:rsid w:val="00C210B7"/>
    <w:rsid w:val="00C2117B"/>
    <w:rsid w:val="00C219D7"/>
    <w:rsid w:val="00C223CB"/>
    <w:rsid w:val="00C22642"/>
    <w:rsid w:val="00C22917"/>
    <w:rsid w:val="00C22AD1"/>
    <w:rsid w:val="00C22B0C"/>
    <w:rsid w:val="00C22B98"/>
    <w:rsid w:val="00C23299"/>
    <w:rsid w:val="00C23749"/>
    <w:rsid w:val="00C23881"/>
    <w:rsid w:val="00C23976"/>
    <w:rsid w:val="00C23AD0"/>
    <w:rsid w:val="00C23E50"/>
    <w:rsid w:val="00C2400A"/>
    <w:rsid w:val="00C24550"/>
    <w:rsid w:val="00C249F9"/>
    <w:rsid w:val="00C24A3C"/>
    <w:rsid w:val="00C24BE8"/>
    <w:rsid w:val="00C24EC4"/>
    <w:rsid w:val="00C254A2"/>
    <w:rsid w:val="00C256E6"/>
    <w:rsid w:val="00C256F2"/>
    <w:rsid w:val="00C2594F"/>
    <w:rsid w:val="00C25AA7"/>
    <w:rsid w:val="00C25B9A"/>
    <w:rsid w:val="00C25E9D"/>
    <w:rsid w:val="00C25EC4"/>
    <w:rsid w:val="00C26412"/>
    <w:rsid w:val="00C265D7"/>
    <w:rsid w:val="00C26619"/>
    <w:rsid w:val="00C267C1"/>
    <w:rsid w:val="00C26A04"/>
    <w:rsid w:val="00C26BA5"/>
    <w:rsid w:val="00C26D60"/>
    <w:rsid w:val="00C26E25"/>
    <w:rsid w:val="00C26EE5"/>
    <w:rsid w:val="00C26F20"/>
    <w:rsid w:val="00C271BE"/>
    <w:rsid w:val="00C27679"/>
    <w:rsid w:val="00C27686"/>
    <w:rsid w:val="00C27825"/>
    <w:rsid w:val="00C27926"/>
    <w:rsid w:val="00C27E35"/>
    <w:rsid w:val="00C27E3C"/>
    <w:rsid w:val="00C27EBD"/>
    <w:rsid w:val="00C30827"/>
    <w:rsid w:val="00C30B6D"/>
    <w:rsid w:val="00C30E06"/>
    <w:rsid w:val="00C31600"/>
    <w:rsid w:val="00C317C6"/>
    <w:rsid w:val="00C318DD"/>
    <w:rsid w:val="00C31D1B"/>
    <w:rsid w:val="00C31E38"/>
    <w:rsid w:val="00C32111"/>
    <w:rsid w:val="00C32CE2"/>
    <w:rsid w:val="00C32F65"/>
    <w:rsid w:val="00C32FA7"/>
    <w:rsid w:val="00C330EA"/>
    <w:rsid w:val="00C33139"/>
    <w:rsid w:val="00C335F0"/>
    <w:rsid w:val="00C33620"/>
    <w:rsid w:val="00C339C7"/>
    <w:rsid w:val="00C33AF4"/>
    <w:rsid w:val="00C33BBB"/>
    <w:rsid w:val="00C3437D"/>
    <w:rsid w:val="00C35029"/>
    <w:rsid w:val="00C3516C"/>
    <w:rsid w:val="00C353D0"/>
    <w:rsid w:val="00C354B1"/>
    <w:rsid w:val="00C3570B"/>
    <w:rsid w:val="00C35AB0"/>
    <w:rsid w:val="00C367D9"/>
    <w:rsid w:val="00C36D65"/>
    <w:rsid w:val="00C36E6E"/>
    <w:rsid w:val="00C36EEF"/>
    <w:rsid w:val="00C36FE9"/>
    <w:rsid w:val="00C377FE"/>
    <w:rsid w:val="00C37866"/>
    <w:rsid w:val="00C3794A"/>
    <w:rsid w:val="00C37A09"/>
    <w:rsid w:val="00C37A69"/>
    <w:rsid w:val="00C37DCF"/>
    <w:rsid w:val="00C404D7"/>
    <w:rsid w:val="00C4077E"/>
    <w:rsid w:val="00C413CE"/>
    <w:rsid w:val="00C415AB"/>
    <w:rsid w:val="00C41666"/>
    <w:rsid w:val="00C4177A"/>
    <w:rsid w:val="00C41AB7"/>
    <w:rsid w:val="00C42019"/>
    <w:rsid w:val="00C42021"/>
    <w:rsid w:val="00C420FC"/>
    <w:rsid w:val="00C426AF"/>
    <w:rsid w:val="00C42965"/>
    <w:rsid w:val="00C429F4"/>
    <w:rsid w:val="00C434A8"/>
    <w:rsid w:val="00C435D8"/>
    <w:rsid w:val="00C43706"/>
    <w:rsid w:val="00C438FE"/>
    <w:rsid w:val="00C43B1B"/>
    <w:rsid w:val="00C440E9"/>
    <w:rsid w:val="00C443DA"/>
    <w:rsid w:val="00C446E0"/>
    <w:rsid w:val="00C446FD"/>
    <w:rsid w:val="00C44908"/>
    <w:rsid w:val="00C44CE2"/>
    <w:rsid w:val="00C44DB0"/>
    <w:rsid w:val="00C44E77"/>
    <w:rsid w:val="00C44F84"/>
    <w:rsid w:val="00C45BA3"/>
    <w:rsid w:val="00C45EA9"/>
    <w:rsid w:val="00C46426"/>
    <w:rsid w:val="00C464A3"/>
    <w:rsid w:val="00C464F4"/>
    <w:rsid w:val="00C470B0"/>
    <w:rsid w:val="00C472E8"/>
    <w:rsid w:val="00C47974"/>
    <w:rsid w:val="00C47AF2"/>
    <w:rsid w:val="00C50066"/>
    <w:rsid w:val="00C50229"/>
    <w:rsid w:val="00C502D2"/>
    <w:rsid w:val="00C50355"/>
    <w:rsid w:val="00C50443"/>
    <w:rsid w:val="00C50697"/>
    <w:rsid w:val="00C50F2F"/>
    <w:rsid w:val="00C51111"/>
    <w:rsid w:val="00C5138C"/>
    <w:rsid w:val="00C51851"/>
    <w:rsid w:val="00C51A23"/>
    <w:rsid w:val="00C52135"/>
    <w:rsid w:val="00C5262E"/>
    <w:rsid w:val="00C526C5"/>
    <w:rsid w:val="00C52B4F"/>
    <w:rsid w:val="00C52D1C"/>
    <w:rsid w:val="00C52E77"/>
    <w:rsid w:val="00C532EC"/>
    <w:rsid w:val="00C53766"/>
    <w:rsid w:val="00C540A1"/>
    <w:rsid w:val="00C54187"/>
    <w:rsid w:val="00C54802"/>
    <w:rsid w:val="00C54E66"/>
    <w:rsid w:val="00C5505C"/>
    <w:rsid w:val="00C551BF"/>
    <w:rsid w:val="00C55251"/>
    <w:rsid w:val="00C5533E"/>
    <w:rsid w:val="00C55340"/>
    <w:rsid w:val="00C553D6"/>
    <w:rsid w:val="00C5547B"/>
    <w:rsid w:val="00C554B5"/>
    <w:rsid w:val="00C55614"/>
    <w:rsid w:val="00C55946"/>
    <w:rsid w:val="00C55DC7"/>
    <w:rsid w:val="00C55E91"/>
    <w:rsid w:val="00C56043"/>
    <w:rsid w:val="00C563E6"/>
    <w:rsid w:val="00C56432"/>
    <w:rsid w:val="00C56C3C"/>
    <w:rsid w:val="00C56C6D"/>
    <w:rsid w:val="00C56E61"/>
    <w:rsid w:val="00C5715F"/>
    <w:rsid w:val="00C5718F"/>
    <w:rsid w:val="00C574B7"/>
    <w:rsid w:val="00C5777B"/>
    <w:rsid w:val="00C578F4"/>
    <w:rsid w:val="00C57952"/>
    <w:rsid w:val="00C57964"/>
    <w:rsid w:val="00C57A6E"/>
    <w:rsid w:val="00C57A78"/>
    <w:rsid w:val="00C57ED0"/>
    <w:rsid w:val="00C600C7"/>
    <w:rsid w:val="00C6014E"/>
    <w:rsid w:val="00C602AA"/>
    <w:rsid w:val="00C604ED"/>
    <w:rsid w:val="00C60783"/>
    <w:rsid w:val="00C6084A"/>
    <w:rsid w:val="00C60CE3"/>
    <w:rsid w:val="00C61037"/>
    <w:rsid w:val="00C6118F"/>
    <w:rsid w:val="00C611D4"/>
    <w:rsid w:val="00C612C0"/>
    <w:rsid w:val="00C61A13"/>
    <w:rsid w:val="00C61CD7"/>
    <w:rsid w:val="00C61E39"/>
    <w:rsid w:val="00C62057"/>
    <w:rsid w:val="00C62227"/>
    <w:rsid w:val="00C628C5"/>
    <w:rsid w:val="00C62E5A"/>
    <w:rsid w:val="00C62EE7"/>
    <w:rsid w:val="00C63552"/>
    <w:rsid w:val="00C63D14"/>
    <w:rsid w:val="00C63E7A"/>
    <w:rsid w:val="00C6429D"/>
    <w:rsid w:val="00C646D3"/>
    <w:rsid w:val="00C646F0"/>
    <w:rsid w:val="00C64890"/>
    <w:rsid w:val="00C64BD0"/>
    <w:rsid w:val="00C64E20"/>
    <w:rsid w:val="00C6535E"/>
    <w:rsid w:val="00C65506"/>
    <w:rsid w:val="00C6552F"/>
    <w:rsid w:val="00C655F5"/>
    <w:rsid w:val="00C65654"/>
    <w:rsid w:val="00C656CE"/>
    <w:rsid w:val="00C6582C"/>
    <w:rsid w:val="00C659ED"/>
    <w:rsid w:val="00C65A09"/>
    <w:rsid w:val="00C65F26"/>
    <w:rsid w:val="00C66163"/>
    <w:rsid w:val="00C665B4"/>
    <w:rsid w:val="00C6744F"/>
    <w:rsid w:val="00C67463"/>
    <w:rsid w:val="00C70886"/>
    <w:rsid w:val="00C70B8B"/>
    <w:rsid w:val="00C70F76"/>
    <w:rsid w:val="00C719F1"/>
    <w:rsid w:val="00C71A73"/>
    <w:rsid w:val="00C71C9E"/>
    <w:rsid w:val="00C725CF"/>
    <w:rsid w:val="00C72881"/>
    <w:rsid w:val="00C73155"/>
    <w:rsid w:val="00C7357E"/>
    <w:rsid w:val="00C735A7"/>
    <w:rsid w:val="00C738EF"/>
    <w:rsid w:val="00C73BE6"/>
    <w:rsid w:val="00C74214"/>
    <w:rsid w:val="00C74225"/>
    <w:rsid w:val="00C7430E"/>
    <w:rsid w:val="00C743EE"/>
    <w:rsid w:val="00C74888"/>
    <w:rsid w:val="00C74954"/>
    <w:rsid w:val="00C74CD5"/>
    <w:rsid w:val="00C74D87"/>
    <w:rsid w:val="00C751A7"/>
    <w:rsid w:val="00C75317"/>
    <w:rsid w:val="00C75603"/>
    <w:rsid w:val="00C75A98"/>
    <w:rsid w:val="00C76343"/>
    <w:rsid w:val="00C76364"/>
    <w:rsid w:val="00C76434"/>
    <w:rsid w:val="00C764BE"/>
    <w:rsid w:val="00C766E5"/>
    <w:rsid w:val="00C76D90"/>
    <w:rsid w:val="00C776A2"/>
    <w:rsid w:val="00C77BC8"/>
    <w:rsid w:val="00C77DC7"/>
    <w:rsid w:val="00C77E45"/>
    <w:rsid w:val="00C8043D"/>
    <w:rsid w:val="00C80953"/>
    <w:rsid w:val="00C8115D"/>
    <w:rsid w:val="00C81BD4"/>
    <w:rsid w:val="00C82376"/>
    <w:rsid w:val="00C82B99"/>
    <w:rsid w:val="00C82D8F"/>
    <w:rsid w:val="00C82E42"/>
    <w:rsid w:val="00C82E7F"/>
    <w:rsid w:val="00C83413"/>
    <w:rsid w:val="00C835D3"/>
    <w:rsid w:val="00C8384F"/>
    <w:rsid w:val="00C83DE1"/>
    <w:rsid w:val="00C83DF9"/>
    <w:rsid w:val="00C83E09"/>
    <w:rsid w:val="00C83EBB"/>
    <w:rsid w:val="00C83F91"/>
    <w:rsid w:val="00C84479"/>
    <w:rsid w:val="00C84519"/>
    <w:rsid w:val="00C847FA"/>
    <w:rsid w:val="00C84B91"/>
    <w:rsid w:val="00C84BF7"/>
    <w:rsid w:val="00C850E5"/>
    <w:rsid w:val="00C855EC"/>
    <w:rsid w:val="00C85847"/>
    <w:rsid w:val="00C86123"/>
    <w:rsid w:val="00C861AB"/>
    <w:rsid w:val="00C8646F"/>
    <w:rsid w:val="00C8647A"/>
    <w:rsid w:val="00C864B3"/>
    <w:rsid w:val="00C86516"/>
    <w:rsid w:val="00C86C62"/>
    <w:rsid w:val="00C875DC"/>
    <w:rsid w:val="00C87820"/>
    <w:rsid w:val="00C87855"/>
    <w:rsid w:val="00C87913"/>
    <w:rsid w:val="00C90341"/>
    <w:rsid w:val="00C90355"/>
    <w:rsid w:val="00C905F7"/>
    <w:rsid w:val="00C90768"/>
    <w:rsid w:val="00C9198F"/>
    <w:rsid w:val="00C91C26"/>
    <w:rsid w:val="00C9210B"/>
    <w:rsid w:val="00C92154"/>
    <w:rsid w:val="00C923D7"/>
    <w:rsid w:val="00C92683"/>
    <w:rsid w:val="00C9285A"/>
    <w:rsid w:val="00C9314E"/>
    <w:rsid w:val="00C93708"/>
    <w:rsid w:val="00C93D30"/>
    <w:rsid w:val="00C9401B"/>
    <w:rsid w:val="00C94139"/>
    <w:rsid w:val="00C9423E"/>
    <w:rsid w:val="00C94492"/>
    <w:rsid w:val="00C946E4"/>
    <w:rsid w:val="00C94844"/>
    <w:rsid w:val="00C94E15"/>
    <w:rsid w:val="00C95035"/>
    <w:rsid w:val="00C953F6"/>
    <w:rsid w:val="00C95503"/>
    <w:rsid w:val="00C9551E"/>
    <w:rsid w:val="00C956DA"/>
    <w:rsid w:val="00C95B18"/>
    <w:rsid w:val="00C95D31"/>
    <w:rsid w:val="00C95E8D"/>
    <w:rsid w:val="00C95F8B"/>
    <w:rsid w:val="00C960F0"/>
    <w:rsid w:val="00C96443"/>
    <w:rsid w:val="00C9678A"/>
    <w:rsid w:val="00C96809"/>
    <w:rsid w:val="00C96A5A"/>
    <w:rsid w:val="00C96B45"/>
    <w:rsid w:val="00C96FF1"/>
    <w:rsid w:val="00C97076"/>
    <w:rsid w:val="00C973BE"/>
    <w:rsid w:val="00C978B5"/>
    <w:rsid w:val="00C978DE"/>
    <w:rsid w:val="00C97D17"/>
    <w:rsid w:val="00CA07B3"/>
    <w:rsid w:val="00CA0885"/>
    <w:rsid w:val="00CA0C0E"/>
    <w:rsid w:val="00CA0FD9"/>
    <w:rsid w:val="00CA121D"/>
    <w:rsid w:val="00CA1244"/>
    <w:rsid w:val="00CA128A"/>
    <w:rsid w:val="00CA17A2"/>
    <w:rsid w:val="00CA1B8E"/>
    <w:rsid w:val="00CA1EBA"/>
    <w:rsid w:val="00CA225D"/>
    <w:rsid w:val="00CA2379"/>
    <w:rsid w:val="00CA2515"/>
    <w:rsid w:val="00CA2545"/>
    <w:rsid w:val="00CA2FB1"/>
    <w:rsid w:val="00CA2FD4"/>
    <w:rsid w:val="00CA359A"/>
    <w:rsid w:val="00CA38C6"/>
    <w:rsid w:val="00CA39F2"/>
    <w:rsid w:val="00CA3A21"/>
    <w:rsid w:val="00CA3AD9"/>
    <w:rsid w:val="00CA3EEE"/>
    <w:rsid w:val="00CA4147"/>
    <w:rsid w:val="00CA44E4"/>
    <w:rsid w:val="00CA453C"/>
    <w:rsid w:val="00CA45E0"/>
    <w:rsid w:val="00CA470F"/>
    <w:rsid w:val="00CA4994"/>
    <w:rsid w:val="00CA4B34"/>
    <w:rsid w:val="00CA4D00"/>
    <w:rsid w:val="00CA4F7C"/>
    <w:rsid w:val="00CA5190"/>
    <w:rsid w:val="00CA5275"/>
    <w:rsid w:val="00CA5709"/>
    <w:rsid w:val="00CA5CA3"/>
    <w:rsid w:val="00CA6044"/>
    <w:rsid w:val="00CA621C"/>
    <w:rsid w:val="00CA6446"/>
    <w:rsid w:val="00CA6828"/>
    <w:rsid w:val="00CA6A72"/>
    <w:rsid w:val="00CA6E32"/>
    <w:rsid w:val="00CA72D0"/>
    <w:rsid w:val="00CA740F"/>
    <w:rsid w:val="00CA74E0"/>
    <w:rsid w:val="00CA7B39"/>
    <w:rsid w:val="00CA7E12"/>
    <w:rsid w:val="00CA7E91"/>
    <w:rsid w:val="00CB007B"/>
    <w:rsid w:val="00CB02A1"/>
    <w:rsid w:val="00CB031E"/>
    <w:rsid w:val="00CB0867"/>
    <w:rsid w:val="00CB0CA5"/>
    <w:rsid w:val="00CB0DE0"/>
    <w:rsid w:val="00CB0E13"/>
    <w:rsid w:val="00CB0E55"/>
    <w:rsid w:val="00CB10E1"/>
    <w:rsid w:val="00CB14A3"/>
    <w:rsid w:val="00CB16DA"/>
    <w:rsid w:val="00CB17DB"/>
    <w:rsid w:val="00CB186C"/>
    <w:rsid w:val="00CB1D3B"/>
    <w:rsid w:val="00CB1F28"/>
    <w:rsid w:val="00CB26F3"/>
    <w:rsid w:val="00CB28CA"/>
    <w:rsid w:val="00CB2937"/>
    <w:rsid w:val="00CB2F0A"/>
    <w:rsid w:val="00CB2F89"/>
    <w:rsid w:val="00CB334E"/>
    <w:rsid w:val="00CB3B8F"/>
    <w:rsid w:val="00CB3C75"/>
    <w:rsid w:val="00CB3F43"/>
    <w:rsid w:val="00CB4376"/>
    <w:rsid w:val="00CB4A9D"/>
    <w:rsid w:val="00CB4D41"/>
    <w:rsid w:val="00CB4F0D"/>
    <w:rsid w:val="00CB541E"/>
    <w:rsid w:val="00CB5540"/>
    <w:rsid w:val="00CB60A2"/>
    <w:rsid w:val="00CB60BE"/>
    <w:rsid w:val="00CB6143"/>
    <w:rsid w:val="00CB63E8"/>
    <w:rsid w:val="00CB66BD"/>
    <w:rsid w:val="00CB66DB"/>
    <w:rsid w:val="00CB67A4"/>
    <w:rsid w:val="00CB699D"/>
    <w:rsid w:val="00CB6B37"/>
    <w:rsid w:val="00CB791A"/>
    <w:rsid w:val="00CB7ABF"/>
    <w:rsid w:val="00CB7E26"/>
    <w:rsid w:val="00CB7E96"/>
    <w:rsid w:val="00CC0013"/>
    <w:rsid w:val="00CC0050"/>
    <w:rsid w:val="00CC0235"/>
    <w:rsid w:val="00CC045A"/>
    <w:rsid w:val="00CC06A5"/>
    <w:rsid w:val="00CC0B68"/>
    <w:rsid w:val="00CC16A4"/>
    <w:rsid w:val="00CC1D8B"/>
    <w:rsid w:val="00CC2438"/>
    <w:rsid w:val="00CC2657"/>
    <w:rsid w:val="00CC2D62"/>
    <w:rsid w:val="00CC2DC1"/>
    <w:rsid w:val="00CC3550"/>
    <w:rsid w:val="00CC3E4C"/>
    <w:rsid w:val="00CC42F1"/>
    <w:rsid w:val="00CC4626"/>
    <w:rsid w:val="00CC47F7"/>
    <w:rsid w:val="00CC4DA9"/>
    <w:rsid w:val="00CC4DCF"/>
    <w:rsid w:val="00CC50D4"/>
    <w:rsid w:val="00CC52B6"/>
    <w:rsid w:val="00CC5546"/>
    <w:rsid w:val="00CC5633"/>
    <w:rsid w:val="00CC5C5E"/>
    <w:rsid w:val="00CC5EDC"/>
    <w:rsid w:val="00CC60A0"/>
    <w:rsid w:val="00CC60DC"/>
    <w:rsid w:val="00CC61B0"/>
    <w:rsid w:val="00CC6662"/>
    <w:rsid w:val="00CC6734"/>
    <w:rsid w:val="00CC75CD"/>
    <w:rsid w:val="00CC7996"/>
    <w:rsid w:val="00CD0300"/>
    <w:rsid w:val="00CD0452"/>
    <w:rsid w:val="00CD0493"/>
    <w:rsid w:val="00CD097E"/>
    <w:rsid w:val="00CD099B"/>
    <w:rsid w:val="00CD0E0F"/>
    <w:rsid w:val="00CD12C0"/>
    <w:rsid w:val="00CD170C"/>
    <w:rsid w:val="00CD2285"/>
    <w:rsid w:val="00CD2944"/>
    <w:rsid w:val="00CD29D9"/>
    <w:rsid w:val="00CD29F4"/>
    <w:rsid w:val="00CD2BF8"/>
    <w:rsid w:val="00CD2E5A"/>
    <w:rsid w:val="00CD2EBC"/>
    <w:rsid w:val="00CD318F"/>
    <w:rsid w:val="00CD32B4"/>
    <w:rsid w:val="00CD33C1"/>
    <w:rsid w:val="00CD3547"/>
    <w:rsid w:val="00CD37BB"/>
    <w:rsid w:val="00CD3F5C"/>
    <w:rsid w:val="00CD3F9A"/>
    <w:rsid w:val="00CD4039"/>
    <w:rsid w:val="00CD409E"/>
    <w:rsid w:val="00CD43ED"/>
    <w:rsid w:val="00CD4402"/>
    <w:rsid w:val="00CD4807"/>
    <w:rsid w:val="00CD4B81"/>
    <w:rsid w:val="00CD4D41"/>
    <w:rsid w:val="00CD5182"/>
    <w:rsid w:val="00CD5493"/>
    <w:rsid w:val="00CD5B2D"/>
    <w:rsid w:val="00CD5FC9"/>
    <w:rsid w:val="00CD61EC"/>
    <w:rsid w:val="00CD6472"/>
    <w:rsid w:val="00CD6538"/>
    <w:rsid w:val="00CD658B"/>
    <w:rsid w:val="00CD65B4"/>
    <w:rsid w:val="00CD6988"/>
    <w:rsid w:val="00CD699A"/>
    <w:rsid w:val="00CD6DBC"/>
    <w:rsid w:val="00CD6E20"/>
    <w:rsid w:val="00CD7096"/>
    <w:rsid w:val="00CD72D9"/>
    <w:rsid w:val="00CD733D"/>
    <w:rsid w:val="00CD742C"/>
    <w:rsid w:val="00CD75B0"/>
    <w:rsid w:val="00CD7897"/>
    <w:rsid w:val="00CD7BB3"/>
    <w:rsid w:val="00CD7D61"/>
    <w:rsid w:val="00CD7E51"/>
    <w:rsid w:val="00CE0268"/>
    <w:rsid w:val="00CE0671"/>
    <w:rsid w:val="00CE06A8"/>
    <w:rsid w:val="00CE06DF"/>
    <w:rsid w:val="00CE0723"/>
    <w:rsid w:val="00CE07DB"/>
    <w:rsid w:val="00CE0C16"/>
    <w:rsid w:val="00CE12AA"/>
    <w:rsid w:val="00CE156E"/>
    <w:rsid w:val="00CE1647"/>
    <w:rsid w:val="00CE1750"/>
    <w:rsid w:val="00CE17F8"/>
    <w:rsid w:val="00CE18CC"/>
    <w:rsid w:val="00CE1993"/>
    <w:rsid w:val="00CE1A80"/>
    <w:rsid w:val="00CE1D37"/>
    <w:rsid w:val="00CE1ECC"/>
    <w:rsid w:val="00CE1EFA"/>
    <w:rsid w:val="00CE1F2A"/>
    <w:rsid w:val="00CE2375"/>
    <w:rsid w:val="00CE2712"/>
    <w:rsid w:val="00CE2908"/>
    <w:rsid w:val="00CE2B8F"/>
    <w:rsid w:val="00CE2BB8"/>
    <w:rsid w:val="00CE3810"/>
    <w:rsid w:val="00CE389A"/>
    <w:rsid w:val="00CE3A70"/>
    <w:rsid w:val="00CE3C65"/>
    <w:rsid w:val="00CE3CEB"/>
    <w:rsid w:val="00CE44D9"/>
    <w:rsid w:val="00CE4A61"/>
    <w:rsid w:val="00CE4C6C"/>
    <w:rsid w:val="00CE4C7F"/>
    <w:rsid w:val="00CE4DD7"/>
    <w:rsid w:val="00CE5C84"/>
    <w:rsid w:val="00CE5EC7"/>
    <w:rsid w:val="00CE5FEF"/>
    <w:rsid w:val="00CE64AC"/>
    <w:rsid w:val="00CE6724"/>
    <w:rsid w:val="00CE69EC"/>
    <w:rsid w:val="00CE6D81"/>
    <w:rsid w:val="00CE744E"/>
    <w:rsid w:val="00CE75A4"/>
    <w:rsid w:val="00CE79B4"/>
    <w:rsid w:val="00CE7B8C"/>
    <w:rsid w:val="00CE7C6B"/>
    <w:rsid w:val="00CE7EA8"/>
    <w:rsid w:val="00CE7EF7"/>
    <w:rsid w:val="00CF00EB"/>
    <w:rsid w:val="00CF0B0C"/>
    <w:rsid w:val="00CF0BF9"/>
    <w:rsid w:val="00CF13BD"/>
    <w:rsid w:val="00CF14A9"/>
    <w:rsid w:val="00CF2131"/>
    <w:rsid w:val="00CF2202"/>
    <w:rsid w:val="00CF2440"/>
    <w:rsid w:val="00CF252E"/>
    <w:rsid w:val="00CF26CD"/>
    <w:rsid w:val="00CF28EE"/>
    <w:rsid w:val="00CF2EAC"/>
    <w:rsid w:val="00CF2EDC"/>
    <w:rsid w:val="00CF32E7"/>
    <w:rsid w:val="00CF3580"/>
    <w:rsid w:val="00CF367F"/>
    <w:rsid w:val="00CF37D2"/>
    <w:rsid w:val="00CF3948"/>
    <w:rsid w:val="00CF3F9C"/>
    <w:rsid w:val="00CF466F"/>
    <w:rsid w:val="00CF46AF"/>
    <w:rsid w:val="00CF53D4"/>
    <w:rsid w:val="00CF5495"/>
    <w:rsid w:val="00CF56FA"/>
    <w:rsid w:val="00CF58FE"/>
    <w:rsid w:val="00CF5AE0"/>
    <w:rsid w:val="00CF5E17"/>
    <w:rsid w:val="00CF6281"/>
    <w:rsid w:val="00CF6373"/>
    <w:rsid w:val="00CF640A"/>
    <w:rsid w:val="00CF67C6"/>
    <w:rsid w:val="00CF684A"/>
    <w:rsid w:val="00CF6A86"/>
    <w:rsid w:val="00CF6C98"/>
    <w:rsid w:val="00CF6CC7"/>
    <w:rsid w:val="00CF6D69"/>
    <w:rsid w:val="00CF72C1"/>
    <w:rsid w:val="00CF776C"/>
    <w:rsid w:val="00CF77AA"/>
    <w:rsid w:val="00CF785C"/>
    <w:rsid w:val="00CF7B78"/>
    <w:rsid w:val="00CF7C03"/>
    <w:rsid w:val="00D0013C"/>
    <w:rsid w:val="00D0038F"/>
    <w:rsid w:val="00D004C1"/>
    <w:rsid w:val="00D00560"/>
    <w:rsid w:val="00D00DED"/>
    <w:rsid w:val="00D00E4C"/>
    <w:rsid w:val="00D00F6F"/>
    <w:rsid w:val="00D010B1"/>
    <w:rsid w:val="00D010E7"/>
    <w:rsid w:val="00D010F5"/>
    <w:rsid w:val="00D011E2"/>
    <w:rsid w:val="00D01350"/>
    <w:rsid w:val="00D01547"/>
    <w:rsid w:val="00D01646"/>
    <w:rsid w:val="00D01AE6"/>
    <w:rsid w:val="00D01BE0"/>
    <w:rsid w:val="00D01C38"/>
    <w:rsid w:val="00D01E4C"/>
    <w:rsid w:val="00D0206E"/>
    <w:rsid w:val="00D02203"/>
    <w:rsid w:val="00D02BC2"/>
    <w:rsid w:val="00D03926"/>
    <w:rsid w:val="00D039DF"/>
    <w:rsid w:val="00D03C81"/>
    <w:rsid w:val="00D04112"/>
    <w:rsid w:val="00D04556"/>
    <w:rsid w:val="00D046CC"/>
    <w:rsid w:val="00D04AA7"/>
    <w:rsid w:val="00D04B7D"/>
    <w:rsid w:val="00D04BA7"/>
    <w:rsid w:val="00D04DB7"/>
    <w:rsid w:val="00D05169"/>
    <w:rsid w:val="00D0524D"/>
    <w:rsid w:val="00D0576E"/>
    <w:rsid w:val="00D05A31"/>
    <w:rsid w:val="00D05BBE"/>
    <w:rsid w:val="00D05E43"/>
    <w:rsid w:val="00D060A9"/>
    <w:rsid w:val="00D062F7"/>
    <w:rsid w:val="00D06366"/>
    <w:rsid w:val="00D0642D"/>
    <w:rsid w:val="00D06726"/>
    <w:rsid w:val="00D06BA9"/>
    <w:rsid w:val="00D06D1A"/>
    <w:rsid w:val="00D06E74"/>
    <w:rsid w:val="00D06EA8"/>
    <w:rsid w:val="00D06EB5"/>
    <w:rsid w:val="00D06F6C"/>
    <w:rsid w:val="00D06F91"/>
    <w:rsid w:val="00D07010"/>
    <w:rsid w:val="00D07148"/>
    <w:rsid w:val="00D07398"/>
    <w:rsid w:val="00D0772C"/>
    <w:rsid w:val="00D07B31"/>
    <w:rsid w:val="00D07B90"/>
    <w:rsid w:val="00D10631"/>
    <w:rsid w:val="00D10BF3"/>
    <w:rsid w:val="00D10CCF"/>
    <w:rsid w:val="00D10EF8"/>
    <w:rsid w:val="00D11297"/>
    <w:rsid w:val="00D1145F"/>
    <w:rsid w:val="00D11543"/>
    <w:rsid w:val="00D1156D"/>
    <w:rsid w:val="00D11B7A"/>
    <w:rsid w:val="00D11D77"/>
    <w:rsid w:val="00D1204C"/>
    <w:rsid w:val="00D121E8"/>
    <w:rsid w:val="00D1249F"/>
    <w:rsid w:val="00D12EAF"/>
    <w:rsid w:val="00D12F89"/>
    <w:rsid w:val="00D1301A"/>
    <w:rsid w:val="00D1307C"/>
    <w:rsid w:val="00D13148"/>
    <w:rsid w:val="00D132AC"/>
    <w:rsid w:val="00D13573"/>
    <w:rsid w:val="00D13890"/>
    <w:rsid w:val="00D13948"/>
    <w:rsid w:val="00D139F5"/>
    <w:rsid w:val="00D13B54"/>
    <w:rsid w:val="00D1403D"/>
    <w:rsid w:val="00D14568"/>
    <w:rsid w:val="00D14ADE"/>
    <w:rsid w:val="00D14DFC"/>
    <w:rsid w:val="00D15153"/>
    <w:rsid w:val="00D156E1"/>
    <w:rsid w:val="00D15798"/>
    <w:rsid w:val="00D15927"/>
    <w:rsid w:val="00D15E8D"/>
    <w:rsid w:val="00D15FE3"/>
    <w:rsid w:val="00D16526"/>
    <w:rsid w:val="00D16994"/>
    <w:rsid w:val="00D16F53"/>
    <w:rsid w:val="00D171D7"/>
    <w:rsid w:val="00D17349"/>
    <w:rsid w:val="00D173D5"/>
    <w:rsid w:val="00D1782E"/>
    <w:rsid w:val="00D17C78"/>
    <w:rsid w:val="00D17F07"/>
    <w:rsid w:val="00D17F0B"/>
    <w:rsid w:val="00D17F2A"/>
    <w:rsid w:val="00D17F59"/>
    <w:rsid w:val="00D20144"/>
    <w:rsid w:val="00D201D8"/>
    <w:rsid w:val="00D205BD"/>
    <w:rsid w:val="00D20F1B"/>
    <w:rsid w:val="00D21036"/>
    <w:rsid w:val="00D213A5"/>
    <w:rsid w:val="00D21666"/>
    <w:rsid w:val="00D2185F"/>
    <w:rsid w:val="00D21C48"/>
    <w:rsid w:val="00D21E99"/>
    <w:rsid w:val="00D21F35"/>
    <w:rsid w:val="00D22028"/>
    <w:rsid w:val="00D220D5"/>
    <w:rsid w:val="00D22581"/>
    <w:rsid w:val="00D225B6"/>
    <w:rsid w:val="00D22BDD"/>
    <w:rsid w:val="00D22BFB"/>
    <w:rsid w:val="00D22D37"/>
    <w:rsid w:val="00D22E4F"/>
    <w:rsid w:val="00D22EC5"/>
    <w:rsid w:val="00D2321D"/>
    <w:rsid w:val="00D232E5"/>
    <w:rsid w:val="00D234F8"/>
    <w:rsid w:val="00D2356B"/>
    <w:rsid w:val="00D235BD"/>
    <w:rsid w:val="00D237F0"/>
    <w:rsid w:val="00D23C1E"/>
    <w:rsid w:val="00D23EEB"/>
    <w:rsid w:val="00D2427A"/>
    <w:rsid w:val="00D2461A"/>
    <w:rsid w:val="00D247EA"/>
    <w:rsid w:val="00D25422"/>
    <w:rsid w:val="00D25448"/>
    <w:rsid w:val="00D2585B"/>
    <w:rsid w:val="00D25A73"/>
    <w:rsid w:val="00D25FFE"/>
    <w:rsid w:val="00D26386"/>
    <w:rsid w:val="00D2685B"/>
    <w:rsid w:val="00D2687A"/>
    <w:rsid w:val="00D269D7"/>
    <w:rsid w:val="00D26D32"/>
    <w:rsid w:val="00D26E1F"/>
    <w:rsid w:val="00D2715B"/>
    <w:rsid w:val="00D2724E"/>
    <w:rsid w:val="00D27650"/>
    <w:rsid w:val="00D27718"/>
    <w:rsid w:val="00D278D8"/>
    <w:rsid w:val="00D27B35"/>
    <w:rsid w:val="00D30871"/>
    <w:rsid w:val="00D3091F"/>
    <w:rsid w:val="00D30A8A"/>
    <w:rsid w:val="00D30E18"/>
    <w:rsid w:val="00D310D4"/>
    <w:rsid w:val="00D31594"/>
    <w:rsid w:val="00D31696"/>
    <w:rsid w:val="00D31742"/>
    <w:rsid w:val="00D3226A"/>
    <w:rsid w:val="00D3234D"/>
    <w:rsid w:val="00D32596"/>
    <w:rsid w:val="00D327FA"/>
    <w:rsid w:val="00D32833"/>
    <w:rsid w:val="00D328CB"/>
    <w:rsid w:val="00D328FC"/>
    <w:rsid w:val="00D32959"/>
    <w:rsid w:val="00D3295B"/>
    <w:rsid w:val="00D329B4"/>
    <w:rsid w:val="00D32E7F"/>
    <w:rsid w:val="00D32EA5"/>
    <w:rsid w:val="00D32F5C"/>
    <w:rsid w:val="00D33185"/>
    <w:rsid w:val="00D333B0"/>
    <w:rsid w:val="00D33449"/>
    <w:rsid w:val="00D33937"/>
    <w:rsid w:val="00D339E1"/>
    <w:rsid w:val="00D33D2C"/>
    <w:rsid w:val="00D340D1"/>
    <w:rsid w:val="00D345BA"/>
    <w:rsid w:val="00D34AF5"/>
    <w:rsid w:val="00D34BD6"/>
    <w:rsid w:val="00D34FEF"/>
    <w:rsid w:val="00D350D5"/>
    <w:rsid w:val="00D356C6"/>
    <w:rsid w:val="00D35D33"/>
    <w:rsid w:val="00D361DB"/>
    <w:rsid w:val="00D36644"/>
    <w:rsid w:val="00D3669C"/>
    <w:rsid w:val="00D37183"/>
    <w:rsid w:val="00D37682"/>
    <w:rsid w:val="00D37A36"/>
    <w:rsid w:val="00D37B48"/>
    <w:rsid w:val="00D37DD6"/>
    <w:rsid w:val="00D400AD"/>
    <w:rsid w:val="00D40102"/>
    <w:rsid w:val="00D405EC"/>
    <w:rsid w:val="00D40EE7"/>
    <w:rsid w:val="00D4108E"/>
    <w:rsid w:val="00D4112C"/>
    <w:rsid w:val="00D4161C"/>
    <w:rsid w:val="00D421EF"/>
    <w:rsid w:val="00D425FE"/>
    <w:rsid w:val="00D42CCB"/>
    <w:rsid w:val="00D43508"/>
    <w:rsid w:val="00D4356F"/>
    <w:rsid w:val="00D43639"/>
    <w:rsid w:val="00D437EF"/>
    <w:rsid w:val="00D43AEC"/>
    <w:rsid w:val="00D43D10"/>
    <w:rsid w:val="00D43D1A"/>
    <w:rsid w:val="00D43E3B"/>
    <w:rsid w:val="00D43F58"/>
    <w:rsid w:val="00D43F6F"/>
    <w:rsid w:val="00D44164"/>
    <w:rsid w:val="00D44622"/>
    <w:rsid w:val="00D44E36"/>
    <w:rsid w:val="00D4505C"/>
    <w:rsid w:val="00D452CE"/>
    <w:rsid w:val="00D454BF"/>
    <w:rsid w:val="00D458F5"/>
    <w:rsid w:val="00D46AAA"/>
    <w:rsid w:val="00D47025"/>
    <w:rsid w:val="00D4707E"/>
    <w:rsid w:val="00D4710B"/>
    <w:rsid w:val="00D47228"/>
    <w:rsid w:val="00D4750C"/>
    <w:rsid w:val="00D47825"/>
    <w:rsid w:val="00D500B8"/>
    <w:rsid w:val="00D50131"/>
    <w:rsid w:val="00D50145"/>
    <w:rsid w:val="00D50750"/>
    <w:rsid w:val="00D50B9D"/>
    <w:rsid w:val="00D50DBB"/>
    <w:rsid w:val="00D511E3"/>
    <w:rsid w:val="00D51280"/>
    <w:rsid w:val="00D5151F"/>
    <w:rsid w:val="00D5184A"/>
    <w:rsid w:val="00D5189A"/>
    <w:rsid w:val="00D5189E"/>
    <w:rsid w:val="00D51C1E"/>
    <w:rsid w:val="00D51E2C"/>
    <w:rsid w:val="00D51E5B"/>
    <w:rsid w:val="00D523D6"/>
    <w:rsid w:val="00D52450"/>
    <w:rsid w:val="00D52494"/>
    <w:rsid w:val="00D5273F"/>
    <w:rsid w:val="00D529BF"/>
    <w:rsid w:val="00D529D6"/>
    <w:rsid w:val="00D52BA5"/>
    <w:rsid w:val="00D52CBE"/>
    <w:rsid w:val="00D53315"/>
    <w:rsid w:val="00D5351E"/>
    <w:rsid w:val="00D53544"/>
    <w:rsid w:val="00D5384A"/>
    <w:rsid w:val="00D53854"/>
    <w:rsid w:val="00D53A61"/>
    <w:rsid w:val="00D53D82"/>
    <w:rsid w:val="00D5425B"/>
    <w:rsid w:val="00D54A89"/>
    <w:rsid w:val="00D54A9E"/>
    <w:rsid w:val="00D54AF9"/>
    <w:rsid w:val="00D5500C"/>
    <w:rsid w:val="00D55055"/>
    <w:rsid w:val="00D5538E"/>
    <w:rsid w:val="00D5552D"/>
    <w:rsid w:val="00D55721"/>
    <w:rsid w:val="00D5594E"/>
    <w:rsid w:val="00D559A8"/>
    <w:rsid w:val="00D55B95"/>
    <w:rsid w:val="00D56491"/>
    <w:rsid w:val="00D564FD"/>
    <w:rsid w:val="00D56562"/>
    <w:rsid w:val="00D56621"/>
    <w:rsid w:val="00D5680A"/>
    <w:rsid w:val="00D56BA0"/>
    <w:rsid w:val="00D56EBA"/>
    <w:rsid w:val="00D56FB4"/>
    <w:rsid w:val="00D570AD"/>
    <w:rsid w:val="00D572CC"/>
    <w:rsid w:val="00D5772F"/>
    <w:rsid w:val="00D577AB"/>
    <w:rsid w:val="00D579D2"/>
    <w:rsid w:val="00D57C84"/>
    <w:rsid w:val="00D57DDF"/>
    <w:rsid w:val="00D603A3"/>
    <w:rsid w:val="00D6042D"/>
    <w:rsid w:val="00D60ABD"/>
    <w:rsid w:val="00D60C4E"/>
    <w:rsid w:val="00D60DDC"/>
    <w:rsid w:val="00D60FA6"/>
    <w:rsid w:val="00D60FE3"/>
    <w:rsid w:val="00D6197D"/>
    <w:rsid w:val="00D61B03"/>
    <w:rsid w:val="00D61B0F"/>
    <w:rsid w:val="00D61B45"/>
    <w:rsid w:val="00D61FE6"/>
    <w:rsid w:val="00D62144"/>
    <w:rsid w:val="00D6248A"/>
    <w:rsid w:val="00D626CC"/>
    <w:rsid w:val="00D62EC2"/>
    <w:rsid w:val="00D62F7A"/>
    <w:rsid w:val="00D63313"/>
    <w:rsid w:val="00D633FA"/>
    <w:rsid w:val="00D63834"/>
    <w:rsid w:val="00D63B4E"/>
    <w:rsid w:val="00D63CC3"/>
    <w:rsid w:val="00D63DB2"/>
    <w:rsid w:val="00D6459E"/>
    <w:rsid w:val="00D64959"/>
    <w:rsid w:val="00D6499E"/>
    <w:rsid w:val="00D64B6E"/>
    <w:rsid w:val="00D64FD6"/>
    <w:rsid w:val="00D65000"/>
    <w:rsid w:val="00D65487"/>
    <w:rsid w:val="00D656BC"/>
    <w:rsid w:val="00D65BA7"/>
    <w:rsid w:val="00D65BBF"/>
    <w:rsid w:val="00D65BD7"/>
    <w:rsid w:val="00D66028"/>
    <w:rsid w:val="00D6611C"/>
    <w:rsid w:val="00D66475"/>
    <w:rsid w:val="00D666B2"/>
    <w:rsid w:val="00D66850"/>
    <w:rsid w:val="00D672F5"/>
    <w:rsid w:val="00D6757B"/>
    <w:rsid w:val="00D67715"/>
    <w:rsid w:val="00D6794C"/>
    <w:rsid w:val="00D70167"/>
    <w:rsid w:val="00D701C3"/>
    <w:rsid w:val="00D7026C"/>
    <w:rsid w:val="00D70503"/>
    <w:rsid w:val="00D70EDD"/>
    <w:rsid w:val="00D712CE"/>
    <w:rsid w:val="00D717EE"/>
    <w:rsid w:val="00D7212C"/>
    <w:rsid w:val="00D72325"/>
    <w:rsid w:val="00D72591"/>
    <w:rsid w:val="00D7298C"/>
    <w:rsid w:val="00D72DAB"/>
    <w:rsid w:val="00D72E01"/>
    <w:rsid w:val="00D72EB6"/>
    <w:rsid w:val="00D72EE4"/>
    <w:rsid w:val="00D72F4B"/>
    <w:rsid w:val="00D733DE"/>
    <w:rsid w:val="00D734B8"/>
    <w:rsid w:val="00D734BE"/>
    <w:rsid w:val="00D73503"/>
    <w:rsid w:val="00D73505"/>
    <w:rsid w:val="00D739DC"/>
    <w:rsid w:val="00D73A9D"/>
    <w:rsid w:val="00D73BBB"/>
    <w:rsid w:val="00D73DA4"/>
    <w:rsid w:val="00D741AC"/>
    <w:rsid w:val="00D741BC"/>
    <w:rsid w:val="00D74711"/>
    <w:rsid w:val="00D748A8"/>
    <w:rsid w:val="00D74B60"/>
    <w:rsid w:val="00D74FC3"/>
    <w:rsid w:val="00D7527F"/>
    <w:rsid w:val="00D752D0"/>
    <w:rsid w:val="00D75388"/>
    <w:rsid w:val="00D75615"/>
    <w:rsid w:val="00D7565F"/>
    <w:rsid w:val="00D758B1"/>
    <w:rsid w:val="00D7592B"/>
    <w:rsid w:val="00D7607A"/>
    <w:rsid w:val="00D7637F"/>
    <w:rsid w:val="00D76D62"/>
    <w:rsid w:val="00D76EAA"/>
    <w:rsid w:val="00D76EED"/>
    <w:rsid w:val="00D77BE6"/>
    <w:rsid w:val="00D77E18"/>
    <w:rsid w:val="00D8005D"/>
    <w:rsid w:val="00D800D3"/>
    <w:rsid w:val="00D8081F"/>
    <w:rsid w:val="00D809F8"/>
    <w:rsid w:val="00D80CB1"/>
    <w:rsid w:val="00D81274"/>
    <w:rsid w:val="00D81529"/>
    <w:rsid w:val="00D81832"/>
    <w:rsid w:val="00D8195F"/>
    <w:rsid w:val="00D81A3B"/>
    <w:rsid w:val="00D81A7A"/>
    <w:rsid w:val="00D81BFB"/>
    <w:rsid w:val="00D81DEC"/>
    <w:rsid w:val="00D81EF9"/>
    <w:rsid w:val="00D81F7D"/>
    <w:rsid w:val="00D81F8D"/>
    <w:rsid w:val="00D82006"/>
    <w:rsid w:val="00D82299"/>
    <w:rsid w:val="00D82472"/>
    <w:rsid w:val="00D8256C"/>
    <w:rsid w:val="00D827A1"/>
    <w:rsid w:val="00D82B5A"/>
    <w:rsid w:val="00D8325B"/>
    <w:rsid w:val="00D832E7"/>
    <w:rsid w:val="00D833E7"/>
    <w:rsid w:val="00D83538"/>
    <w:rsid w:val="00D8387E"/>
    <w:rsid w:val="00D83FA3"/>
    <w:rsid w:val="00D84290"/>
    <w:rsid w:val="00D8433F"/>
    <w:rsid w:val="00D8474F"/>
    <w:rsid w:val="00D8498A"/>
    <w:rsid w:val="00D849BE"/>
    <w:rsid w:val="00D84CCB"/>
    <w:rsid w:val="00D851D9"/>
    <w:rsid w:val="00D85409"/>
    <w:rsid w:val="00D85895"/>
    <w:rsid w:val="00D8598F"/>
    <w:rsid w:val="00D85B09"/>
    <w:rsid w:val="00D866FA"/>
    <w:rsid w:val="00D86C42"/>
    <w:rsid w:val="00D86D27"/>
    <w:rsid w:val="00D870B7"/>
    <w:rsid w:val="00D870E4"/>
    <w:rsid w:val="00D870F2"/>
    <w:rsid w:val="00D877A6"/>
    <w:rsid w:val="00D87B41"/>
    <w:rsid w:val="00D87BAE"/>
    <w:rsid w:val="00D87E2A"/>
    <w:rsid w:val="00D90289"/>
    <w:rsid w:val="00D90988"/>
    <w:rsid w:val="00D90F6B"/>
    <w:rsid w:val="00D911C9"/>
    <w:rsid w:val="00D9145B"/>
    <w:rsid w:val="00D915D7"/>
    <w:rsid w:val="00D9169D"/>
    <w:rsid w:val="00D9170C"/>
    <w:rsid w:val="00D917B5"/>
    <w:rsid w:val="00D91922"/>
    <w:rsid w:val="00D91A9D"/>
    <w:rsid w:val="00D91B74"/>
    <w:rsid w:val="00D922C6"/>
    <w:rsid w:val="00D92454"/>
    <w:rsid w:val="00D924E4"/>
    <w:rsid w:val="00D926D0"/>
    <w:rsid w:val="00D92783"/>
    <w:rsid w:val="00D92963"/>
    <w:rsid w:val="00D929C8"/>
    <w:rsid w:val="00D92FE2"/>
    <w:rsid w:val="00D931B8"/>
    <w:rsid w:val="00D93544"/>
    <w:rsid w:val="00D938E7"/>
    <w:rsid w:val="00D93977"/>
    <w:rsid w:val="00D93B53"/>
    <w:rsid w:val="00D93F54"/>
    <w:rsid w:val="00D93F8E"/>
    <w:rsid w:val="00D9438E"/>
    <w:rsid w:val="00D94560"/>
    <w:rsid w:val="00D94698"/>
    <w:rsid w:val="00D946AD"/>
    <w:rsid w:val="00D9484E"/>
    <w:rsid w:val="00D94B0D"/>
    <w:rsid w:val="00D94C37"/>
    <w:rsid w:val="00D94CF4"/>
    <w:rsid w:val="00D950A3"/>
    <w:rsid w:val="00D950E2"/>
    <w:rsid w:val="00D95378"/>
    <w:rsid w:val="00D95585"/>
    <w:rsid w:val="00D955D0"/>
    <w:rsid w:val="00D956FD"/>
    <w:rsid w:val="00D9594C"/>
    <w:rsid w:val="00D95BB9"/>
    <w:rsid w:val="00D95BF2"/>
    <w:rsid w:val="00D95D01"/>
    <w:rsid w:val="00D95EA5"/>
    <w:rsid w:val="00D95F5B"/>
    <w:rsid w:val="00D966A8"/>
    <w:rsid w:val="00D96707"/>
    <w:rsid w:val="00D96A13"/>
    <w:rsid w:val="00D96B71"/>
    <w:rsid w:val="00D96B7D"/>
    <w:rsid w:val="00D96CA1"/>
    <w:rsid w:val="00D96D40"/>
    <w:rsid w:val="00D96EE2"/>
    <w:rsid w:val="00D970F2"/>
    <w:rsid w:val="00D973DB"/>
    <w:rsid w:val="00D97BBC"/>
    <w:rsid w:val="00D97F67"/>
    <w:rsid w:val="00DA02D5"/>
    <w:rsid w:val="00DA034F"/>
    <w:rsid w:val="00DA0443"/>
    <w:rsid w:val="00DA0876"/>
    <w:rsid w:val="00DA0B8F"/>
    <w:rsid w:val="00DA0C39"/>
    <w:rsid w:val="00DA1042"/>
    <w:rsid w:val="00DA121C"/>
    <w:rsid w:val="00DA16AB"/>
    <w:rsid w:val="00DA1AE0"/>
    <w:rsid w:val="00DA226C"/>
    <w:rsid w:val="00DA2379"/>
    <w:rsid w:val="00DA25AE"/>
    <w:rsid w:val="00DA2736"/>
    <w:rsid w:val="00DA2FCE"/>
    <w:rsid w:val="00DA3173"/>
    <w:rsid w:val="00DA3422"/>
    <w:rsid w:val="00DA36FB"/>
    <w:rsid w:val="00DA37E0"/>
    <w:rsid w:val="00DA3A52"/>
    <w:rsid w:val="00DA3F35"/>
    <w:rsid w:val="00DA4061"/>
    <w:rsid w:val="00DA465C"/>
    <w:rsid w:val="00DA498A"/>
    <w:rsid w:val="00DA4F1D"/>
    <w:rsid w:val="00DA4F3E"/>
    <w:rsid w:val="00DA50A3"/>
    <w:rsid w:val="00DA51B8"/>
    <w:rsid w:val="00DA5223"/>
    <w:rsid w:val="00DA527A"/>
    <w:rsid w:val="00DA57FF"/>
    <w:rsid w:val="00DA5918"/>
    <w:rsid w:val="00DA5957"/>
    <w:rsid w:val="00DA5A7F"/>
    <w:rsid w:val="00DA662D"/>
    <w:rsid w:val="00DA69BA"/>
    <w:rsid w:val="00DA6E45"/>
    <w:rsid w:val="00DA737F"/>
    <w:rsid w:val="00DA779A"/>
    <w:rsid w:val="00DA77FB"/>
    <w:rsid w:val="00DA7A8C"/>
    <w:rsid w:val="00DA7C31"/>
    <w:rsid w:val="00DA7C43"/>
    <w:rsid w:val="00DA7DC7"/>
    <w:rsid w:val="00DA7EED"/>
    <w:rsid w:val="00DA7FB6"/>
    <w:rsid w:val="00DB01CA"/>
    <w:rsid w:val="00DB02F7"/>
    <w:rsid w:val="00DB098D"/>
    <w:rsid w:val="00DB0EEF"/>
    <w:rsid w:val="00DB1377"/>
    <w:rsid w:val="00DB1B79"/>
    <w:rsid w:val="00DB1CFC"/>
    <w:rsid w:val="00DB1ECB"/>
    <w:rsid w:val="00DB1FD1"/>
    <w:rsid w:val="00DB2048"/>
    <w:rsid w:val="00DB2065"/>
    <w:rsid w:val="00DB236D"/>
    <w:rsid w:val="00DB2490"/>
    <w:rsid w:val="00DB2519"/>
    <w:rsid w:val="00DB270C"/>
    <w:rsid w:val="00DB2754"/>
    <w:rsid w:val="00DB2879"/>
    <w:rsid w:val="00DB291F"/>
    <w:rsid w:val="00DB2E3E"/>
    <w:rsid w:val="00DB355C"/>
    <w:rsid w:val="00DB364C"/>
    <w:rsid w:val="00DB3707"/>
    <w:rsid w:val="00DB37B8"/>
    <w:rsid w:val="00DB3D12"/>
    <w:rsid w:val="00DB3D1A"/>
    <w:rsid w:val="00DB3FDD"/>
    <w:rsid w:val="00DB4128"/>
    <w:rsid w:val="00DB4376"/>
    <w:rsid w:val="00DB4490"/>
    <w:rsid w:val="00DB4A63"/>
    <w:rsid w:val="00DB4B70"/>
    <w:rsid w:val="00DB506A"/>
    <w:rsid w:val="00DB5208"/>
    <w:rsid w:val="00DB5388"/>
    <w:rsid w:val="00DB564C"/>
    <w:rsid w:val="00DB591B"/>
    <w:rsid w:val="00DB5B66"/>
    <w:rsid w:val="00DB5DDC"/>
    <w:rsid w:val="00DB5E38"/>
    <w:rsid w:val="00DB5ED2"/>
    <w:rsid w:val="00DB6004"/>
    <w:rsid w:val="00DB65BF"/>
    <w:rsid w:val="00DB668D"/>
    <w:rsid w:val="00DB6C19"/>
    <w:rsid w:val="00DB7106"/>
    <w:rsid w:val="00DB7637"/>
    <w:rsid w:val="00DB7655"/>
    <w:rsid w:val="00DB779F"/>
    <w:rsid w:val="00DB7894"/>
    <w:rsid w:val="00DB7954"/>
    <w:rsid w:val="00DC006B"/>
    <w:rsid w:val="00DC0299"/>
    <w:rsid w:val="00DC078A"/>
    <w:rsid w:val="00DC07E9"/>
    <w:rsid w:val="00DC0AB7"/>
    <w:rsid w:val="00DC0DF8"/>
    <w:rsid w:val="00DC0F43"/>
    <w:rsid w:val="00DC11B2"/>
    <w:rsid w:val="00DC1223"/>
    <w:rsid w:val="00DC1C86"/>
    <w:rsid w:val="00DC1E5D"/>
    <w:rsid w:val="00DC1E5F"/>
    <w:rsid w:val="00DC2217"/>
    <w:rsid w:val="00DC22CB"/>
    <w:rsid w:val="00DC2486"/>
    <w:rsid w:val="00DC24C8"/>
    <w:rsid w:val="00DC2B2F"/>
    <w:rsid w:val="00DC2DAE"/>
    <w:rsid w:val="00DC2DFB"/>
    <w:rsid w:val="00DC3062"/>
    <w:rsid w:val="00DC33C6"/>
    <w:rsid w:val="00DC361A"/>
    <w:rsid w:val="00DC3764"/>
    <w:rsid w:val="00DC384D"/>
    <w:rsid w:val="00DC391C"/>
    <w:rsid w:val="00DC44BF"/>
    <w:rsid w:val="00DC44FB"/>
    <w:rsid w:val="00DC4592"/>
    <w:rsid w:val="00DC4793"/>
    <w:rsid w:val="00DC48D1"/>
    <w:rsid w:val="00DC4AD0"/>
    <w:rsid w:val="00DC4DCB"/>
    <w:rsid w:val="00DC4FAC"/>
    <w:rsid w:val="00DC540E"/>
    <w:rsid w:val="00DC55ED"/>
    <w:rsid w:val="00DC56EB"/>
    <w:rsid w:val="00DC59F0"/>
    <w:rsid w:val="00DC62E4"/>
    <w:rsid w:val="00DC67E8"/>
    <w:rsid w:val="00DC6AF0"/>
    <w:rsid w:val="00DC6DA2"/>
    <w:rsid w:val="00DC72AE"/>
    <w:rsid w:val="00DC78DC"/>
    <w:rsid w:val="00DC7A72"/>
    <w:rsid w:val="00DC7B26"/>
    <w:rsid w:val="00DD04EA"/>
    <w:rsid w:val="00DD0E10"/>
    <w:rsid w:val="00DD1159"/>
    <w:rsid w:val="00DD1354"/>
    <w:rsid w:val="00DD152C"/>
    <w:rsid w:val="00DD15BE"/>
    <w:rsid w:val="00DD187E"/>
    <w:rsid w:val="00DD19F5"/>
    <w:rsid w:val="00DD2171"/>
    <w:rsid w:val="00DD22F7"/>
    <w:rsid w:val="00DD24C5"/>
    <w:rsid w:val="00DD26C2"/>
    <w:rsid w:val="00DD2C05"/>
    <w:rsid w:val="00DD2C71"/>
    <w:rsid w:val="00DD30AC"/>
    <w:rsid w:val="00DD3340"/>
    <w:rsid w:val="00DD3534"/>
    <w:rsid w:val="00DD35E8"/>
    <w:rsid w:val="00DD3B7C"/>
    <w:rsid w:val="00DD444B"/>
    <w:rsid w:val="00DD493E"/>
    <w:rsid w:val="00DD4D00"/>
    <w:rsid w:val="00DD4D1F"/>
    <w:rsid w:val="00DD55F4"/>
    <w:rsid w:val="00DD5779"/>
    <w:rsid w:val="00DD593D"/>
    <w:rsid w:val="00DD59DC"/>
    <w:rsid w:val="00DD5D58"/>
    <w:rsid w:val="00DD6125"/>
    <w:rsid w:val="00DD6243"/>
    <w:rsid w:val="00DD628F"/>
    <w:rsid w:val="00DD68B6"/>
    <w:rsid w:val="00DD69DA"/>
    <w:rsid w:val="00DD6C13"/>
    <w:rsid w:val="00DD6EF4"/>
    <w:rsid w:val="00DD7045"/>
    <w:rsid w:val="00DD720E"/>
    <w:rsid w:val="00DD7311"/>
    <w:rsid w:val="00DD7352"/>
    <w:rsid w:val="00DD74BB"/>
    <w:rsid w:val="00DD791E"/>
    <w:rsid w:val="00DE015B"/>
    <w:rsid w:val="00DE0719"/>
    <w:rsid w:val="00DE0A87"/>
    <w:rsid w:val="00DE0C92"/>
    <w:rsid w:val="00DE0FE5"/>
    <w:rsid w:val="00DE1431"/>
    <w:rsid w:val="00DE1622"/>
    <w:rsid w:val="00DE170D"/>
    <w:rsid w:val="00DE186F"/>
    <w:rsid w:val="00DE1B9B"/>
    <w:rsid w:val="00DE1F52"/>
    <w:rsid w:val="00DE2084"/>
    <w:rsid w:val="00DE20E8"/>
    <w:rsid w:val="00DE23D8"/>
    <w:rsid w:val="00DE2503"/>
    <w:rsid w:val="00DE29F2"/>
    <w:rsid w:val="00DE29F9"/>
    <w:rsid w:val="00DE2A8C"/>
    <w:rsid w:val="00DE2E5A"/>
    <w:rsid w:val="00DE300C"/>
    <w:rsid w:val="00DE3091"/>
    <w:rsid w:val="00DE3403"/>
    <w:rsid w:val="00DE37BC"/>
    <w:rsid w:val="00DE3845"/>
    <w:rsid w:val="00DE39B5"/>
    <w:rsid w:val="00DE3C95"/>
    <w:rsid w:val="00DE3CA7"/>
    <w:rsid w:val="00DE3E27"/>
    <w:rsid w:val="00DE4070"/>
    <w:rsid w:val="00DE4285"/>
    <w:rsid w:val="00DE46E5"/>
    <w:rsid w:val="00DE4AAB"/>
    <w:rsid w:val="00DE51B8"/>
    <w:rsid w:val="00DE52D2"/>
    <w:rsid w:val="00DE571C"/>
    <w:rsid w:val="00DE5953"/>
    <w:rsid w:val="00DE5B19"/>
    <w:rsid w:val="00DE5C87"/>
    <w:rsid w:val="00DE6158"/>
    <w:rsid w:val="00DE68E4"/>
    <w:rsid w:val="00DE6948"/>
    <w:rsid w:val="00DE6F00"/>
    <w:rsid w:val="00DE7360"/>
    <w:rsid w:val="00DE76CB"/>
    <w:rsid w:val="00DE7B20"/>
    <w:rsid w:val="00DF05C7"/>
    <w:rsid w:val="00DF0770"/>
    <w:rsid w:val="00DF091A"/>
    <w:rsid w:val="00DF0E20"/>
    <w:rsid w:val="00DF1080"/>
    <w:rsid w:val="00DF1424"/>
    <w:rsid w:val="00DF18C9"/>
    <w:rsid w:val="00DF197D"/>
    <w:rsid w:val="00DF19AC"/>
    <w:rsid w:val="00DF1AF1"/>
    <w:rsid w:val="00DF1B61"/>
    <w:rsid w:val="00DF22FA"/>
    <w:rsid w:val="00DF253C"/>
    <w:rsid w:val="00DF2654"/>
    <w:rsid w:val="00DF279E"/>
    <w:rsid w:val="00DF2A19"/>
    <w:rsid w:val="00DF313A"/>
    <w:rsid w:val="00DF39C3"/>
    <w:rsid w:val="00DF3A00"/>
    <w:rsid w:val="00DF3A4A"/>
    <w:rsid w:val="00DF3A9B"/>
    <w:rsid w:val="00DF3FDC"/>
    <w:rsid w:val="00DF41FB"/>
    <w:rsid w:val="00DF4491"/>
    <w:rsid w:val="00DF4A00"/>
    <w:rsid w:val="00DF4F52"/>
    <w:rsid w:val="00DF4FF8"/>
    <w:rsid w:val="00DF52E3"/>
    <w:rsid w:val="00DF5314"/>
    <w:rsid w:val="00DF5422"/>
    <w:rsid w:val="00DF56D0"/>
    <w:rsid w:val="00DF57E8"/>
    <w:rsid w:val="00DF5876"/>
    <w:rsid w:val="00DF5913"/>
    <w:rsid w:val="00DF5A9D"/>
    <w:rsid w:val="00DF5D61"/>
    <w:rsid w:val="00DF5EAA"/>
    <w:rsid w:val="00DF621F"/>
    <w:rsid w:val="00DF633C"/>
    <w:rsid w:val="00DF6A62"/>
    <w:rsid w:val="00DF751B"/>
    <w:rsid w:val="00DF7620"/>
    <w:rsid w:val="00DF7703"/>
    <w:rsid w:val="00DF7888"/>
    <w:rsid w:val="00DF7DCE"/>
    <w:rsid w:val="00DF7DF7"/>
    <w:rsid w:val="00E00170"/>
    <w:rsid w:val="00E00248"/>
    <w:rsid w:val="00E0084C"/>
    <w:rsid w:val="00E009CB"/>
    <w:rsid w:val="00E00A78"/>
    <w:rsid w:val="00E00B7D"/>
    <w:rsid w:val="00E00D3E"/>
    <w:rsid w:val="00E011C5"/>
    <w:rsid w:val="00E01506"/>
    <w:rsid w:val="00E01564"/>
    <w:rsid w:val="00E015AC"/>
    <w:rsid w:val="00E0189F"/>
    <w:rsid w:val="00E018C5"/>
    <w:rsid w:val="00E0193F"/>
    <w:rsid w:val="00E01B8C"/>
    <w:rsid w:val="00E01D5D"/>
    <w:rsid w:val="00E021B8"/>
    <w:rsid w:val="00E02326"/>
    <w:rsid w:val="00E02553"/>
    <w:rsid w:val="00E029DB"/>
    <w:rsid w:val="00E02DCA"/>
    <w:rsid w:val="00E03180"/>
    <w:rsid w:val="00E0334E"/>
    <w:rsid w:val="00E036D7"/>
    <w:rsid w:val="00E04306"/>
    <w:rsid w:val="00E0434F"/>
    <w:rsid w:val="00E04FBB"/>
    <w:rsid w:val="00E052A7"/>
    <w:rsid w:val="00E05331"/>
    <w:rsid w:val="00E05B8B"/>
    <w:rsid w:val="00E05BB6"/>
    <w:rsid w:val="00E05CB2"/>
    <w:rsid w:val="00E06507"/>
    <w:rsid w:val="00E0696B"/>
    <w:rsid w:val="00E06A34"/>
    <w:rsid w:val="00E06BFB"/>
    <w:rsid w:val="00E06C8B"/>
    <w:rsid w:val="00E06D6F"/>
    <w:rsid w:val="00E06E78"/>
    <w:rsid w:val="00E06F56"/>
    <w:rsid w:val="00E0726C"/>
    <w:rsid w:val="00E0749A"/>
    <w:rsid w:val="00E0766D"/>
    <w:rsid w:val="00E076B2"/>
    <w:rsid w:val="00E07FB6"/>
    <w:rsid w:val="00E109E7"/>
    <w:rsid w:val="00E10DDE"/>
    <w:rsid w:val="00E10E51"/>
    <w:rsid w:val="00E1124E"/>
    <w:rsid w:val="00E113D5"/>
    <w:rsid w:val="00E120F7"/>
    <w:rsid w:val="00E1268A"/>
    <w:rsid w:val="00E126F7"/>
    <w:rsid w:val="00E1278E"/>
    <w:rsid w:val="00E12F2F"/>
    <w:rsid w:val="00E130BB"/>
    <w:rsid w:val="00E1326C"/>
    <w:rsid w:val="00E13612"/>
    <w:rsid w:val="00E13664"/>
    <w:rsid w:val="00E13A68"/>
    <w:rsid w:val="00E13E0A"/>
    <w:rsid w:val="00E13E43"/>
    <w:rsid w:val="00E13EF0"/>
    <w:rsid w:val="00E140EA"/>
    <w:rsid w:val="00E14297"/>
    <w:rsid w:val="00E142C9"/>
    <w:rsid w:val="00E1463B"/>
    <w:rsid w:val="00E14DB5"/>
    <w:rsid w:val="00E14F2A"/>
    <w:rsid w:val="00E14F3D"/>
    <w:rsid w:val="00E1545B"/>
    <w:rsid w:val="00E1549D"/>
    <w:rsid w:val="00E154D1"/>
    <w:rsid w:val="00E15611"/>
    <w:rsid w:val="00E15AA3"/>
    <w:rsid w:val="00E15BC7"/>
    <w:rsid w:val="00E15BED"/>
    <w:rsid w:val="00E15E81"/>
    <w:rsid w:val="00E15F2E"/>
    <w:rsid w:val="00E164A7"/>
    <w:rsid w:val="00E165CF"/>
    <w:rsid w:val="00E17467"/>
    <w:rsid w:val="00E17AFC"/>
    <w:rsid w:val="00E17BA5"/>
    <w:rsid w:val="00E17C11"/>
    <w:rsid w:val="00E17CDC"/>
    <w:rsid w:val="00E2021C"/>
    <w:rsid w:val="00E20745"/>
    <w:rsid w:val="00E20CF4"/>
    <w:rsid w:val="00E20F4D"/>
    <w:rsid w:val="00E211DD"/>
    <w:rsid w:val="00E21428"/>
    <w:rsid w:val="00E2148A"/>
    <w:rsid w:val="00E21782"/>
    <w:rsid w:val="00E217AC"/>
    <w:rsid w:val="00E21889"/>
    <w:rsid w:val="00E21952"/>
    <w:rsid w:val="00E21C3D"/>
    <w:rsid w:val="00E21EA5"/>
    <w:rsid w:val="00E21FE6"/>
    <w:rsid w:val="00E22696"/>
    <w:rsid w:val="00E22A31"/>
    <w:rsid w:val="00E22A80"/>
    <w:rsid w:val="00E22E0C"/>
    <w:rsid w:val="00E23261"/>
    <w:rsid w:val="00E23298"/>
    <w:rsid w:val="00E235F5"/>
    <w:rsid w:val="00E237D1"/>
    <w:rsid w:val="00E237DC"/>
    <w:rsid w:val="00E23F6E"/>
    <w:rsid w:val="00E2437E"/>
    <w:rsid w:val="00E244C3"/>
    <w:rsid w:val="00E247E1"/>
    <w:rsid w:val="00E24953"/>
    <w:rsid w:val="00E24E94"/>
    <w:rsid w:val="00E25692"/>
    <w:rsid w:val="00E25828"/>
    <w:rsid w:val="00E25C62"/>
    <w:rsid w:val="00E25D6E"/>
    <w:rsid w:val="00E26215"/>
    <w:rsid w:val="00E2663A"/>
    <w:rsid w:val="00E266B2"/>
    <w:rsid w:val="00E26C20"/>
    <w:rsid w:val="00E26D52"/>
    <w:rsid w:val="00E26DA7"/>
    <w:rsid w:val="00E26DDF"/>
    <w:rsid w:val="00E26EFC"/>
    <w:rsid w:val="00E27672"/>
    <w:rsid w:val="00E276D2"/>
    <w:rsid w:val="00E279D9"/>
    <w:rsid w:val="00E27A2A"/>
    <w:rsid w:val="00E27C53"/>
    <w:rsid w:val="00E301A1"/>
    <w:rsid w:val="00E30CEB"/>
    <w:rsid w:val="00E30D95"/>
    <w:rsid w:val="00E30F93"/>
    <w:rsid w:val="00E3101D"/>
    <w:rsid w:val="00E31051"/>
    <w:rsid w:val="00E316D8"/>
    <w:rsid w:val="00E3198A"/>
    <w:rsid w:val="00E32190"/>
    <w:rsid w:val="00E32366"/>
    <w:rsid w:val="00E32424"/>
    <w:rsid w:val="00E325AA"/>
    <w:rsid w:val="00E32738"/>
    <w:rsid w:val="00E32E84"/>
    <w:rsid w:val="00E337D3"/>
    <w:rsid w:val="00E33ACA"/>
    <w:rsid w:val="00E33E6A"/>
    <w:rsid w:val="00E3461E"/>
    <w:rsid w:val="00E34D78"/>
    <w:rsid w:val="00E34E62"/>
    <w:rsid w:val="00E35099"/>
    <w:rsid w:val="00E358CF"/>
    <w:rsid w:val="00E35A55"/>
    <w:rsid w:val="00E35BAD"/>
    <w:rsid w:val="00E35BC5"/>
    <w:rsid w:val="00E36169"/>
    <w:rsid w:val="00E36366"/>
    <w:rsid w:val="00E366D0"/>
    <w:rsid w:val="00E3672D"/>
    <w:rsid w:val="00E36C27"/>
    <w:rsid w:val="00E36E52"/>
    <w:rsid w:val="00E37044"/>
    <w:rsid w:val="00E37109"/>
    <w:rsid w:val="00E37172"/>
    <w:rsid w:val="00E375D0"/>
    <w:rsid w:val="00E378C9"/>
    <w:rsid w:val="00E37F87"/>
    <w:rsid w:val="00E402E4"/>
    <w:rsid w:val="00E40341"/>
    <w:rsid w:val="00E40635"/>
    <w:rsid w:val="00E4124C"/>
    <w:rsid w:val="00E41638"/>
    <w:rsid w:val="00E41829"/>
    <w:rsid w:val="00E41A89"/>
    <w:rsid w:val="00E41B23"/>
    <w:rsid w:val="00E41B98"/>
    <w:rsid w:val="00E41D24"/>
    <w:rsid w:val="00E41D4C"/>
    <w:rsid w:val="00E41DAA"/>
    <w:rsid w:val="00E4218C"/>
    <w:rsid w:val="00E422DC"/>
    <w:rsid w:val="00E424A1"/>
    <w:rsid w:val="00E425BB"/>
    <w:rsid w:val="00E42784"/>
    <w:rsid w:val="00E42998"/>
    <w:rsid w:val="00E42D0B"/>
    <w:rsid w:val="00E43406"/>
    <w:rsid w:val="00E434B2"/>
    <w:rsid w:val="00E439A9"/>
    <w:rsid w:val="00E43D78"/>
    <w:rsid w:val="00E43E0A"/>
    <w:rsid w:val="00E43ED8"/>
    <w:rsid w:val="00E44064"/>
    <w:rsid w:val="00E444BB"/>
    <w:rsid w:val="00E444FB"/>
    <w:rsid w:val="00E449A9"/>
    <w:rsid w:val="00E44B53"/>
    <w:rsid w:val="00E44C6F"/>
    <w:rsid w:val="00E44D27"/>
    <w:rsid w:val="00E44D63"/>
    <w:rsid w:val="00E44D87"/>
    <w:rsid w:val="00E4509C"/>
    <w:rsid w:val="00E45172"/>
    <w:rsid w:val="00E4543C"/>
    <w:rsid w:val="00E45488"/>
    <w:rsid w:val="00E45866"/>
    <w:rsid w:val="00E45CC6"/>
    <w:rsid w:val="00E45DDA"/>
    <w:rsid w:val="00E45DDD"/>
    <w:rsid w:val="00E45F41"/>
    <w:rsid w:val="00E461F6"/>
    <w:rsid w:val="00E4675C"/>
    <w:rsid w:val="00E46898"/>
    <w:rsid w:val="00E46D94"/>
    <w:rsid w:val="00E47683"/>
    <w:rsid w:val="00E476D7"/>
    <w:rsid w:val="00E47714"/>
    <w:rsid w:val="00E47D2A"/>
    <w:rsid w:val="00E47E7E"/>
    <w:rsid w:val="00E50195"/>
    <w:rsid w:val="00E501ED"/>
    <w:rsid w:val="00E504BB"/>
    <w:rsid w:val="00E50643"/>
    <w:rsid w:val="00E50E25"/>
    <w:rsid w:val="00E50F51"/>
    <w:rsid w:val="00E512FB"/>
    <w:rsid w:val="00E51CC6"/>
    <w:rsid w:val="00E522F4"/>
    <w:rsid w:val="00E5268E"/>
    <w:rsid w:val="00E52A39"/>
    <w:rsid w:val="00E52A6C"/>
    <w:rsid w:val="00E52EDC"/>
    <w:rsid w:val="00E52FCA"/>
    <w:rsid w:val="00E5311C"/>
    <w:rsid w:val="00E5389F"/>
    <w:rsid w:val="00E54038"/>
    <w:rsid w:val="00E5409A"/>
    <w:rsid w:val="00E544AF"/>
    <w:rsid w:val="00E54665"/>
    <w:rsid w:val="00E547A4"/>
    <w:rsid w:val="00E54A16"/>
    <w:rsid w:val="00E55060"/>
    <w:rsid w:val="00E552DB"/>
    <w:rsid w:val="00E55DB7"/>
    <w:rsid w:val="00E55E8A"/>
    <w:rsid w:val="00E56455"/>
    <w:rsid w:val="00E564B4"/>
    <w:rsid w:val="00E56647"/>
    <w:rsid w:val="00E5691D"/>
    <w:rsid w:val="00E56BAC"/>
    <w:rsid w:val="00E56D1B"/>
    <w:rsid w:val="00E56EC3"/>
    <w:rsid w:val="00E572FF"/>
    <w:rsid w:val="00E57352"/>
    <w:rsid w:val="00E57B40"/>
    <w:rsid w:val="00E57E1B"/>
    <w:rsid w:val="00E57ECA"/>
    <w:rsid w:val="00E60017"/>
    <w:rsid w:val="00E600BB"/>
    <w:rsid w:val="00E60126"/>
    <w:rsid w:val="00E60332"/>
    <w:rsid w:val="00E603E3"/>
    <w:rsid w:val="00E609F8"/>
    <w:rsid w:val="00E60BD2"/>
    <w:rsid w:val="00E61173"/>
    <w:rsid w:val="00E61A45"/>
    <w:rsid w:val="00E61AEC"/>
    <w:rsid w:val="00E61B57"/>
    <w:rsid w:val="00E62174"/>
    <w:rsid w:val="00E62358"/>
    <w:rsid w:val="00E63D14"/>
    <w:rsid w:val="00E64839"/>
    <w:rsid w:val="00E64A11"/>
    <w:rsid w:val="00E64A7C"/>
    <w:rsid w:val="00E64B7B"/>
    <w:rsid w:val="00E64C7D"/>
    <w:rsid w:val="00E651AB"/>
    <w:rsid w:val="00E65291"/>
    <w:rsid w:val="00E6565C"/>
    <w:rsid w:val="00E656CC"/>
    <w:rsid w:val="00E65977"/>
    <w:rsid w:val="00E65A26"/>
    <w:rsid w:val="00E65D1E"/>
    <w:rsid w:val="00E65F18"/>
    <w:rsid w:val="00E65F71"/>
    <w:rsid w:val="00E660DB"/>
    <w:rsid w:val="00E6619D"/>
    <w:rsid w:val="00E66A4B"/>
    <w:rsid w:val="00E66C34"/>
    <w:rsid w:val="00E66DDE"/>
    <w:rsid w:val="00E66EAD"/>
    <w:rsid w:val="00E6700D"/>
    <w:rsid w:val="00E67390"/>
    <w:rsid w:val="00E673F7"/>
    <w:rsid w:val="00E678ED"/>
    <w:rsid w:val="00E679B9"/>
    <w:rsid w:val="00E67B31"/>
    <w:rsid w:val="00E67BF3"/>
    <w:rsid w:val="00E7013C"/>
    <w:rsid w:val="00E70558"/>
    <w:rsid w:val="00E705A2"/>
    <w:rsid w:val="00E705CC"/>
    <w:rsid w:val="00E705D4"/>
    <w:rsid w:val="00E7088F"/>
    <w:rsid w:val="00E70A51"/>
    <w:rsid w:val="00E70B58"/>
    <w:rsid w:val="00E70C08"/>
    <w:rsid w:val="00E70C37"/>
    <w:rsid w:val="00E70E56"/>
    <w:rsid w:val="00E70F4F"/>
    <w:rsid w:val="00E710BE"/>
    <w:rsid w:val="00E711C6"/>
    <w:rsid w:val="00E7152B"/>
    <w:rsid w:val="00E717C4"/>
    <w:rsid w:val="00E71A4A"/>
    <w:rsid w:val="00E71D26"/>
    <w:rsid w:val="00E71F57"/>
    <w:rsid w:val="00E71FC9"/>
    <w:rsid w:val="00E7215F"/>
    <w:rsid w:val="00E72516"/>
    <w:rsid w:val="00E72728"/>
    <w:rsid w:val="00E727F1"/>
    <w:rsid w:val="00E72B92"/>
    <w:rsid w:val="00E72F24"/>
    <w:rsid w:val="00E72F5B"/>
    <w:rsid w:val="00E732BA"/>
    <w:rsid w:val="00E73AB6"/>
    <w:rsid w:val="00E73E19"/>
    <w:rsid w:val="00E73F96"/>
    <w:rsid w:val="00E7405A"/>
    <w:rsid w:val="00E745DE"/>
    <w:rsid w:val="00E7482B"/>
    <w:rsid w:val="00E74A99"/>
    <w:rsid w:val="00E74FB7"/>
    <w:rsid w:val="00E7523F"/>
    <w:rsid w:val="00E752EF"/>
    <w:rsid w:val="00E75319"/>
    <w:rsid w:val="00E75414"/>
    <w:rsid w:val="00E75724"/>
    <w:rsid w:val="00E758CC"/>
    <w:rsid w:val="00E759CA"/>
    <w:rsid w:val="00E75B04"/>
    <w:rsid w:val="00E75E52"/>
    <w:rsid w:val="00E75FE6"/>
    <w:rsid w:val="00E76492"/>
    <w:rsid w:val="00E76766"/>
    <w:rsid w:val="00E76886"/>
    <w:rsid w:val="00E76992"/>
    <w:rsid w:val="00E76E0A"/>
    <w:rsid w:val="00E76E63"/>
    <w:rsid w:val="00E76EC6"/>
    <w:rsid w:val="00E77097"/>
    <w:rsid w:val="00E77678"/>
    <w:rsid w:val="00E77C2E"/>
    <w:rsid w:val="00E800AA"/>
    <w:rsid w:val="00E802D6"/>
    <w:rsid w:val="00E80338"/>
    <w:rsid w:val="00E80982"/>
    <w:rsid w:val="00E80AB0"/>
    <w:rsid w:val="00E80AB3"/>
    <w:rsid w:val="00E80D04"/>
    <w:rsid w:val="00E81455"/>
    <w:rsid w:val="00E8158B"/>
    <w:rsid w:val="00E8183F"/>
    <w:rsid w:val="00E81E5F"/>
    <w:rsid w:val="00E8223A"/>
    <w:rsid w:val="00E82662"/>
    <w:rsid w:val="00E8280F"/>
    <w:rsid w:val="00E82ED6"/>
    <w:rsid w:val="00E82F1C"/>
    <w:rsid w:val="00E83221"/>
    <w:rsid w:val="00E833A2"/>
    <w:rsid w:val="00E837A1"/>
    <w:rsid w:val="00E83DD1"/>
    <w:rsid w:val="00E84157"/>
    <w:rsid w:val="00E841AD"/>
    <w:rsid w:val="00E84267"/>
    <w:rsid w:val="00E843E2"/>
    <w:rsid w:val="00E845CC"/>
    <w:rsid w:val="00E84988"/>
    <w:rsid w:val="00E84AAD"/>
    <w:rsid w:val="00E84C11"/>
    <w:rsid w:val="00E84EC7"/>
    <w:rsid w:val="00E851CD"/>
    <w:rsid w:val="00E85292"/>
    <w:rsid w:val="00E852A3"/>
    <w:rsid w:val="00E85590"/>
    <w:rsid w:val="00E85B22"/>
    <w:rsid w:val="00E85B98"/>
    <w:rsid w:val="00E85D8A"/>
    <w:rsid w:val="00E86A01"/>
    <w:rsid w:val="00E86C16"/>
    <w:rsid w:val="00E86FF5"/>
    <w:rsid w:val="00E871B2"/>
    <w:rsid w:val="00E87D5C"/>
    <w:rsid w:val="00E90104"/>
    <w:rsid w:val="00E90437"/>
    <w:rsid w:val="00E91222"/>
    <w:rsid w:val="00E915BB"/>
    <w:rsid w:val="00E91867"/>
    <w:rsid w:val="00E91974"/>
    <w:rsid w:val="00E91CE7"/>
    <w:rsid w:val="00E91E01"/>
    <w:rsid w:val="00E92118"/>
    <w:rsid w:val="00E92326"/>
    <w:rsid w:val="00E92587"/>
    <w:rsid w:val="00E92679"/>
    <w:rsid w:val="00E926FF"/>
    <w:rsid w:val="00E92B79"/>
    <w:rsid w:val="00E92F0D"/>
    <w:rsid w:val="00E9311B"/>
    <w:rsid w:val="00E93125"/>
    <w:rsid w:val="00E9315D"/>
    <w:rsid w:val="00E93A25"/>
    <w:rsid w:val="00E93BCF"/>
    <w:rsid w:val="00E93BE1"/>
    <w:rsid w:val="00E93CB9"/>
    <w:rsid w:val="00E93FDA"/>
    <w:rsid w:val="00E9421A"/>
    <w:rsid w:val="00E948B9"/>
    <w:rsid w:val="00E949A5"/>
    <w:rsid w:val="00E94D2C"/>
    <w:rsid w:val="00E94DE1"/>
    <w:rsid w:val="00E94E48"/>
    <w:rsid w:val="00E9501E"/>
    <w:rsid w:val="00E9509C"/>
    <w:rsid w:val="00E951BF"/>
    <w:rsid w:val="00E95820"/>
    <w:rsid w:val="00E9584D"/>
    <w:rsid w:val="00E95A7E"/>
    <w:rsid w:val="00E95E85"/>
    <w:rsid w:val="00E95F44"/>
    <w:rsid w:val="00E96066"/>
    <w:rsid w:val="00E9629F"/>
    <w:rsid w:val="00E9640B"/>
    <w:rsid w:val="00E96AF8"/>
    <w:rsid w:val="00E96B50"/>
    <w:rsid w:val="00E974B6"/>
    <w:rsid w:val="00E978C7"/>
    <w:rsid w:val="00E97CC1"/>
    <w:rsid w:val="00E97D93"/>
    <w:rsid w:val="00E97E57"/>
    <w:rsid w:val="00E97F0B"/>
    <w:rsid w:val="00EA0725"/>
    <w:rsid w:val="00EA0737"/>
    <w:rsid w:val="00EA0812"/>
    <w:rsid w:val="00EA0A0D"/>
    <w:rsid w:val="00EA0D2C"/>
    <w:rsid w:val="00EA116F"/>
    <w:rsid w:val="00EA17CD"/>
    <w:rsid w:val="00EA1D5D"/>
    <w:rsid w:val="00EA1E83"/>
    <w:rsid w:val="00EA24CB"/>
    <w:rsid w:val="00EA2529"/>
    <w:rsid w:val="00EA3281"/>
    <w:rsid w:val="00EA334F"/>
    <w:rsid w:val="00EA3508"/>
    <w:rsid w:val="00EA3614"/>
    <w:rsid w:val="00EA373C"/>
    <w:rsid w:val="00EA4340"/>
    <w:rsid w:val="00EA4549"/>
    <w:rsid w:val="00EA491F"/>
    <w:rsid w:val="00EA4B82"/>
    <w:rsid w:val="00EA4E8F"/>
    <w:rsid w:val="00EA506F"/>
    <w:rsid w:val="00EA5181"/>
    <w:rsid w:val="00EA5228"/>
    <w:rsid w:val="00EA55CF"/>
    <w:rsid w:val="00EA5995"/>
    <w:rsid w:val="00EA5B65"/>
    <w:rsid w:val="00EA607A"/>
    <w:rsid w:val="00EA69D1"/>
    <w:rsid w:val="00EA6B9C"/>
    <w:rsid w:val="00EA7046"/>
    <w:rsid w:val="00EA7404"/>
    <w:rsid w:val="00EA7902"/>
    <w:rsid w:val="00EA7979"/>
    <w:rsid w:val="00EA7A05"/>
    <w:rsid w:val="00EA7B05"/>
    <w:rsid w:val="00EA7EC5"/>
    <w:rsid w:val="00EA7F16"/>
    <w:rsid w:val="00EB0338"/>
    <w:rsid w:val="00EB049D"/>
    <w:rsid w:val="00EB0AB9"/>
    <w:rsid w:val="00EB0AC0"/>
    <w:rsid w:val="00EB0B15"/>
    <w:rsid w:val="00EB104B"/>
    <w:rsid w:val="00EB11FE"/>
    <w:rsid w:val="00EB141A"/>
    <w:rsid w:val="00EB149F"/>
    <w:rsid w:val="00EB1A89"/>
    <w:rsid w:val="00EB1BA2"/>
    <w:rsid w:val="00EB1DEF"/>
    <w:rsid w:val="00EB2037"/>
    <w:rsid w:val="00EB2716"/>
    <w:rsid w:val="00EB2A7F"/>
    <w:rsid w:val="00EB2C10"/>
    <w:rsid w:val="00EB2C30"/>
    <w:rsid w:val="00EB2D82"/>
    <w:rsid w:val="00EB335B"/>
    <w:rsid w:val="00EB3477"/>
    <w:rsid w:val="00EB35AE"/>
    <w:rsid w:val="00EB39FF"/>
    <w:rsid w:val="00EB3C11"/>
    <w:rsid w:val="00EB3CBD"/>
    <w:rsid w:val="00EB3F14"/>
    <w:rsid w:val="00EB421F"/>
    <w:rsid w:val="00EB431B"/>
    <w:rsid w:val="00EB443E"/>
    <w:rsid w:val="00EB4739"/>
    <w:rsid w:val="00EB4922"/>
    <w:rsid w:val="00EB4BCE"/>
    <w:rsid w:val="00EB4C00"/>
    <w:rsid w:val="00EB536D"/>
    <w:rsid w:val="00EB55A7"/>
    <w:rsid w:val="00EB5753"/>
    <w:rsid w:val="00EB5B23"/>
    <w:rsid w:val="00EB5C43"/>
    <w:rsid w:val="00EB5ECF"/>
    <w:rsid w:val="00EB5F79"/>
    <w:rsid w:val="00EB6079"/>
    <w:rsid w:val="00EB60D2"/>
    <w:rsid w:val="00EB6716"/>
    <w:rsid w:val="00EB6B9B"/>
    <w:rsid w:val="00EB7098"/>
    <w:rsid w:val="00EB74C5"/>
    <w:rsid w:val="00EC00FB"/>
    <w:rsid w:val="00EC0458"/>
    <w:rsid w:val="00EC0A81"/>
    <w:rsid w:val="00EC0CA7"/>
    <w:rsid w:val="00EC0DBF"/>
    <w:rsid w:val="00EC0FB0"/>
    <w:rsid w:val="00EC1733"/>
    <w:rsid w:val="00EC1FA5"/>
    <w:rsid w:val="00EC2423"/>
    <w:rsid w:val="00EC2604"/>
    <w:rsid w:val="00EC2767"/>
    <w:rsid w:val="00EC288E"/>
    <w:rsid w:val="00EC2D58"/>
    <w:rsid w:val="00EC2E68"/>
    <w:rsid w:val="00EC2F5D"/>
    <w:rsid w:val="00EC31D2"/>
    <w:rsid w:val="00EC3333"/>
    <w:rsid w:val="00EC3395"/>
    <w:rsid w:val="00EC3630"/>
    <w:rsid w:val="00EC3D45"/>
    <w:rsid w:val="00EC3D9D"/>
    <w:rsid w:val="00EC4212"/>
    <w:rsid w:val="00EC439D"/>
    <w:rsid w:val="00EC43D6"/>
    <w:rsid w:val="00EC43FD"/>
    <w:rsid w:val="00EC4753"/>
    <w:rsid w:val="00EC49A0"/>
    <w:rsid w:val="00EC5072"/>
    <w:rsid w:val="00EC523B"/>
    <w:rsid w:val="00EC525F"/>
    <w:rsid w:val="00EC57F9"/>
    <w:rsid w:val="00EC591E"/>
    <w:rsid w:val="00EC5BCD"/>
    <w:rsid w:val="00EC5D80"/>
    <w:rsid w:val="00EC5E95"/>
    <w:rsid w:val="00EC633A"/>
    <w:rsid w:val="00EC669A"/>
    <w:rsid w:val="00EC69D4"/>
    <w:rsid w:val="00EC6F8C"/>
    <w:rsid w:val="00EC7081"/>
    <w:rsid w:val="00EC773B"/>
    <w:rsid w:val="00EC7DFE"/>
    <w:rsid w:val="00EC7E71"/>
    <w:rsid w:val="00ED071F"/>
    <w:rsid w:val="00ED077C"/>
    <w:rsid w:val="00ED0905"/>
    <w:rsid w:val="00ED0A84"/>
    <w:rsid w:val="00ED0D92"/>
    <w:rsid w:val="00ED0E27"/>
    <w:rsid w:val="00ED148D"/>
    <w:rsid w:val="00ED16F5"/>
    <w:rsid w:val="00ED1737"/>
    <w:rsid w:val="00ED1799"/>
    <w:rsid w:val="00ED186A"/>
    <w:rsid w:val="00ED1D17"/>
    <w:rsid w:val="00ED1D9B"/>
    <w:rsid w:val="00ED1EFF"/>
    <w:rsid w:val="00ED1F01"/>
    <w:rsid w:val="00ED1F3D"/>
    <w:rsid w:val="00ED2162"/>
    <w:rsid w:val="00ED22B6"/>
    <w:rsid w:val="00ED2420"/>
    <w:rsid w:val="00ED26CA"/>
    <w:rsid w:val="00ED28E6"/>
    <w:rsid w:val="00ED290C"/>
    <w:rsid w:val="00ED2DD4"/>
    <w:rsid w:val="00ED326C"/>
    <w:rsid w:val="00ED3327"/>
    <w:rsid w:val="00ED33C0"/>
    <w:rsid w:val="00ED37AA"/>
    <w:rsid w:val="00ED399F"/>
    <w:rsid w:val="00ED3B93"/>
    <w:rsid w:val="00ED3D39"/>
    <w:rsid w:val="00ED3D71"/>
    <w:rsid w:val="00ED3F6C"/>
    <w:rsid w:val="00ED3F9F"/>
    <w:rsid w:val="00ED43D8"/>
    <w:rsid w:val="00ED480A"/>
    <w:rsid w:val="00ED4BB6"/>
    <w:rsid w:val="00ED55AD"/>
    <w:rsid w:val="00ED563E"/>
    <w:rsid w:val="00ED5F63"/>
    <w:rsid w:val="00ED6179"/>
    <w:rsid w:val="00ED64B6"/>
    <w:rsid w:val="00ED6610"/>
    <w:rsid w:val="00ED6A07"/>
    <w:rsid w:val="00ED6A9D"/>
    <w:rsid w:val="00ED713F"/>
    <w:rsid w:val="00ED72F0"/>
    <w:rsid w:val="00ED75B2"/>
    <w:rsid w:val="00ED7AC8"/>
    <w:rsid w:val="00ED7B8A"/>
    <w:rsid w:val="00ED7BB2"/>
    <w:rsid w:val="00ED7D5F"/>
    <w:rsid w:val="00EE007A"/>
    <w:rsid w:val="00EE044B"/>
    <w:rsid w:val="00EE0806"/>
    <w:rsid w:val="00EE0F35"/>
    <w:rsid w:val="00EE0FA6"/>
    <w:rsid w:val="00EE1142"/>
    <w:rsid w:val="00EE1594"/>
    <w:rsid w:val="00EE1F81"/>
    <w:rsid w:val="00EE1FAA"/>
    <w:rsid w:val="00EE21A2"/>
    <w:rsid w:val="00EE21E8"/>
    <w:rsid w:val="00EE2215"/>
    <w:rsid w:val="00EE244C"/>
    <w:rsid w:val="00EE24D3"/>
    <w:rsid w:val="00EE2EE4"/>
    <w:rsid w:val="00EE3327"/>
    <w:rsid w:val="00EE348F"/>
    <w:rsid w:val="00EE36AF"/>
    <w:rsid w:val="00EE36C6"/>
    <w:rsid w:val="00EE3925"/>
    <w:rsid w:val="00EE3A00"/>
    <w:rsid w:val="00EE3E1B"/>
    <w:rsid w:val="00EE402B"/>
    <w:rsid w:val="00EE406D"/>
    <w:rsid w:val="00EE469D"/>
    <w:rsid w:val="00EE46F4"/>
    <w:rsid w:val="00EE47B3"/>
    <w:rsid w:val="00EE4B85"/>
    <w:rsid w:val="00EE4CF0"/>
    <w:rsid w:val="00EE50A4"/>
    <w:rsid w:val="00EE521D"/>
    <w:rsid w:val="00EE5FA9"/>
    <w:rsid w:val="00EE60FB"/>
    <w:rsid w:val="00EE61CA"/>
    <w:rsid w:val="00EE6276"/>
    <w:rsid w:val="00EE6632"/>
    <w:rsid w:val="00EE6AA1"/>
    <w:rsid w:val="00EE6B90"/>
    <w:rsid w:val="00EE6C12"/>
    <w:rsid w:val="00EE714C"/>
    <w:rsid w:val="00EE772A"/>
    <w:rsid w:val="00EE7836"/>
    <w:rsid w:val="00EE7F2E"/>
    <w:rsid w:val="00EF01CE"/>
    <w:rsid w:val="00EF028F"/>
    <w:rsid w:val="00EF04C4"/>
    <w:rsid w:val="00EF061D"/>
    <w:rsid w:val="00EF06D9"/>
    <w:rsid w:val="00EF081E"/>
    <w:rsid w:val="00EF0C4B"/>
    <w:rsid w:val="00EF11E5"/>
    <w:rsid w:val="00EF146E"/>
    <w:rsid w:val="00EF15D9"/>
    <w:rsid w:val="00EF1621"/>
    <w:rsid w:val="00EF16BE"/>
    <w:rsid w:val="00EF199D"/>
    <w:rsid w:val="00EF1B03"/>
    <w:rsid w:val="00EF1E22"/>
    <w:rsid w:val="00EF203E"/>
    <w:rsid w:val="00EF2125"/>
    <w:rsid w:val="00EF2DB4"/>
    <w:rsid w:val="00EF2E4C"/>
    <w:rsid w:val="00EF30B9"/>
    <w:rsid w:val="00EF32DC"/>
    <w:rsid w:val="00EF363E"/>
    <w:rsid w:val="00EF36DA"/>
    <w:rsid w:val="00EF3AA0"/>
    <w:rsid w:val="00EF3F0B"/>
    <w:rsid w:val="00EF46D8"/>
    <w:rsid w:val="00EF4E6A"/>
    <w:rsid w:val="00EF4F33"/>
    <w:rsid w:val="00EF5142"/>
    <w:rsid w:val="00EF51E7"/>
    <w:rsid w:val="00EF5203"/>
    <w:rsid w:val="00EF5221"/>
    <w:rsid w:val="00EF57D3"/>
    <w:rsid w:val="00EF59D3"/>
    <w:rsid w:val="00EF5B59"/>
    <w:rsid w:val="00EF603D"/>
    <w:rsid w:val="00EF608D"/>
    <w:rsid w:val="00EF6221"/>
    <w:rsid w:val="00EF62F7"/>
    <w:rsid w:val="00EF635B"/>
    <w:rsid w:val="00EF6437"/>
    <w:rsid w:val="00EF66D7"/>
    <w:rsid w:val="00EF6CEE"/>
    <w:rsid w:val="00EF6FCB"/>
    <w:rsid w:val="00EF7581"/>
    <w:rsid w:val="00EF7932"/>
    <w:rsid w:val="00EF7B63"/>
    <w:rsid w:val="00EF7C1C"/>
    <w:rsid w:val="00F003B1"/>
    <w:rsid w:val="00F00C2C"/>
    <w:rsid w:val="00F00C97"/>
    <w:rsid w:val="00F01375"/>
    <w:rsid w:val="00F0142A"/>
    <w:rsid w:val="00F01E48"/>
    <w:rsid w:val="00F01E5B"/>
    <w:rsid w:val="00F0216B"/>
    <w:rsid w:val="00F022D8"/>
    <w:rsid w:val="00F02322"/>
    <w:rsid w:val="00F023F0"/>
    <w:rsid w:val="00F02877"/>
    <w:rsid w:val="00F028AB"/>
    <w:rsid w:val="00F029A4"/>
    <w:rsid w:val="00F02CD0"/>
    <w:rsid w:val="00F02E1F"/>
    <w:rsid w:val="00F03016"/>
    <w:rsid w:val="00F032CE"/>
    <w:rsid w:val="00F0351E"/>
    <w:rsid w:val="00F038F5"/>
    <w:rsid w:val="00F03B81"/>
    <w:rsid w:val="00F03BEE"/>
    <w:rsid w:val="00F03C8C"/>
    <w:rsid w:val="00F03E13"/>
    <w:rsid w:val="00F03F17"/>
    <w:rsid w:val="00F04312"/>
    <w:rsid w:val="00F0450A"/>
    <w:rsid w:val="00F045A4"/>
    <w:rsid w:val="00F04734"/>
    <w:rsid w:val="00F04743"/>
    <w:rsid w:val="00F05068"/>
    <w:rsid w:val="00F053AC"/>
    <w:rsid w:val="00F05D0E"/>
    <w:rsid w:val="00F060F8"/>
    <w:rsid w:val="00F06400"/>
    <w:rsid w:val="00F06659"/>
    <w:rsid w:val="00F0671C"/>
    <w:rsid w:val="00F0680F"/>
    <w:rsid w:val="00F06B41"/>
    <w:rsid w:val="00F06C8F"/>
    <w:rsid w:val="00F06E64"/>
    <w:rsid w:val="00F074C1"/>
    <w:rsid w:val="00F07991"/>
    <w:rsid w:val="00F07D21"/>
    <w:rsid w:val="00F10146"/>
    <w:rsid w:val="00F1037B"/>
    <w:rsid w:val="00F1044D"/>
    <w:rsid w:val="00F107E9"/>
    <w:rsid w:val="00F10824"/>
    <w:rsid w:val="00F1083A"/>
    <w:rsid w:val="00F10AF6"/>
    <w:rsid w:val="00F10C1A"/>
    <w:rsid w:val="00F10D2E"/>
    <w:rsid w:val="00F10D6E"/>
    <w:rsid w:val="00F1159B"/>
    <w:rsid w:val="00F116E4"/>
    <w:rsid w:val="00F11881"/>
    <w:rsid w:val="00F118E6"/>
    <w:rsid w:val="00F119E8"/>
    <w:rsid w:val="00F11BC5"/>
    <w:rsid w:val="00F11EDA"/>
    <w:rsid w:val="00F1208E"/>
    <w:rsid w:val="00F12247"/>
    <w:rsid w:val="00F12536"/>
    <w:rsid w:val="00F12D1A"/>
    <w:rsid w:val="00F12DB7"/>
    <w:rsid w:val="00F12FB4"/>
    <w:rsid w:val="00F13244"/>
    <w:rsid w:val="00F136E0"/>
    <w:rsid w:val="00F13B4A"/>
    <w:rsid w:val="00F14A72"/>
    <w:rsid w:val="00F14B21"/>
    <w:rsid w:val="00F14EA2"/>
    <w:rsid w:val="00F14F09"/>
    <w:rsid w:val="00F150B3"/>
    <w:rsid w:val="00F15207"/>
    <w:rsid w:val="00F152A9"/>
    <w:rsid w:val="00F15648"/>
    <w:rsid w:val="00F156AE"/>
    <w:rsid w:val="00F15745"/>
    <w:rsid w:val="00F15751"/>
    <w:rsid w:val="00F15A3A"/>
    <w:rsid w:val="00F15D3F"/>
    <w:rsid w:val="00F15E3F"/>
    <w:rsid w:val="00F16377"/>
    <w:rsid w:val="00F164B7"/>
    <w:rsid w:val="00F164C9"/>
    <w:rsid w:val="00F165F2"/>
    <w:rsid w:val="00F16871"/>
    <w:rsid w:val="00F16ECC"/>
    <w:rsid w:val="00F16F23"/>
    <w:rsid w:val="00F1705D"/>
    <w:rsid w:val="00F17252"/>
    <w:rsid w:val="00F172EB"/>
    <w:rsid w:val="00F172F9"/>
    <w:rsid w:val="00F174A2"/>
    <w:rsid w:val="00F17522"/>
    <w:rsid w:val="00F176EC"/>
    <w:rsid w:val="00F17ABD"/>
    <w:rsid w:val="00F17B19"/>
    <w:rsid w:val="00F17C01"/>
    <w:rsid w:val="00F17F8E"/>
    <w:rsid w:val="00F20453"/>
    <w:rsid w:val="00F20689"/>
    <w:rsid w:val="00F2077E"/>
    <w:rsid w:val="00F2091D"/>
    <w:rsid w:val="00F20A62"/>
    <w:rsid w:val="00F20DAB"/>
    <w:rsid w:val="00F21272"/>
    <w:rsid w:val="00F2157A"/>
    <w:rsid w:val="00F21E50"/>
    <w:rsid w:val="00F21FB1"/>
    <w:rsid w:val="00F22104"/>
    <w:rsid w:val="00F2223E"/>
    <w:rsid w:val="00F224A3"/>
    <w:rsid w:val="00F22909"/>
    <w:rsid w:val="00F229FC"/>
    <w:rsid w:val="00F22CD8"/>
    <w:rsid w:val="00F22DFC"/>
    <w:rsid w:val="00F22FE8"/>
    <w:rsid w:val="00F23523"/>
    <w:rsid w:val="00F23690"/>
    <w:rsid w:val="00F2378E"/>
    <w:rsid w:val="00F23FF6"/>
    <w:rsid w:val="00F243E5"/>
    <w:rsid w:val="00F244BA"/>
    <w:rsid w:val="00F24A44"/>
    <w:rsid w:val="00F24C1C"/>
    <w:rsid w:val="00F24DEB"/>
    <w:rsid w:val="00F2500B"/>
    <w:rsid w:val="00F2503E"/>
    <w:rsid w:val="00F25543"/>
    <w:rsid w:val="00F25623"/>
    <w:rsid w:val="00F25682"/>
    <w:rsid w:val="00F259E2"/>
    <w:rsid w:val="00F25A6F"/>
    <w:rsid w:val="00F25AD7"/>
    <w:rsid w:val="00F25EA4"/>
    <w:rsid w:val="00F263F0"/>
    <w:rsid w:val="00F26890"/>
    <w:rsid w:val="00F26977"/>
    <w:rsid w:val="00F272B7"/>
    <w:rsid w:val="00F2783B"/>
    <w:rsid w:val="00F308A8"/>
    <w:rsid w:val="00F30C47"/>
    <w:rsid w:val="00F30CB2"/>
    <w:rsid w:val="00F31664"/>
    <w:rsid w:val="00F3172E"/>
    <w:rsid w:val="00F31A87"/>
    <w:rsid w:val="00F3218B"/>
    <w:rsid w:val="00F322A2"/>
    <w:rsid w:val="00F32319"/>
    <w:rsid w:val="00F3232B"/>
    <w:rsid w:val="00F334B0"/>
    <w:rsid w:val="00F33891"/>
    <w:rsid w:val="00F33908"/>
    <w:rsid w:val="00F33F12"/>
    <w:rsid w:val="00F346B2"/>
    <w:rsid w:val="00F34728"/>
    <w:rsid w:val="00F34B19"/>
    <w:rsid w:val="00F34B8C"/>
    <w:rsid w:val="00F34BB4"/>
    <w:rsid w:val="00F34EF8"/>
    <w:rsid w:val="00F35047"/>
    <w:rsid w:val="00F350BE"/>
    <w:rsid w:val="00F35138"/>
    <w:rsid w:val="00F3573D"/>
    <w:rsid w:val="00F35C79"/>
    <w:rsid w:val="00F35DCA"/>
    <w:rsid w:val="00F35FC6"/>
    <w:rsid w:val="00F36281"/>
    <w:rsid w:val="00F362BE"/>
    <w:rsid w:val="00F362C0"/>
    <w:rsid w:val="00F36645"/>
    <w:rsid w:val="00F367C2"/>
    <w:rsid w:val="00F36821"/>
    <w:rsid w:val="00F36881"/>
    <w:rsid w:val="00F3735A"/>
    <w:rsid w:val="00F37AD5"/>
    <w:rsid w:val="00F37E50"/>
    <w:rsid w:val="00F4057A"/>
    <w:rsid w:val="00F40C01"/>
    <w:rsid w:val="00F41130"/>
    <w:rsid w:val="00F41197"/>
    <w:rsid w:val="00F413B4"/>
    <w:rsid w:val="00F41564"/>
    <w:rsid w:val="00F417AC"/>
    <w:rsid w:val="00F418FF"/>
    <w:rsid w:val="00F41AE7"/>
    <w:rsid w:val="00F41C7E"/>
    <w:rsid w:val="00F41F2C"/>
    <w:rsid w:val="00F4216C"/>
    <w:rsid w:val="00F424A6"/>
    <w:rsid w:val="00F42509"/>
    <w:rsid w:val="00F425AB"/>
    <w:rsid w:val="00F4269D"/>
    <w:rsid w:val="00F4295B"/>
    <w:rsid w:val="00F42CE2"/>
    <w:rsid w:val="00F42F9A"/>
    <w:rsid w:val="00F43323"/>
    <w:rsid w:val="00F4357C"/>
    <w:rsid w:val="00F43A66"/>
    <w:rsid w:val="00F43C36"/>
    <w:rsid w:val="00F43EC5"/>
    <w:rsid w:val="00F44316"/>
    <w:rsid w:val="00F4477D"/>
    <w:rsid w:val="00F44965"/>
    <w:rsid w:val="00F459BC"/>
    <w:rsid w:val="00F45C2B"/>
    <w:rsid w:val="00F460C9"/>
    <w:rsid w:val="00F46181"/>
    <w:rsid w:val="00F46494"/>
    <w:rsid w:val="00F46779"/>
    <w:rsid w:val="00F46855"/>
    <w:rsid w:val="00F46898"/>
    <w:rsid w:val="00F47083"/>
    <w:rsid w:val="00F47116"/>
    <w:rsid w:val="00F47271"/>
    <w:rsid w:val="00F472A5"/>
    <w:rsid w:val="00F47359"/>
    <w:rsid w:val="00F477F0"/>
    <w:rsid w:val="00F47870"/>
    <w:rsid w:val="00F47F85"/>
    <w:rsid w:val="00F50197"/>
    <w:rsid w:val="00F50720"/>
    <w:rsid w:val="00F507C8"/>
    <w:rsid w:val="00F507D8"/>
    <w:rsid w:val="00F50BD0"/>
    <w:rsid w:val="00F51562"/>
    <w:rsid w:val="00F5162A"/>
    <w:rsid w:val="00F517E1"/>
    <w:rsid w:val="00F51C1E"/>
    <w:rsid w:val="00F51C40"/>
    <w:rsid w:val="00F522DF"/>
    <w:rsid w:val="00F52A3F"/>
    <w:rsid w:val="00F52A93"/>
    <w:rsid w:val="00F52D7A"/>
    <w:rsid w:val="00F52DA8"/>
    <w:rsid w:val="00F52E19"/>
    <w:rsid w:val="00F53081"/>
    <w:rsid w:val="00F5338D"/>
    <w:rsid w:val="00F533FF"/>
    <w:rsid w:val="00F538A3"/>
    <w:rsid w:val="00F53B86"/>
    <w:rsid w:val="00F53FF2"/>
    <w:rsid w:val="00F54178"/>
    <w:rsid w:val="00F54286"/>
    <w:rsid w:val="00F5466A"/>
    <w:rsid w:val="00F546D5"/>
    <w:rsid w:val="00F54830"/>
    <w:rsid w:val="00F549BC"/>
    <w:rsid w:val="00F54C5A"/>
    <w:rsid w:val="00F54F39"/>
    <w:rsid w:val="00F54FB4"/>
    <w:rsid w:val="00F5526A"/>
    <w:rsid w:val="00F5534B"/>
    <w:rsid w:val="00F55354"/>
    <w:rsid w:val="00F558EC"/>
    <w:rsid w:val="00F55BA1"/>
    <w:rsid w:val="00F55CB6"/>
    <w:rsid w:val="00F55D76"/>
    <w:rsid w:val="00F56923"/>
    <w:rsid w:val="00F56AB2"/>
    <w:rsid w:val="00F5730C"/>
    <w:rsid w:val="00F5746F"/>
    <w:rsid w:val="00F577A9"/>
    <w:rsid w:val="00F6060C"/>
    <w:rsid w:val="00F60C13"/>
    <w:rsid w:val="00F610C8"/>
    <w:rsid w:val="00F6132C"/>
    <w:rsid w:val="00F613AF"/>
    <w:rsid w:val="00F614D5"/>
    <w:rsid w:val="00F618EF"/>
    <w:rsid w:val="00F619B1"/>
    <w:rsid w:val="00F61A6F"/>
    <w:rsid w:val="00F62712"/>
    <w:rsid w:val="00F627F4"/>
    <w:rsid w:val="00F62FB6"/>
    <w:rsid w:val="00F63764"/>
    <w:rsid w:val="00F638F1"/>
    <w:rsid w:val="00F638FF"/>
    <w:rsid w:val="00F63BBF"/>
    <w:rsid w:val="00F64279"/>
    <w:rsid w:val="00F64339"/>
    <w:rsid w:val="00F649C1"/>
    <w:rsid w:val="00F64EA4"/>
    <w:rsid w:val="00F650CB"/>
    <w:rsid w:val="00F650CF"/>
    <w:rsid w:val="00F65549"/>
    <w:rsid w:val="00F65713"/>
    <w:rsid w:val="00F65823"/>
    <w:rsid w:val="00F658C1"/>
    <w:rsid w:val="00F65926"/>
    <w:rsid w:val="00F659E7"/>
    <w:rsid w:val="00F65BBD"/>
    <w:rsid w:val="00F663CC"/>
    <w:rsid w:val="00F66402"/>
    <w:rsid w:val="00F66437"/>
    <w:rsid w:val="00F670A3"/>
    <w:rsid w:val="00F671D6"/>
    <w:rsid w:val="00F673A3"/>
    <w:rsid w:val="00F673B1"/>
    <w:rsid w:val="00F67797"/>
    <w:rsid w:val="00F677FD"/>
    <w:rsid w:val="00F678B2"/>
    <w:rsid w:val="00F678F6"/>
    <w:rsid w:val="00F67B89"/>
    <w:rsid w:val="00F67FA3"/>
    <w:rsid w:val="00F7059A"/>
    <w:rsid w:val="00F7091D"/>
    <w:rsid w:val="00F70B9F"/>
    <w:rsid w:val="00F70CA9"/>
    <w:rsid w:val="00F70D55"/>
    <w:rsid w:val="00F7102D"/>
    <w:rsid w:val="00F7148A"/>
    <w:rsid w:val="00F716A3"/>
    <w:rsid w:val="00F716AC"/>
    <w:rsid w:val="00F718F3"/>
    <w:rsid w:val="00F71935"/>
    <w:rsid w:val="00F720DA"/>
    <w:rsid w:val="00F72412"/>
    <w:rsid w:val="00F7260F"/>
    <w:rsid w:val="00F72759"/>
    <w:rsid w:val="00F72E63"/>
    <w:rsid w:val="00F72F17"/>
    <w:rsid w:val="00F73485"/>
    <w:rsid w:val="00F73768"/>
    <w:rsid w:val="00F738C9"/>
    <w:rsid w:val="00F73D57"/>
    <w:rsid w:val="00F74318"/>
    <w:rsid w:val="00F74B10"/>
    <w:rsid w:val="00F74D89"/>
    <w:rsid w:val="00F74E25"/>
    <w:rsid w:val="00F74F87"/>
    <w:rsid w:val="00F75090"/>
    <w:rsid w:val="00F7540F"/>
    <w:rsid w:val="00F7572C"/>
    <w:rsid w:val="00F7592C"/>
    <w:rsid w:val="00F75A64"/>
    <w:rsid w:val="00F75E99"/>
    <w:rsid w:val="00F75F29"/>
    <w:rsid w:val="00F76A30"/>
    <w:rsid w:val="00F7762B"/>
    <w:rsid w:val="00F77A77"/>
    <w:rsid w:val="00F77B27"/>
    <w:rsid w:val="00F77C75"/>
    <w:rsid w:val="00F77E4B"/>
    <w:rsid w:val="00F80269"/>
    <w:rsid w:val="00F8033A"/>
    <w:rsid w:val="00F8061F"/>
    <w:rsid w:val="00F80A43"/>
    <w:rsid w:val="00F80C5A"/>
    <w:rsid w:val="00F80E39"/>
    <w:rsid w:val="00F81266"/>
    <w:rsid w:val="00F816A5"/>
    <w:rsid w:val="00F81759"/>
    <w:rsid w:val="00F81ACF"/>
    <w:rsid w:val="00F81B4E"/>
    <w:rsid w:val="00F81C94"/>
    <w:rsid w:val="00F822C5"/>
    <w:rsid w:val="00F8253F"/>
    <w:rsid w:val="00F83057"/>
    <w:rsid w:val="00F830A0"/>
    <w:rsid w:val="00F831E0"/>
    <w:rsid w:val="00F833A2"/>
    <w:rsid w:val="00F83458"/>
    <w:rsid w:val="00F8351D"/>
    <w:rsid w:val="00F83668"/>
    <w:rsid w:val="00F83A08"/>
    <w:rsid w:val="00F83CF7"/>
    <w:rsid w:val="00F84030"/>
    <w:rsid w:val="00F84039"/>
    <w:rsid w:val="00F84068"/>
    <w:rsid w:val="00F84399"/>
    <w:rsid w:val="00F84722"/>
    <w:rsid w:val="00F8484C"/>
    <w:rsid w:val="00F84D80"/>
    <w:rsid w:val="00F84FA6"/>
    <w:rsid w:val="00F85101"/>
    <w:rsid w:val="00F851EF"/>
    <w:rsid w:val="00F85654"/>
    <w:rsid w:val="00F85A9D"/>
    <w:rsid w:val="00F85E69"/>
    <w:rsid w:val="00F85FCE"/>
    <w:rsid w:val="00F85FD6"/>
    <w:rsid w:val="00F86123"/>
    <w:rsid w:val="00F86587"/>
    <w:rsid w:val="00F8674E"/>
    <w:rsid w:val="00F86A02"/>
    <w:rsid w:val="00F86A88"/>
    <w:rsid w:val="00F86F85"/>
    <w:rsid w:val="00F876B6"/>
    <w:rsid w:val="00F87D6B"/>
    <w:rsid w:val="00F87D95"/>
    <w:rsid w:val="00F87E6B"/>
    <w:rsid w:val="00F90378"/>
    <w:rsid w:val="00F9038F"/>
    <w:rsid w:val="00F903AA"/>
    <w:rsid w:val="00F90420"/>
    <w:rsid w:val="00F90BAA"/>
    <w:rsid w:val="00F90FCB"/>
    <w:rsid w:val="00F910DD"/>
    <w:rsid w:val="00F914ED"/>
    <w:rsid w:val="00F915AE"/>
    <w:rsid w:val="00F91930"/>
    <w:rsid w:val="00F91953"/>
    <w:rsid w:val="00F92490"/>
    <w:rsid w:val="00F927D4"/>
    <w:rsid w:val="00F92829"/>
    <w:rsid w:val="00F92858"/>
    <w:rsid w:val="00F92AF0"/>
    <w:rsid w:val="00F92BC1"/>
    <w:rsid w:val="00F92D52"/>
    <w:rsid w:val="00F92E4F"/>
    <w:rsid w:val="00F93289"/>
    <w:rsid w:val="00F93325"/>
    <w:rsid w:val="00F9385C"/>
    <w:rsid w:val="00F939F8"/>
    <w:rsid w:val="00F93BDC"/>
    <w:rsid w:val="00F940A6"/>
    <w:rsid w:val="00F94447"/>
    <w:rsid w:val="00F94643"/>
    <w:rsid w:val="00F94786"/>
    <w:rsid w:val="00F949A3"/>
    <w:rsid w:val="00F949E0"/>
    <w:rsid w:val="00F94A5D"/>
    <w:rsid w:val="00F94D63"/>
    <w:rsid w:val="00F95080"/>
    <w:rsid w:val="00F9532E"/>
    <w:rsid w:val="00F953EA"/>
    <w:rsid w:val="00F955BF"/>
    <w:rsid w:val="00F958F1"/>
    <w:rsid w:val="00F95CF8"/>
    <w:rsid w:val="00F9615E"/>
    <w:rsid w:val="00F96775"/>
    <w:rsid w:val="00F9685D"/>
    <w:rsid w:val="00F96917"/>
    <w:rsid w:val="00F96CCF"/>
    <w:rsid w:val="00F97242"/>
    <w:rsid w:val="00F9755E"/>
    <w:rsid w:val="00F97FBB"/>
    <w:rsid w:val="00FA033C"/>
    <w:rsid w:val="00FA08D7"/>
    <w:rsid w:val="00FA0B4F"/>
    <w:rsid w:val="00FA0C22"/>
    <w:rsid w:val="00FA0D59"/>
    <w:rsid w:val="00FA10C8"/>
    <w:rsid w:val="00FA1276"/>
    <w:rsid w:val="00FA1277"/>
    <w:rsid w:val="00FA197F"/>
    <w:rsid w:val="00FA1C78"/>
    <w:rsid w:val="00FA1F30"/>
    <w:rsid w:val="00FA20CE"/>
    <w:rsid w:val="00FA2159"/>
    <w:rsid w:val="00FA27A8"/>
    <w:rsid w:val="00FA32C0"/>
    <w:rsid w:val="00FA354A"/>
    <w:rsid w:val="00FA3667"/>
    <w:rsid w:val="00FA395A"/>
    <w:rsid w:val="00FA3F23"/>
    <w:rsid w:val="00FA3F60"/>
    <w:rsid w:val="00FA4029"/>
    <w:rsid w:val="00FA4C55"/>
    <w:rsid w:val="00FA4E7E"/>
    <w:rsid w:val="00FA50DA"/>
    <w:rsid w:val="00FA54AB"/>
    <w:rsid w:val="00FA5965"/>
    <w:rsid w:val="00FA5ADB"/>
    <w:rsid w:val="00FA708B"/>
    <w:rsid w:val="00FA7801"/>
    <w:rsid w:val="00FA79E5"/>
    <w:rsid w:val="00FA7EAB"/>
    <w:rsid w:val="00FA7F0A"/>
    <w:rsid w:val="00FB0586"/>
    <w:rsid w:val="00FB0605"/>
    <w:rsid w:val="00FB0682"/>
    <w:rsid w:val="00FB08A2"/>
    <w:rsid w:val="00FB0BF0"/>
    <w:rsid w:val="00FB0D9F"/>
    <w:rsid w:val="00FB0E97"/>
    <w:rsid w:val="00FB10A0"/>
    <w:rsid w:val="00FB17D7"/>
    <w:rsid w:val="00FB1AE1"/>
    <w:rsid w:val="00FB1B64"/>
    <w:rsid w:val="00FB1DF6"/>
    <w:rsid w:val="00FB1E04"/>
    <w:rsid w:val="00FB2113"/>
    <w:rsid w:val="00FB2155"/>
    <w:rsid w:val="00FB2379"/>
    <w:rsid w:val="00FB30EC"/>
    <w:rsid w:val="00FB32D1"/>
    <w:rsid w:val="00FB34B1"/>
    <w:rsid w:val="00FB3783"/>
    <w:rsid w:val="00FB41C7"/>
    <w:rsid w:val="00FB47E3"/>
    <w:rsid w:val="00FB484B"/>
    <w:rsid w:val="00FB48F7"/>
    <w:rsid w:val="00FB495D"/>
    <w:rsid w:val="00FB4A5A"/>
    <w:rsid w:val="00FB4ACC"/>
    <w:rsid w:val="00FB4B75"/>
    <w:rsid w:val="00FB4BA3"/>
    <w:rsid w:val="00FB4DC6"/>
    <w:rsid w:val="00FB52E8"/>
    <w:rsid w:val="00FB5713"/>
    <w:rsid w:val="00FB5735"/>
    <w:rsid w:val="00FB580A"/>
    <w:rsid w:val="00FB5A68"/>
    <w:rsid w:val="00FB5B5B"/>
    <w:rsid w:val="00FB5EB0"/>
    <w:rsid w:val="00FB5F56"/>
    <w:rsid w:val="00FB5FB6"/>
    <w:rsid w:val="00FB60E3"/>
    <w:rsid w:val="00FB61E3"/>
    <w:rsid w:val="00FB62B9"/>
    <w:rsid w:val="00FB6321"/>
    <w:rsid w:val="00FB637A"/>
    <w:rsid w:val="00FB6C63"/>
    <w:rsid w:val="00FB6CC5"/>
    <w:rsid w:val="00FB6D0C"/>
    <w:rsid w:val="00FB7131"/>
    <w:rsid w:val="00FB7307"/>
    <w:rsid w:val="00FB73B1"/>
    <w:rsid w:val="00FB77AC"/>
    <w:rsid w:val="00FB7D08"/>
    <w:rsid w:val="00FB7ECE"/>
    <w:rsid w:val="00FC04C5"/>
    <w:rsid w:val="00FC0822"/>
    <w:rsid w:val="00FC0A97"/>
    <w:rsid w:val="00FC1391"/>
    <w:rsid w:val="00FC15FB"/>
    <w:rsid w:val="00FC1B03"/>
    <w:rsid w:val="00FC1C24"/>
    <w:rsid w:val="00FC1C79"/>
    <w:rsid w:val="00FC1EC1"/>
    <w:rsid w:val="00FC2047"/>
    <w:rsid w:val="00FC2A3A"/>
    <w:rsid w:val="00FC3DFA"/>
    <w:rsid w:val="00FC44C0"/>
    <w:rsid w:val="00FC46A3"/>
    <w:rsid w:val="00FC46C3"/>
    <w:rsid w:val="00FC476E"/>
    <w:rsid w:val="00FC4A9D"/>
    <w:rsid w:val="00FC4AD4"/>
    <w:rsid w:val="00FC4E2E"/>
    <w:rsid w:val="00FC4FD9"/>
    <w:rsid w:val="00FC51F7"/>
    <w:rsid w:val="00FC530B"/>
    <w:rsid w:val="00FC53CA"/>
    <w:rsid w:val="00FC5B30"/>
    <w:rsid w:val="00FC5D46"/>
    <w:rsid w:val="00FC5D96"/>
    <w:rsid w:val="00FC5EF4"/>
    <w:rsid w:val="00FC6028"/>
    <w:rsid w:val="00FC64F2"/>
    <w:rsid w:val="00FC65E9"/>
    <w:rsid w:val="00FC6A57"/>
    <w:rsid w:val="00FC7112"/>
    <w:rsid w:val="00FC7856"/>
    <w:rsid w:val="00FC7DC0"/>
    <w:rsid w:val="00FD01BE"/>
    <w:rsid w:val="00FD027C"/>
    <w:rsid w:val="00FD0C62"/>
    <w:rsid w:val="00FD0D97"/>
    <w:rsid w:val="00FD0FF7"/>
    <w:rsid w:val="00FD127D"/>
    <w:rsid w:val="00FD1394"/>
    <w:rsid w:val="00FD168D"/>
    <w:rsid w:val="00FD1757"/>
    <w:rsid w:val="00FD19BE"/>
    <w:rsid w:val="00FD1A91"/>
    <w:rsid w:val="00FD1BD4"/>
    <w:rsid w:val="00FD2044"/>
    <w:rsid w:val="00FD238B"/>
    <w:rsid w:val="00FD23C7"/>
    <w:rsid w:val="00FD2D66"/>
    <w:rsid w:val="00FD2D8D"/>
    <w:rsid w:val="00FD3081"/>
    <w:rsid w:val="00FD30A3"/>
    <w:rsid w:val="00FD32C6"/>
    <w:rsid w:val="00FD33FF"/>
    <w:rsid w:val="00FD352B"/>
    <w:rsid w:val="00FD362C"/>
    <w:rsid w:val="00FD3721"/>
    <w:rsid w:val="00FD3A31"/>
    <w:rsid w:val="00FD4425"/>
    <w:rsid w:val="00FD476C"/>
    <w:rsid w:val="00FD4802"/>
    <w:rsid w:val="00FD4869"/>
    <w:rsid w:val="00FD4B07"/>
    <w:rsid w:val="00FD4B6D"/>
    <w:rsid w:val="00FD4CF8"/>
    <w:rsid w:val="00FD5146"/>
    <w:rsid w:val="00FD521B"/>
    <w:rsid w:val="00FD52A0"/>
    <w:rsid w:val="00FD583D"/>
    <w:rsid w:val="00FD5997"/>
    <w:rsid w:val="00FD63A0"/>
    <w:rsid w:val="00FD6A6C"/>
    <w:rsid w:val="00FD6AD9"/>
    <w:rsid w:val="00FD6C5E"/>
    <w:rsid w:val="00FD6F38"/>
    <w:rsid w:val="00FD70C4"/>
    <w:rsid w:val="00FD74FB"/>
    <w:rsid w:val="00FD75C2"/>
    <w:rsid w:val="00FD75C4"/>
    <w:rsid w:val="00FD78DB"/>
    <w:rsid w:val="00FD7A42"/>
    <w:rsid w:val="00FD7CF4"/>
    <w:rsid w:val="00FD7ECB"/>
    <w:rsid w:val="00FE00E0"/>
    <w:rsid w:val="00FE00E6"/>
    <w:rsid w:val="00FE0594"/>
    <w:rsid w:val="00FE07FC"/>
    <w:rsid w:val="00FE0C9C"/>
    <w:rsid w:val="00FE1500"/>
    <w:rsid w:val="00FE1590"/>
    <w:rsid w:val="00FE19EE"/>
    <w:rsid w:val="00FE1CEE"/>
    <w:rsid w:val="00FE202E"/>
    <w:rsid w:val="00FE212E"/>
    <w:rsid w:val="00FE21C1"/>
    <w:rsid w:val="00FE22B3"/>
    <w:rsid w:val="00FE257E"/>
    <w:rsid w:val="00FE2598"/>
    <w:rsid w:val="00FE2726"/>
    <w:rsid w:val="00FE2900"/>
    <w:rsid w:val="00FE2C08"/>
    <w:rsid w:val="00FE2F05"/>
    <w:rsid w:val="00FE313F"/>
    <w:rsid w:val="00FE31CB"/>
    <w:rsid w:val="00FE33D7"/>
    <w:rsid w:val="00FE37A9"/>
    <w:rsid w:val="00FE3886"/>
    <w:rsid w:val="00FE3DD4"/>
    <w:rsid w:val="00FE437C"/>
    <w:rsid w:val="00FE44B8"/>
    <w:rsid w:val="00FE47C2"/>
    <w:rsid w:val="00FE482B"/>
    <w:rsid w:val="00FE49EF"/>
    <w:rsid w:val="00FE4C9E"/>
    <w:rsid w:val="00FE5121"/>
    <w:rsid w:val="00FE52E8"/>
    <w:rsid w:val="00FE5BD1"/>
    <w:rsid w:val="00FE5C5B"/>
    <w:rsid w:val="00FE6127"/>
    <w:rsid w:val="00FE67B6"/>
    <w:rsid w:val="00FE67E3"/>
    <w:rsid w:val="00FE6A61"/>
    <w:rsid w:val="00FE6A94"/>
    <w:rsid w:val="00FE6B04"/>
    <w:rsid w:val="00FE6D52"/>
    <w:rsid w:val="00FE7190"/>
    <w:rsid w:val="00FE7768"/>
    <w:rsid w:val="00FF02F0"/>
    <w:rsid w:val="00FF03D0"/>
    <w:rsid w:val="00FF0487"/>
    <w:rsid w:val="00FF06A4"/>
    <w:rsid w:val="00FF07B0"/>
    <w:rsid w:val="00FF085D"/>
    <w:rsid w:val="00FF09C3"/>
    <w:rsid w:val="00FF1041"/>
    <w:rsid w:val="00FF1409"/>
    <w:rsid w:val="00FF1664"/>
    <w:rsid w:val="00FF1804"/>
    <w:rsid w:val="00FF1A2D"/>
    <w:rsid w:val="00FF1BD1"/>
    <w:rsid w:val="00FF24BF"/>
    <w:rsid w:val="00FF26F0"/>
    <w:rsid w:val="00FF275A"/>
    <w:rsid w:val="00FF2DF8"/>
    <w:rsid w:val="00FF31BC"/>
    <w:rsid w:val="00FF3693"/>
    <w:rsid w:val="00FF3814"/>
    <w:rsid w:val="00FF394B"/>
    <w:rsid w:val="00FF3963"/>
    <w:rsid w:val="00FF3A7D"/>
    <w:rsid w:val="00FF3AFF"/>
    <w:rsid w:val="00FF3BF1"/>
    <w:rsid w:val="00FF3C13"/>
    <w:rsid w:val="00FF3C32"/>
    <w:rsid w:val="00FF3F26"/>
    <w:rsid w:val="00FF43AD"/>
    <w:rsid w:val="00FF4667"/>
    <w:rsid w:val="00FF4AAB"/>
    <w:rsid w:val="00FF4AFD"/>
    <w:rsid w:val="00FF4D78"/>
    <w:rsid w:val="00FF4FC6"/>
    <w:rsid w:val="00FF5202"/>
    <w:rsid w:val="00FF52CD"/>
    <w:rsid w:val="00FF5445"/>
    <w:rsid w:val="00FF55C1"/>
    <w:rsid w:val="00FF55FA"/>
    <w:rsid w:val="00FF5C20"/>
    <w:rsid w:val="00FF607D"/>
    <w:rsid w:val="00FF6179"/>
    <w:rsid w:val="00FF623A"/>
    <w:rsid w:val="00FF663C"/>
    <w:rsid w:val="00FF71DF"/>
    <w:rsid w:val="00FF7534"/>
    <w:rsid w:val="00FF7966"/>
    <w:rsid w:val="00FF7B5D"/>
    <w:rsid w:val="00FF7D16"/>
    <w:rsid w:val="00FF7D1F"/>
    <w:rsid w:val="00FF7D5A"/>
    <w:rsid w:val="00FF7D9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14:docId w14:val="3FC157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imes New Roman"/>
        <w:sz w:val="22"/>
        <w:szCs w:val="22"/>
        <w:lang w:val="en-AU" w:eastAsia="en-AU" w:bidi="ar-SA"/>
      </w:rPr>
    </w:rPrDefault>
    <w:pPrDefault>
      <w:pPr>
        <w:spacing w:line="264"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lsdException w:name="heading 8" w:semiHidden="1" w:uiPriority="3"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uiPriority="99" w:qFormat="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695"/>
    <w:rPr>
      <w:rFonts w:ascii="Arial" w:hAnsi="Arial"/>
    </w:rPr>
  </w:style>
  <w:style w:type="paragraph" w:styleId="Heading1">
    <w:name w:val="heading 1"/>
    <w:basedOn w:val="Normal"/>
    <w:next w:val="BodyText"/>
    <w:link w:val="Heading1Char"/>
    <w:qFormat/>
    <w:rsid w:val="00DE2084"/>
    <w:pPr>
      <w:keepNext/>
      <w:keepLines/>
      <w:numPr>
        <w:numId w:val="10"/>
      </w:numPr>
      <w:spacing w:before="480" w:after="240"/>
      <w:outlineLvl w:val="0"/>
    </w:pPr>
    <w:rPr>
      <w:rFonts w:asciiTheme="majorHAnsi" w:eastAsiaTheme="minorEastAsia" w:hAnsiTheme="majorHAnsi" w:cstheme="majorBidi"/>
      <w:b/>
      <w:bCs/>
      <w:color w:val="007BC1"/>
      <w:sz w:val="32"/>
      <w:szCs w:val="32"/>
    </w:rPr>
  </w:style>
  <w:style w:type="paragraph" w:styleId="Heading2">
    <w:name w:val="heading 2"/>
    <w:basedOn w:val="Normal"/>
    <w:next w:val="BodyText"/>
    <w:link w:val="Heading2Char"/>
    <w:qFormat/>
    <w:rsid w:val="00127572"/>
    <w:pPr>
      <w:keepNext/>
      <w:keepLines/>
      <w:numPr>
        <w:ilvl w:val="1"/>
        <w:numId w:val="10"/>
      </w:numPr>
      <w:spacing w:before="360" w:after="240"/>
      <w:ind w:left="624"/>
      <w:outlineLvl w:val="1"/>
    </w:pPr>
    <w:rPr>
      <w:rFonts w:asciiTheme="majorHAnsi" w:eastAsiaTheme="majorEastAsia" w:hAnsiTheme="majorHAnsi" w:cstheme="majorBidi"/>
      <w:b/>
      <w:bCs/>
      <w:color w:val="007BC1"/>
      <w:sz w:val="28"/>
      <w:szCs w:val="26"/>
    </w:rPr>
  </w:style>
  <w:style w:type="paragraph" w:styleId="Heading3">
    <w:name w:val="heading 3"/>
    <w:basedOn w:val="Normal"/>
    <w:next w:val="BodyText"/>
    <w:link w:val="Heading3Char"/>
    <w:qFormat/>
    <w:rsid w:val="00AC3942"/>
    <w:pPr>
      <w:keepNext/>
      <w:keepLines/>
      <w:numPr>
        <w:ilvl w:val="2"/>
        <w:numId w:val="10"/>
      </w:numPr>
      <w:spacing w:before="360" w:after="240"/>
      <w:ind w:left="624"/>
      <w:contextualSpacing/>
      <w:outlineLvl w:val="2"/>
    </w:pPr>
    <w:rPr>
      <w:rFonts w:asciiTheme="majorHAnsi" w:eastAsiaTheme="majorEastAsia" w:hAnsiTheme="majorHAnsi" w:cstheme="majorBidi"/>
      <w:b/>
      <w:bCs/>
      <w:color w:val="007BC1"/>
      <w:sz w:val="24"/>
    </w:rPr>
  </w:style>
  <w:style w:type="paragraph" w:styleId="Heading4">
    <w:name w:val="heading 4"/>
    <w:basedOn w:val="Normal"/>
    <w:next w:val="BodyText"/>
    <w:link w:val="Heading4Char"/>
    <w:qFormat/>
    <w:rsid w:val="00DE2084"/>
    <w:pPr>
      <w:keepNext/>
      <w:keepLines/>
      <w:numPr>
        <w:ilvl w:val="3"/>
        <w:numId w:val="10"/>
      </w:numPr>
      <w:spacing w:before="360" w:after="240"/>
      <w:outlineLvl w:val="3"/>
    </w:pPr>
    <w:rPr>
      <w:rFonts w:asciiTheme="majorHAnsi" w:eastAsiaTheme="majorEastAsia" w:hAnsiTheme="majorHAnsi" w:cstheme="majorBidi"/>
      <w:b/>
      <w:bCs/>
      <w:i/>
      <w:iCs/>
      <w:color w:val="007BC1"/>
    </w:rPr>
  </w:style>
  <w:style w:type="paragraph" w:styleId="Heading5">
    <w:name w:val="heading 5"/>
    <w:basedOn w:val="Normal"/>
    <w:next w:val="Normal"/>
    <w:link w:val="Heading5Char"/>
    <w:qFormat/>
    <w:rsid w:val="00A014E2"/>
    <w:pPr>
      <w:keepNext/>
      <w:keepLines/>
      <w:numPr>
        <w:ilvl w:val="4"/>
        <w:numId w:val="10"/>
      </w:numPr>
      <w:spacing w:before="360" w:after="240"/>
      <w:outlineLvl w:val="4"/>
    </w:pPr>
    <w:rPr>
      <w:rFonts w:asciiTheme="majorHAnsi" w:eastAsiaTheme="majorEastAsia" w:hAnsiTheme="majorHAnsi" w:cstheme="majorBidi"/>
      <w:i/>
      <w:color w:val="214C90" w:themeColor="text2"/>
    </w:rPr>
  </w:style>
  <w:style w:type="paragraph" w:styleId="Heading6">
    <w:name w:val="heading 6"/>
    <w:aliases w:val="H6,(I),Legal Level 1.,I,a.,Style 11, not Kinhill,6,Body Text 5,Heading 6 - do not use,Heading 6 Interstar,Heading 6(unused),L1 PIP,Lev 6,Level 6,Name of Org,Not Kinhill,Points in Text,Square Bullet list,Sub5Para,a.1,as,b,dash GS,don't use,h6"/>
    <w:basedOn w:val="Normal"/>
    <w:next w:val="BodyText"/>
    <w:link w:val="Heading6Char"/>
    <w:qFormat/>
    <w:rsid w:val="00A014E2"/>
    <w:pPr>
      <w:keepNext/>
      <w:keepLines/>
      <w:spacing w:before="240" w:after="120"/>
      <w:outlineLvl w:val="5"/>
    </w:pPr>
    <w:rPr>
      <w:rFonts w:asciiTheme="majorHAnsi" w:eastAsiaTheme="majorEastAsia" w:hAnsiTheme="majorHAnsi" w:cstheme="majorBidi"/>
      <w:b/>
      <w:iCs/>
      <w:color w:val="214C90" w:themeColor="text2"/>
      <w:lang w:eastAsia="en-US"/>
    </w:rPr>
  </w:style>
  <w:style w:type="paragraph" w:styleId="Heading7">
    <w:name w:val="heading 7"/>
    <w:basedOn w:val="Normal"/>
    <w:next w:val="BodyText"/>
    <w:link w:val="Heading7Char"/>
    <w:semiHidden/>
    <w:rsid w:val="00D31696"/>
    <w:pPr>
      <w:keepNext/>
      <w:keepLines/>
      <w:pageBreakBefore/>
      <w:spacing w:before="120" w:after="120"/>
      <w:outlineLvl w:val="6"/>
    </w:pPr>
    <w:rPr>
      <w:rFonts w:asciiTheme="majorHAnsi" w:eastAsiaTheme="majorEastAsia" w:hAnsiTheme="majorHAnsi" w:cstheme="majorBidi"/>
      <w:b/>
      <w:iCs/>
      <w:color w:val="214C90" w:themeColor="text2"/>
    </w:rPr>
  </w:style>
  <w:style w:type="paragraph" w:styleId="Heading8">
    <w:name w:val="heading 8"/>
    <w:basedOn w:val="Normal"/>
    <w:next w:val="BodyText"/>
    <w:link w:val="Heading8Char"/>
    <w:uiPriority w:val="3"/>
    <w:semiHidden/>
    <w:qFormat/>
    <w:rsid w:val="00FB10A0"/>
    <w:pPr>
      <w:keepNext/>
      <w:keepLines/>
      <w:pageBreakBefore/>
      <w:tabs>
        <w:tab w:val="right" w:pos="9639"/>
      </w:tabs>
      <w:spacing w:after="120"/>
      <w:outlineLvl w:val="7"/>
    </w:pPr>
    <w:rPr>
      <w:rFonts w:asciiTheme="majorHAnsi" w:eastAsiaTheme="majorEastAsia" w:hAnsiTheme="majorHAnsi" w:cstheme="majorBidi"/>
      <w:caps/>
      <w:color w:val="214C90" w:themeColor="text2"/>
      <w:sz w:val="28"/>
      <w:lang w:eastAsia="en-US"/>
    </w:rPr>
  </w:style>
  <w:style w:type="paragraph" w:styleId="Heading9">
    <w:name w:val="heading 9"/>
    <w:aliases w:val="Appendix Heading 1"/>
    <w:basedOn w:val="Normal"/>
    <w:next w:val="BodyText"/>
    <w:link w:val="Heading9Char"/>
    <w:rsid w:val="007D7FFC"/>
    <w:pPr>
      <w:keepNext/>
      <w:keepLines/>
      <w:pageBreakBefore/>
      <w:numPr>
        <w:numId w:val="5"/>
      </w:numPr>
      <w:spacing w:before="240" w:after="240"/>
      <w:outlineLvl w:val="8"/>
    </w:pPr>
    <w:rPr>
      <w:rFonts w:asciiTheme="majorHAnsi" w:eastAsiaTheme="minorEastAsia" w:hAnsiTheme="majorHAnsi" w:cs="Arial"/>
      <w:b/>
      <w:color w:val="007BC1"/>
      <w:sz w:val="3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ldHeading">
    <w:name w:val="Bold Heading"/>
    <w:basedOn w:val="Normal"/>
    <w:rsid w:val="00782365"/>
    <w:pPr>
      <w:spacing w:before="240" w:after="120"/>
    </w:pPr>
    <w:rPr>
      <w:b/>
    </w:rPr>
  </w:style>
  <w:style w:type="paragraph" w:customStyle="1" w:styleId="Image">
    <w:name w:val="Image"/>
    <w:basedOn w:val="Normal"/>
    <w:next w:val="BodyText"/>
    <w:rsid w:val="00965A70"/>
    <w:pPr>
      <w:keepNext/>
    </w:pPr>
  </w:style>
  <w:style w:type="paragraph" w:styleId="BodyText">
    <w:name w:val="Body Text"/>
    <w:basedOn w:val="Normal"/>
    <w:link w:val="BodyTextChar"/>
    <w:qFormat/>
    <w:rsid w:val="00AD6695"/>
    <w:pPr>
      <w:tabs>
        <w:tab w:val="left" w:pos="2268"/>
        <w:tab w:val="left" w:pos="4536"/>
        <w:tab w:val="left" w:pos="6804"/>
        <w:tab w:val="right" w:pos="9638"/>
      </w:tabs>
      <w:spacing w:before="240" w:after="120"/>
    </w:pPr>
  </w:style>
  <w:style w:type="character" w:customStyle="1" w:styleId="BodyTextChar">
    <w:name w:val="Body Text Char"/>
    <w:basedOn w:val="DefaultParagraphFont"/>
    <w:link w:val="BodyText"/>
    <w:rsid w:val="00AD6695"/>
    <w:rPr>
      <w:rFonts w:ascii="Arial" w:hAnsi="Arial"/>
    </w:rPr>
  </w:style>
  <w:style w:type="paragraph" w:styleId="BlockText">
    <w:name w:val="Block Text"/>
    <w:basedOn w:val="BodyText"/>
    <w:semiHidden/>
    <w:unhideWhenUsed/>
    <w:rsid w:val="00EF3AA0"/>
    <w:rPr>
      <w:rFonts w:eastAsiaTheme="minorEastAsia" w:cstheme="minorBidi"/>
      <w:iCs/>
    </w:rPr>
  </w:style>
  <w:style w:type="paragraph" w:styleId="Caption">
    <w:name w:val="caption"/>
    <w:basedOn w:val="Normal"/>
    <w:next w:val="BodyText"/>
    <w:link w:val="CaptionChar"/>
    <w:qFormat/>
    <w:rsid w:val="0013752B"/>
    <w:pPr>
      <w:keepNext/>
      <w:keepLines/>
      <w:spacing w:before="240" w:after="120"/>
    </w:pPr>
    <w:rPr>
      <w:rFonts w:eastAsiaTheme="minorHAnsi" w:cstheme="minorBidi"/>
      <w:b/>
      <w:bCs/>
      <w:lang w:eastAsia="fr-CA"/>
    </w:rPr>
  </w:style>
  <w:style w:type="paragraph" w:styleId="BalloonText">
    <w:name w:val="Balloon Text"/>
    <w:basedOn w:val="Normal"/>
    <w:link w:val="BalloonTextChar"/>
    <w:uiPriority w:val="99"/>
    <w:semiHidden/>
    <w:unhideWhenUsed/>
    <w:rsid w:val="005542F9"/>
    <w:rPr>
      <w:rFonts w:ascii="Tahoma" w:hAnsi="Tahoma" w:cs="Tahoma"/>
      <w:sz w:val="16"/>
      <w:szCs w:val="16"/>
    </w:rPr>
  </w:style>
  <w:style w:type="paragraph" w:styleId="TOCHeading">
    <w:name w:val="TOC Heading"/>
    <w:next w:val="Normal"/>
    <w:uiPriority w:val="39"/>
    <w:unhideWhenUsed/>
    <w:qFormat/>
    <w:rsid w:val="00DE2084"/>
    <w:pPr>
      <w:pageBreakBefore/>
      <w:spacing w:after="600" w:line="240" w:lineRule="auto"/>
      <w:outlineLvl w:val="3"/>
    </w:pPr>
    <w:rPr>
      <w:rFonts w:asciiTheme="majorHAnsi" w:eastAsiaTheme="minorEastAsia" w:hAnsiTheme="majorHAnsi" w:cstheme="majorBidi"/>
      <w:b/>
      <w:bCs/>
      <w:color w:val="007BC1"/>
      <w:sz w:val="32"/>
      <w:szCs w:val="28"/>
    </w:rPr>
  </w:style>
  <w:style w:type="character" w:customStyle="1" w:styleId="BalloonTextChar">
    <w:name w:val="Balloon Text Char"/>
    <w:basedOn w:val="DefaultParagraphFont"/>
    <w:link w:val="BalloonText"/>
    <w:uiPriority w:val="99"/>
    <w:semiHidden/>
    <w:rsid w:val="00475145"/>
    <w:rPr>
      <w:rFonts w:ascii="Tahoma" w:hAnsi="Tahoma" w:cs="Tahoma"/>
      <w:color w:val="000000" w:themeColor="text1"/>
      <w:sz w:val="16"/>
      <w:szCs w:val="16"/>
    </w:rPr>
  </w:style>
  <w:style w:type="paragraph" w:styleId="Footer">
    <w:name w:val="footer"/>
    <w:basedOn w:val="Normal"/>
    <w:link w:val="FooterChar"/>
    <w:uiPriority w:val="99"/>
    <w:rsid w:val="003B6692"/>
    <w:pPr>
      <w:tabs>
        <w:tab w:val="left" w:pos="1077"/>
        <w:tab w:val="center" w:pos="4320"/>
        <w:tab w:val="right" w:pos="8640"/>
      </w:tabs>
      <w:jc w:val="center"/>
    </w:pPr>
    <w:rPr>
      <w:rFonts w:eastAsia="Cambria" w:cstheme="minorBidi"/>
      <w:sz w:val="18"/>
      <w:lang w:eastAsia="en-US"/>
    </w:rPr>
  </w:style>
  <w:style w:type="character" w:customStyle="1" w:styleId="FooterChar">
    <w:name w:val="Footer Char"/>
    <w:basedOn w:val="DefaultParagraphFont"/>
    <w:link w:val="Footer"/>
    <w:uiPriority w:val="99"/>
    <w:rsid w:val="003B6692"/>
    <w:rPr>
      <w:rFonts w:eastAsia="Cambria" w:cstheme="minorBidi"/>
      <w:sz w:val="18"/>
      <w:lang w:eastAsia="en-US"/>
    </w:rPr>
  </w:style>
  <w:style w:type="numbering" w:customStyle="1" w:styleId="HangingList">
    <w:name w:val="HangingList"/>
    <w:uiPriority w:val="99"/>
    <w:rsid w:val="00DD7311"/>
    <w:pPr>
      <w:numPr>
        <w:numId w:val="1"/>
      </w:numPr>
    </w:pPr>
  </w:style>
  <w:style w:type="paragraph" w:styleId="Header">
    <w:name w:val="header"/>
    <w:basedOn w:val="Normal"/>
    <w:link w:val="HeaderChar"/>
    <w:uiPriority w:val="99"/>
    <w:rsid w:val="00294804"/>
    <w:pPr>
      <w:tabs>
        <w:tab w:val="left" w:pos="7796"/>
      </w:tabs>
    </w:pPr>
    <w:rPr>
      <w:rFonts w:eastAsiaTheme="minorHAnsi" w:cstheme="minorBidi"/>
      <w:sz w:val="18"/>
      <w:lang w:eastAsia="fr-CA"/>
    </w:rPr>
  </w:style>
  <w:style w:type="character" w:customStyle="1" w:styleId="HeaderChar">
    <w:name w:val="Header Char"/>
    <w:basedOn w:val="DefaultParagraphFont"/>
    <w:link w:val="Header"/>
    <w:uiPriority w:val="99"/>
    <w:rsid w:val="00294804"/>
    <w:rPr>
      <w:rFonts w:eastAsiaTheme="minorHAnsi" w:cstheme="minorBidi"/>
      <w:sz w:val="18"/>
      <w:lang w:eastAsia="fr-CA"/>
    </w:rPr>
  </w:style>
  <w:style w:type="paragraph" w:customStyle="1" w:styleId="AppendixHeading2">
    <w:name w:val="Appendix Heading 2"/>
    <w:basedOn w:val="Normal"/>
    <w:next w:val="BodyText"/>
    <w:uiPriority w:val="4"/>
    <w:rsid w:val="007D7FFC"/>
    <w:pPr>
      <w:keepNext/>
      <w:numPr>
        <w:ilvl w:val="1"/>
        <w:numId w:val="5"/>
      </w:numPr>
      <w:spacing w:before="360" w:after="240"/>
    </w:pPr>
    <w:rPr>
      <w:rFonts w:asciiTheme="majorHAnsi" w:eastAsiaTheme="minorEastAsia" w:hAnsiTheme="majorHAnsi"/>
      <w:b/>
      <w:color w:val="007BC1"/>
      <w:sz w:val="28"/>
      <w:lang w:eastAsia="en-US"/>
    </w:rPr>
  </w:style>
  <w:style w:type="paragraph" w:customStyle="1" w:styleId="AppendixHeading3">
    <w:name w:val="Appendix Heading 3"/>
    <w:basedOn w:val="Normal"/>
    <w:next w:val="BodyText"/>
    <w:uiPriority w:val="4"/>
    <w:rsid w:val="007D7FFC"/>
    <w:pPr>
      <w:keepNext/>
      <w:numPr>
        <w:ilvl w:val="2"/>
        <w:numId w:val="5"/>
      </w:numPr>
      <w:tabs>
        <w:tab w:val="left" w:pos="1559"/>
        <w:tab w:val="left" w:pos="1843"/>
        <w:tab w:val="left" w:pos="2126"/>
        <w:tab w:val="left" w:pos="2410"/>
        <w:tab w:val="left" w:pos="6804"/>
        <w:tab w:val="right" w:pos="9639"/>
      </w:tabs>
      <w:spacing w:before="360" w:after="240"/>
    </w:pPr>
    <w:rPr>
      <w:rFonts w:asciiTheme="majorHAnsi" w:hAnsiTheme="majorHAnsi"/>
      <w:b/>
      <w:color w:val="007BC1"/>
      <w:lang w:eastAsia="en-US"/>
    </w:rPr>
  </w:style>
  <w:style w:type="character" w:customStyle="1" w:styleId="Italics">
    <w:name w:val="Italics"/>
    <w:uiPriority w:val="1"/>
    <w:rsid w:val="00566E04"/>
    <w:rPr>
      <w:i/>
      <w:lang w:eastAsia="en-US"/>
    </w:rPr>
  </w:style>
  <w:style w:type="character" w:customStyle="1" w:styleId="Heading1Char">
    <w:name w:val="Heading 1 Char"/>
    <w:basedOn w:val="DefaultParagraphFont"/>
    <w:link w:val="Heading1"/>
    <w:rsid w:val="00DE2084"/>
    <w:rPr>
      <w:rFonts w:asciiTheme="majorHAnsi" w:eastAsiaTheme="minorEastAsia" w:hAnsiTheme="majorHAnsi" w:cstheme="majorBidi"/>
      <w:b/>
      <w:bCs/>
      <w:color w:val="007BC1"/>
      <w:sz w:val="32"/>
      <w:szCs w:val="32"/>
    </w:rPr>
  </w:style>
  <w:style w:type="character" w:customStyle="1" w:styleId="Heading2Char">
    <w:name w:val="Heading 2 Char"/>
    <w:basedOn w:val="DefaultParagraphFont"/>
    <w:link w:val="Heading2"/>
    <w:rsid w:val="00127572"/>
    <w:rPr>
      <w:rFonts w:asciiTheme="majorHAnsi" w:eastAsiaTheme="majorEastAsia" w:hAnsiTheme="majorHAnsi" w:cstheme="majorBidi"/>
      <w:b/>
      <w:bCs/>
      <w:color w:val="007BC1"/>
      <w:sz w:val="28"/>
      <w:szCs w:val="26"/>
    </w:rPr>
  </w:style>
  <w:style w:type="character" w:customStyle="1" w:styleId="Heading3Char">
    <w:name w:val="Heading 3 Char"/>
    <w:basedOn w:val="DefaultParagraphFont"/>
    <w:link w:val="Heading3"/>
    <w:rsid w:val="00AC3942"/>
    <w:rPr>
      <w:rFonts w:asciiTheme="majorHAnsi" w:eastAsiaTheme="majorEastAsia" w:hAnsiTheme="majorHAnsi" w:cstheme="majorBidi"/>
      <w:b/>
      <w:bCs/>
      <w:color w:val="007BC1"/>
      <w:sz w:val="24"/>
    </w:rPr>
  </w:style>
  <w:style w:type="character" w:customStyle="1" w:styleId="Heading4Char">
    <w:name w:val="Heading 4 Char"/>
    <w:basedOn w:val="DefaultParagraphFont"/>
    <w:link w:val="Heading4"/>
    <w:rsid w:val="00DE2084"/>
    <w:rPr>
      <w:rFonts w:asciiTheme="majorHAnsi" w:eastAsiaTheme="majorEastAsia" w:hAnsiTheme="majorHAnsi" w:cstheme="majorBidi"/>
      <w:b/>
      <w:bCs/>
      <w:i/>
      <w:iCs/>
      <w:color w:val="007BC1"/>
    </w:rPr>
  </w:style>
  <w:style w:type="character" w:customStyle="1" w:styleId="Heading7Char">
    <w:name w:val="Heading 7 Char"/>
    <w:basedOn w:val="DefaultParagraphFont"/>
    <w:link w:val="Heading7"/>
    <w:semiHidden/>
    <w:rsid w:val="000D5E74"/>
    <w:rPr>
      <w:rFonts w:asciiTheme="majorHAnsi" w:eastAsiaTheme="majorEastAsia" w:hAnsiTheme="majorHAnsi" w:cstheme="majorBidi"/>
      <w:b/>
      <w:iCs/>
      <w:color w:val="214C90" w:themeColor="text2"/>
    </w:rPr>
  </w:style>
  <w:style w:type="character" w:customStyle="1" w:styleId="Heading8Char">
    <w:name w:val="Heading 8 Char"/>
    <w:basedOn w:val="DefaultParagraphFont"/>
    <w:link w:val="Heading8"/>
    <w:uiPriority w:val="3"/>
    <w:semiHidden/>
    <w:rsid w:val="000D5E74"/>
    <w:rPr>
      <w:rFonts w:asciiTheme="majorHAnsi" w:eastAsiaTheme="majorEastAsia" w:hAnsiTheme="majorHAnsi" w:cstheme="majorBidi"/>
      <w:caps/>
      <w:color w:val="214C90" w:themeColor="text2"/>
      <w:sz w:val="28"/>
      <w:lang w:eastAsia="en-US"/>
    </w:rPr>
  </w:style>
  <w:style w:type="character" w:customStyle="1" w:styleId="Heading9Char">
    <w:name w:val="Heading 9 Char"/>
    <w:aliases w:val="Appendix Heading 1 Char"/>
    <w:basedOn w:val="DefaultParagraphFont"/>
    <w:link w:val="Heading9"/>
    <w:uiPriority w:val="4"/>
    <w:rsid w:val="007D7FFC"/>
    <w:rPr>
      <w:rFonts w:asciiTheme="majorHAnsi" w:eastAsiaTheme="minorEastAsia" w:hAnsiTheme="majorHAnsi" w:cs="Arial"/>
      <w:b/>
      <w:color w:val="007BC1"/>
      <w:sz w:val="32"/>
      <w:lang w:eastAsia="en-US"/>
    </w:rPr>
  </w:style>
  <w:style w:type="character" w:styleId="Hyperlink">
    <w:name w:val="Hyperlink"/>
    <w:basedOn w:val="DefaultParagraphFont"/>
    <w:uiPriority w:val="99"/>
    <w:unhideWhenUsed/>
    <w:rsid w:val="002778AD"/>
    <w:rPr>
      <w:color w:val="000000" w:themeColor="text1"/>
      <w:u w:val="single"/>
    </w:rPr>
  </w:style>
  <w:style w:type="character" w:styleId="FollowedHyperlink">
    <w:name w:val="FollowedHyperlink"/>
    <w:basedOn w:val="DefaultParagraphFont"/>
    <w:uiPriority w:val="99"/>
    <w:rsid w:val="002778AD"/>
    <w:rPr>
      <w:color w:val="000000" w:themeColor="text1"/>
      <w:u w:val="single"/>
    </w:rPr>
  </w:style>
  <w:style w:type="paragraph" w:styleId="ListBullet">
    <w:name w:val="List Bullet"/>
    <w:basedOn w:val="BodyText"/>
    <w:link w:val="ListBulletChar"/>
    <w:qFormat/>
    <w:rsid w:val="00467DF6"/>
    <w:pPr>
      <w:numPr>
        <w:numId w:val="15"/>
      </w:numPr>
      <w:tabs>
        <w:tab w:val="clear" w:pos="2268"/>
        <w:tab w:val="clear" w:pos="4536"/>
        <w:tab w:val="clear" w:pos="6804"/>
        <w:tab w:val="clear" w:pos="9638"/>
      </w:tabs>
      <w:spacing w:before="120"/>
    </w:pPr>
  </w:style>
  <w:style w:type="paragraph" w:styleId="ListBullet2">
    <w:name w:val="List Bullet 2"/>
    <w:basedOn w:val="ListBullet"/>
    <w:link w:val="ListBullet2Char"/>
    <w:uiPriority w:val="99"/>
    <w:rsid w:val="00761C1E"/>
    <w:pPr>
      <w:numPr>
        <w:numId w:val="13"/>
      </w:numPr>
    </w:pPr>
  </w:style>
  <w:style w:type="paragraph" w:styleId="ListBullet3">
    <w:name w:val="List Bullet 3"/>
    <w:basedOn w:val="ListBullet2"/>
    <w:uiPriority w:val="99"/>
    <w:rsid w:val="000709D4"/>
  </w:style>
  <w:style w:type="paragraph" w:styleId="ListContinue">
    <w:name w:val="List Continue"/>
    <w:basedOn w:val="Normal"/>
    <w:rsid w:val="0013752B"/>
    <w:pPr>
      <w:spacing w:before="120" w:after="120"/>
      <w:ind w:left="357"/>
    </w:pPr>
    <w:rPr>
      <w:rFonts w:eastAsiaTheme="minorEastAsia"/>
    </w:rPr>
  </w:style>
  <w:style w:type="paragraph" w:styleId="ListNumber">
    <w:name w:val="List Number"/>
    <w:basedOn w:val="BodyText"/>
    <w:uiPriority w:val="99"/>
    <w:unhideWhenUsed/>
    <w:qFormat/>
    <w:rsid w:val="00E1278E"/>
    <w:pPr>
      <w:tabs>
        <w:tab w:val="clear" w:pos="2268"/>
        <w:tab w:val="clear" w:pos="4536"/>
        <w:tab w:val="clear" w:pos="6804"/>
        <w:tab w:val="clear" w:pos="9638"/>
      </w:tabs>
      <w:spacing w:before="120"/>
    </w:pPr>
  </w:style>
  <w:style w:type="paragraph" w:styleId="ListNumber2">
    <w:name w:val="List Number 2"/>
    <w:basedOn w:val="ListNumber"/>
    <w:uiPriority w:val="99"/>
    <w:unhideWhenUsed/>
    <w:rsid w:val="002E0889"/>
    <w:pPr>
      <w:numPr>
        <w:ilvl w:val="1"/>
        <w:numId w:val="7"/>
      </w:numPr>
    </w:pPr>
  </w:style>
  <w:style w:type="paragraph" w:styleId="ListNumber3">
    <w:name w:val="List Number 3"/>
    <w:basedOn w:val="ListNumber2"/>
    <w:uiPriority w:val="99"/>
    <w:unhideWhenUsed/>
    <w:rsid w:val="00D33D2C"/>
    <w:pPr>
      <w:numPr>
        <w:ilvl w:val="2"/>
      </w:numPr>
    </w:pPr>
  </w:style>
  <w:style w:type="numbering" w:customStyle="1" w:styleId="MyListNumbering">
    <w:name w:val="MyListNumbering"/>
    <w:uiPriority w:val="99"/>
    <w:rsid w:val="000C70ED"/>
    <w:pPr>
      <w:numPr>
        <w:numId w:val="2"/>
      </w:numPr>
    </w:pPr>
  </w:style>
  <w:style w:type="character" w:styleId="PlaceholderText">
    <w:name w:val="Placeholder Text"/>
    <w:basedOn w:val="DefaultParagraphFont"/>
    <w:uiPriority w:val="99"/>
    <w:semiHidden/>
    <w:rsid w:val="00DD7311"/>
    <w:rPr>
      <w:color w:val="808080"/>
    </w:rPr>
  </w:style>
  <w:style w:type="paragraph" w:customStyle="1" w:styleId="TableBodyText">
    <w:name w:val="Table Body Text"/>
    <w:basedOn w:val="Normal"/>
    <w:qFormat/>
    <w:rsid w:val="0013752B"/>
    <w:pPr>
      <w:spacing w:before="60" w:after="60"/>
      <w:ind w:left="85" w:right="85"/>
    </w:pPr>
    <w:rPr>
      <w:rFonts w:cs="Arial"/>
      <w:sz w:val="18"/>
    </w:rPr>
  </w:style>
  <w:style w:type="paragraph" w:customStyle="1" w:styleId="TableBodyTextBold">
    <w:name w:val="Table Body Text Bold"/>
    <w:basedOn w:val="TableBodyText"/>
    <w:rsid w:val="0013752B"/>
    <w:rPr>
      <w:b/>
    </w:rPr>
  </w:style>
  <w:style w:type="table" w:styleId="TableGrid">
    <w:name w:val="Table Grid"/>
    <w:basedOn w:val="TableNormal"/>
    <w:uiPriority w:val="59"/>
    <w:rsid w:val="00485775"/>
    <w:pPr>
      <w:spacing w:before="60" w:after="60"/>
      <w:ind w:left="85" w:right="85"/>
    </w:pPr>
    <w:rPr>
      <w:sz w:val="18"/>
    </w:rPr>
    <w:tblPr>
      <w:tblStyleRowBandSize w:val="1"/>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hemeFill="text2"/>
      </w:tcPr>
    </w:tblStylePr>
    <w:tblStylePr w:type="band2Horz">
      <w:tblPr/>
      <w:tcPr>
        <w:shd w:val="clear" w:color="auto" w:fill="E1E2E7" w:themeFill="background2"/>
      </w:tcPr>
    </w:tblStylePr>
  </w:style>
  <w:style w:type="paragraph" w:customStyle="1" w:styleId="TableHeading">
    <w:name w:val="Table Heading"/>
    <w:basedOn w:val="TableBodyText"/>
    <w:uiPriority w:val="99"/>
    <w:qFormat/>
    <w:rsid w:val="0013752B"/>
    <w:rPr>
      <w:color w:val="FFFFFF"/>
    </w:rPr>
  </w:style>
  <w:style w:type="paragraph" w:customStyle="1" w:styleId="TableBullet1">
    <w:name w:val="Table Bullet 1"/>
    <w:basedOn w:val="TableBodyText"/>
    <w:qFormat/>
    <w:rsid w:val="0013752B"/>
    <w:pPr>
      <w:numPr>
        <w:numId w:val="8"/>
      </w:numPr>
    </w:pPr>
  </w:style>
  <w:style w:type="paragraph" w:customStyle="1" w:styleId="TableBullet2">
    <w:name w:val="Table Bullet 2"/>
    <w:basedOn w:val="TableBullet1"/>
    <w:qFormat/>
    <w:rsid w:val="0013752B"/>
    <w:pPr>
      <w:numPr>
        <w:ilvl w:val="1"/>
      </w:numPr>
    </w:pPr>
  </w:style>
  <w:style w:type="paragraph" w:customStyle="1" w:styleId="TableBullet3">
    <w:name w:val="Table Bullet 3"/>
    <w:basedOn w:val="TableBullet2"/>
    <w:qFormat/>
    <w:rsid w:val="0013752B"/>
    <w:pPr>
      <w:numPr>
        <w:ilvl w:val="2"/>
      </w:numPr>
    </w:pPr>
  </w:style>
  <w:style w:type="paragraph" w:customStyle="1" w:styleId="TableListNumber">
    <w:name w:val="Table List Number"/>
    <w:basedOn w:val="TableBodyText"/>
    <w:qFormat/>
    <w:rsid w:val="0013752B"/>
    <w:pPr>
      <w:numPr>
        <w:numId w:val="9"/>
      </w:numPr>
    </w:pPr>
    <w:rPr>
      <w:rFonts w:eastAsiaTheme="minorEastAsia"/>
    </w:rPr>
  </w:style>
  <w:style w:type="paragraph" w:customStyle="1" w:styleId="TableListNumber2">
    <w:name w:val="Table List Number 2"/>
    <w:basedOn w:val="TableListNumber"/>
    <w:qFormat/>
    <w:rsid w:val="0013752B"/>
    <w:pPr>
      <w:numPr>
        <w:ilvl w:val="1"/>
      </w:numPr>
    </w:pPr>
  </w:style>
  <w:style w:type="paragraph" w:customStyle="1" w:styleId="TableListNumber3">
    <w:name w:val="Table List Number 3"/>
    <w:basedOn w:val="TableListNumber2"/>
    <w:qFormat/>
    <w:rsid w:val="0013752B"/>
    <w:pPr>
      <w:numPr>
        <w:ilvl w:val="2"/>
      </w:numPr>
    </w:pPr>
  </w:style>
  <w:style w:type="paragraph" w:styleId="TableofFigures">
    <w:name w:val="table of figures"/>
    <w:basedOn w:val="Normal"/>
    <w:next w:val="Normal"/>
    <w:uiPriority w:val="99"/>
    <w:rsid w:val="00844AB7"/>
    <w:pPr>
      <w:tabs>
        <w:tab w:val="right" w:leader="dot" w:pos="8165"/>
      </w:tabs>
      <w:spacing w:before="120" w:after="60"/>
      <w:ind w:left="1134" w:right="737" w:hanging="1134"/>
    </w:pPr>
    <w:rPr>
      <w:rFonts w:eastAsiaTheme="minorHAnsi" w:cstheme="minorBidi"/>
      <w:noProof/>
      <w:lang w:eastAsia="fr-CA"/>
    </w:rPr>
  </w:style>
  <w:style w:type="paragraph" w:customStyle="1" w:styleId="Source">
    <w:name w:val="Source"/>
    <w:basedOn w:val="Normal"/>
    <w:next w:val="BodyText"/>
    <w:rsid w:val="0013752B"/>
    <w:pPr>
      <w:spacing w:before="60" w:after="120" w:line="180" w:lineRule="atLeast"/>
    </w:pPr>
    <w:rPr>
      <w:rFonts w:cs="Arial"/>
      <w:sz w:val="18"/>
      <w:szCs w:val="18"/>
      <w:lang w:eastAsia="fr-CA"/>
    </w:rPr>
  </w:style>
  <w:style w:type="numbering" w:customStyle="1" w:styleId="TableBullets">
    <w:name w:val="TableBullets"/>
    <w:uiPriority w:val="99"/>
    <w:rsid w:val="00DD7311"/>
    <w:pPr>
      <w:numPr>
        <w:numId w:val="3"/>
      </w:numPr>
    </w:pPr>
  </w:style>
  <w:style w:type="numbering" w:customStyle="1" w:styleId="TableFootnotes">
    <w:name w:val="TableFootnotes"/>
    <w:uiPriority w:val="99"/>
    <w:rsid w:val="00DD7311"/>
    <w:pPr>
      <w:numPr>
        <w:numId w:val="4"/>
      </w:numPr>
    </w:pPr>
  </w:style>
  <w:style w:type="paragraph" w:styleId="Title">
    <w:name w:val="Title"/>
    <w:basedOn w:val="Normal"/>
    <w:link w:val="TitleChar"/>
    <w:uiPriority w:val="1"/>
    <w:rsid w:val="00D32EA5"/>
    <w:pPr>
      <w:spacing w:before="120" w:after="500" w:line="620" w:lineRule="exact"/>
      <w:ind w:left="227" w:right="1134"/>
    </w:pPr>
    <w:rPr>
      <w:rFonts w:asciiTheme="majorHAnsi" w:eastAsiaTheme="minorEastAsia" w:hAnsiTheme="majorHAnsi"/>
      <w:b/>
      <w:color w:val="214C90" w:themeColor="text2"/>
      <w:sz w:val="56"/>
      <w:szCs w:val="48"/>
    </w:rPr>
  </w:style>
  <w:style w:type="character" w:customStyle="1" w:styleId="TitleChar">
    <w:name w:val="Title Char"/>
    <w:basedOn w:val="DefaultParagraphFont"/>
    <w:link w:val="Title"/>
    <w:uiPriority w:val="1"/>
    <w:rsid w:val="00D32EA5"/>
    <w:rPr>
      <w:rFonts w:asciiTheme="majorHAnsi" w:eastAsiaTheme="minorEastAsia" w:hAnsiTheme="majorHAnsi"/>
      <w:b/>
      <w:color w:val="214C90" w:themeColor="text2"/>
      <w:sz w:val="56"/>
      <w:szCs w:val="48"/>
    </w:rPr>
  </w:style>
  <w:style w:type="paragraph" w:styleId="Subtitle">
    <w:name w:val="Subtitle"/>
    <w:basedOn w:val="Title"/>
    <w:next w:val="Normal"/>
    <w:link w:val="SubtitleChar"/>
    <w:uiPriority w:val="1"/>
    <w:rsid w:val="00D32EA5"/>
    <w:pPr>
      <w:spacing w:before="0" w:after="720" w:line="400" w:lineRule="exact"/>
      <w:contextualSpacing/>
    </w:pPr>
    <w:rPr>
      <w:rFonts w:asciiTheme="minorHAnsi" w:hAnsiTheme="minorHAnsi"/>
      <w:b w:val="0"/>
      <w:color w:val="5D89B4" w:themeColor="accent3"/>
      <w:spacing w:val="4"/>
      <w:sz w:val="40"/>
    </w:rPr>
  </w:style>
  <w:style w:type="paragraph" w:styleId="TOC1">
    <w:name w:val="toc 1"/>
    <w:basedOn w:val="Normal"/>
    <w:next w:val="Normal"/>
    <w:autoRedefine/>
    <w:uiPriority w:val="39"/>
    <w:rsid w:val="00014D37"/>
    <w:pPr>
      <w:tabs>
        <w:tab w:val="left" w:pos="567"/>
        <w:tab w:val="right" w:leader="dot" w:pos="8165"/>
      </w:tabs>
      <w:spacing w:before="240" w:after="60"/>
      <w:ind w:left="567" w:right="737" w:hanging="567"/>
    </w:pPr>
    <w:rPr>
      <w:rFonts w:eastAsiaTheme="minorHAnsi" w:cstheme="minorBidi"/>
      <w:b/>
      <w:noProof/>
      <w:lang w:eastAsia="en-US"/>
    </w:rPr>
  </w:style>
  <w:style w:type="paragraph" w:styleId="TOC2">
    <w:name w:val="toc 2"/>
    <w:basedOn w:val="Normal"/>
    <w:next w:val="Normal"/>
    <w:autoRedefine/>
    <w:uiPriority w:val="39"/>
    <w:rsid w:val="00C04CFF"/>
    <w:pPr>
      <w:tabs>
        <w:tab w:val="left" w:pos="567"/>
        <w:tab w:val="right" w:leader="dot" w:pos="8165"/>
      </w:tabs>
      <w:spacing w:before="120" w:after="60"/>
      <w:ind w:right="737"/>
    </w:pPr>
    <w:rPr>
      <w:rFonts w:eastAsiaTheme="minorHAnsi" w:cstheme="minorBidi"/>
      <w:noProof/>
      <w:lang w:eastAsia="fr-CA"/>
    </w:rPr>
  </w:style>
  <w:style w:type="paragraph" w:styleId="TOC3">
    <w:name w:val="toc 3"/>
    <w:basedOn w:val="Normal"/>
    <w:next w:val="Normal"/>
    <w:autoRedefine/>
    <w:uiPriority w:val="39"/>
    <w:rsid w:val="00EB5ECF"/>
    <w:pPr>
      <w:tabs>
        <w:tab w:val="right" w:leader="dot" w:pos="8165"/>
      </w:tabs>
      <w:spacing w:before="120" w:after="60"/>
      <w:ind w:left="851" w:right="737" w:hanging="851"/>
    </w:pPr>
    <w:rPr>
      <w:rFonts w:eastAsiaTheme="minorHAnsi" w:cstheme="minorBidi"/>
      <w:noProof/>
      <w:szCs w:val="18"/>
      <w:lang w:eastAsia="fr-CA"/>
    </w:rPr>
  </w:style>
  <w:style w:type="character" w:customStyle="1" w:styleId="SubtitleChar">
    <w:name w:val="Subtitle Char"/>
    <w:basedOn w:val="DefaultParagraphFont"/>
    <w:link w:val="Subtitle"/>
    <w:uiPriority w:val="1"/>
    <w:rsid w:val="00D32EA5"/>
    <w:rPr>
      <w:rFonts w:eastAsiaTheme="minorEastAsia"/>
      <w:color w:val="5D89B4" w:themeColor="accent3"/>
      <w:spacing w:val="4"/>
      <w:sz w:val="40"/>
      <w:szCs w:val="48"/>
    </w:rPr>
  </w:style>
  <w:style w:type="paragraph" w:styleId="NormalWeb">
    <w:name w:val="Normal (Web)"/>
    <w:basedOn w:val="Normal"/>
    <w:uiPriority w:val="99"/>
    <w:rsid w:val="003255DA"/>
    <w:rPr>
      <w:szCs w:val="24"/>
    </w:rPr>
  </w:style>
  <w:style w:type="paragraph" w:styleId="ListContinue2">
    <w:name w:val="List Continue 2"/>
    <w:basedOn w:val="Normal"/>
    <w:rsid w:val="0013752B"/>
    <w:pPr>
      <w:spacing w:before="120" w:after="120"/>
      <w:ind w:left="714"/>
    </w:pPr>
    <w:rPr>
      <w:rFonts w:eastAsiaTheme="minorEastAsia"/>
    </w:rPr>
  </w:style>
  <w:style w:type="paragraph" w:styleId="ListContinue3">
    <w:name w:val="List Continue 3"/>
    <w:basedOn w:val="Normal"/>
    <w:rsid w:val="0013752B"/>
    <w:pPr>
      <w:spacing w:before="120" w:after="120"/>
      <w:ind w:left="1072"/>
    </w:pPr>
    <w:rPr>
      <w:rFonts w:eastAsiaTheme="minorEastAsia"/>
    </w:rPr>
  </w:style>
  <w:style w:type="paragraph" w:styleId="NoSpacing">
    <w:name w:val="No Spacing"/>
    <w:next w:val="BodyText"/>
    <w:rsid w:val="00B85B75"/>
    <w:pPr>
      <w:spacing w:line="240" w:lineRule="auto"/>
    </w:pPr>
  </w:style>
  <w:style w:type="paragraph" w:customStyle="1" w:styleId="TableofFiguresHeading">
    <w:name w:val="Table of Figures Heading"/>
    <w:basedOn w:val="Normal"/>
    <w:rsid w:val="006E2604"/>
    <w:pPr>
      <w:spacing w:before="120" w:after="120"/>
    </w:pPr>
    <w:rPr>
      <w:rFonts w:asciiTheme="majorHAnsi" w:eastAsiaTheme="minorEastAsia" w:hAnsiTheme="majorHAnsi"/>
      <w:b/>
      <w:bCs/>
      <w:color w:val="214C90" w:themeColor="text2"/>
    </w:rPr>
  </w:style>
  <w:style w:type="paragraph" w:customStyle="1" w:styleId="SideNote">
    <w:name w:val="Side Note"/>
    <w:basedOn w:val="BodyText"/>
    <w:qFormat/>
    <w:rsid w:val="00B651D5"/>
    <w:pPr>
      <w:framePr w:w="1418" w:h="397" w:wrap="around" w:vAnchor="text" w:hAnchor="page" w:x="568" w:y="143"/>
      <w:spacing w:before="0" w:line="247" w:lineRule="auto"/>
    </w:pPr>
    <w:rPr>
      <w:i/>
      <w:sz w:val="20"/>
    </w:rPr>
  </w:style>
  <w:style w:type="paragraph" w:customStyle="1" w:styleId="Address">
    <w:name w:val="Address"/>
    <w:basedOn w:val="Normal"/>
    <w:rsid w:val="00C6084A"/>
    <w:pPr>
      <w:framePr w:hSpace="181" w:wrap="around" w:vAnchor="page" w:hAnchor="page" w:xAlign="right" w:yAlign="bottom"/>
      <w:tabs>
        <w:tab w:val="left" w:pos="227"/>
      </w:tabs>
      <w:spacing w:line="220" w:lineRule="atLeast"/>
      <w:suppressOverlap/>
    </w:pPr>
    <w:rPr>
      <w:noProof/>
      <w:color w:val="FFFFFF"/>
    </w:rPr>
  </w:style>
  <w:style w:type="character" w:customStyle="1" w:styleId="Heading5Char">
    <w:name w:val="Heading 5 Char"/>
    <w:basedOn w:val="DefaultParagraphFont"/>
    <w:link w:val="Heading5"/>
    <w:rsid w:val="00A014E2"/>
    <w:rPr>
      <w:rFonts w:asciiTheme="majorHAnsi" w:eastAsiaTheme="majorEastAsia" w:hAnsiTheme="majorHAnsi" w:cstheme="majorBidi"/>
      <w:i/>
      <w:color w:val="214C90" w:themeColor="text2"/>
    </w:rPr>
  </w:style>
  <w:style w:type="character" w:customStyle="1" w:styleId="Heading6Char">
    <w:name w:val="Heading 6 Char"/>
    <w:aliases w:val="H6 Char,(I) Char,Legal Level 1. Char,I Char,a. Char,Style 11 Char, not Kinhill Char,6 Char,Body Text 5 Char,Heading 6 - do not use Char,Heading 6 Interstar Char,Heading 6(unused) Char,L1 PIP Char,Lev 6 Char,Level 6 Char,Name of Org Char"/>
    <w:basedOn w:val="DefaultParagraphFont"/>
    <w:link w:val="Heading6"/>
    <w:semiHidden/>
    <w:rsid w:val="00A014E2"/>
    <w:rPr>
      <w:rFonts w:asciiTheme="majorHAnsi" w:eastAsiaTheme="majorEastAsia" w:hAnsiTheme="majorHAnsi" w:cstheme="majorBidi"/>
      <w:b/>
      <w:iCs/>
      <w:color w:val="214C90" w:themeColor="text2"/>
      <w:lang w:eastAsia="en-US"/>
    </w:rPr>
  </w:style>
  <w:style w:type="paragraph" w:styleId="Revision">
    <w:name w:val="Revision"/>
    <w:hidden/>
    <w:uiPriority w:val="99"/>
    <w:semiHidden/>
    <w:rsid w:val="009E7348"/>
    <w:rPr>
      <w:rFonts w:ascii="Calibri" w:eastAsia="Calibri" w:hAnsi="Calibri"/>
      <w:lang w:eastAsia="en-US"/>
    </w:rPr>
  </w:style>
  <w:style w:type="table" w:customStyle="1" w:styleId="TablePlaceholder">
    <w:name w:val="Table Placeholder"/>
    <w:basedOn w:val="TableNormal"/>
    <w:uiPriority w:val="99"/>
    <w:rsid w:val="00480149"/>
    <w:pPr>
      <w:spacing w:line="240" w:lineRule="auto"/>
    </w:pPr>
    <w:tblPr>
      <w:tblCellMar>
        <w:left w:w="45" w:type="dxa"/>
        <w:right w:w="45" w:type="dxa"/>
      </w:tblCellMar>
    </w:tblPr>
  </w:style>
  <w:style w:type="paragraph" w:styleId="Quote">
    <w:name w:val="Quote"/>
    <w:basedOn w:val="Normal"/>
    <w:next w:val="Normal"/>
    <w:link w:val="QuoteChar"/>
    <w:qFormat/>
    <w:rsid w:val="002778AD"/>
    <w:pPr>
      <w:spacing w:before="200" w:after="160"/>
      <w:ind w:left="357" w:right="357"/>
    </w:pPr>
    <w:rPr>
      <w:i/>
      <w:iCs/>
      <w:sz w:val="20"/>
    </w:rPr>
  </w:style>
  <w:style w:type="character" w:customStyle="1" w:styleId="QuoteChar">
    <w:name w:val="Quote Char"/>
    <w:basedOn w:val="DefaultParagraphFont"/>
    <w:link w:val="Quote"/>
    <w:rsid w:val="002778AD"/>
    <w:rPr>
      <w:i/>
      <w:iCs/>
      <w:sz w:val="20"/>
    </w:rPr>
  </w:style>
  <w:style w:type="paragraph" w:customStyle="1" w:styleId="PullOutBoxBodyText">
    <w:name w:val="Pull Out Box Body Text"/>
    <w:basedOn w:val="Normal"/>
    <w:rsid w:val="00782365"/>
    <w:pPr>
      <w:spacing w:before="120"/>
    </w:pPr>
    <w:rPr>
      <w:rFonts w:eastAsiaTheme="minorEastAsia" w:cstheme="minorBidi"/>
      <w:lang w:eastAsia="fr-CA"/>
    </w:rPr>
  </w:style>
  <w:style w:type="paragraph" w:customStyle="1" w:styleId="PullOutBoxHeading">
    <w:name w:val="Pull Out Box Heading"/>
    <w:basedOn w:val="Normal"/>
    <w:next w:val="PullOutBoxBodyText"/>
    <w:rsid w:val="00782365"/>
    <w:pPr>
      <w:spacing w:before="120"/>
    </w:pPr>
    <w:rPr>
      <w:rFonts w:eastAsiaTheme="minorHAnsi" w:cstheme="minorBidi"/>
      <w:b/>
      <w:color w:val="214C90" w:themeColor="text2"/>
      <w:szCs w:val="24"/>
      <w:lang w:eastAsia="fr-CA"/>
    </w:rPr>
  </w:style>
  <w:style w:type="table" w:customStyle="1" w:styleId="PullOutBoxTable">
    <w:name w:val="Pull Out Box Table"/>
    <w:basedOn w:val="TableNormal"/>
    <w:uiPriority w:val="99"/>
    <w:rsid w:val="004B3F0E"/>
    <w:pPr>
      <w:spacing w:line="240" w:lineRule="auto"/>
    </w:pPr>
    <w:tblPr>
      <w:tblCellMar>
        <w:top w:w="142" w:type="dxa"/>
        <w:left w:w="170" w:type="dxa"/>
        <w:bottom w:w="142" w:type="dxa"/>
        <w:right w:w="170" w:type="dxa"/>
      </w:tblCellMar>
    </w:tblPr>
    <w:tcPr>
      <w:shd w:val="clear" w:color="auto" w:fill="E1E2E7" w:themeFill="background2"/>
    </w:tcPr>
  </w:style>
  <w:style w:type="character" w:customStyle="1" w:styleId="Bold">
    <w:name w:val="Bold"/>
    <w:uiPriority w:val="99"/>
    <w:semiHidden/>
    <w:rsid w:val="00446E25"/>
    <w:rPr>
      <w:rFonts w:eastAsiaTheme="minorEastAsia"/>
      <w:b/>
      <w:i w:val="0"/>
      <w:strike w:val="0"/>
      <w:vertAlign w:val="baseline"/>
    </w:rPr>
  </w:style>
  <w:style w:type="character" w:customStyle="1" w:styleId="BoldAndItalics">
    <w:name w:val="Bold And Italics"/>
    <w:uiPriority w:val="99"/>
    <w:semiHidden/>
    <w:rsid w:val="00446E25"/>
    <w:rPr>
      <w:rFonts w:eastAsiaTheme="minorEastAsia"/>
      <w:b/>
      <w:i/>
      <w:strike w:val="0"/>
      <w:vertAlign w:val="baseline"/>
    </w:rPr>
  </w:style>
  <w:style w:type="paragraph" w:customStyle="1" w:styleId="TableHeadingBold">
    <w:name w:val="Table Heading Bold"/>
    <w:basedOn w:val="TableHeading"/>
    <w:rsid w:val="0013752B"/>
    <w:rPr>
      <w:b/>
    </w:rPr>
  </w:style>
  <w:style w:type="paragraph" w:customStyle="1" w:styleId="AppendixHeading4">
    <w:name w:val="Appendix Heading 4"/>
    <w:basedOn w:val="Normal"/>
    <w:next w:val="BodyText"/>
    <w:uiPriority w:val="4"/>
    <w:rsid w:val="007D7FFC"/>
    <w:pPr>
      <w:keepNext/>
      <w:numPr>
        <w:ilvl w:val="3"/>
        <w:numId w:val="5"/>
      </w:numPr>
      <w:spacing w:before="360" w:after="240"/>
    </w:pPr>
    <w:rPr>
      <w:rFonts w:asciiTheme="majorHAnsi" w:eastAsiaTheme="minorEastAsia" w:hAnsiTheme="majorHAnsi"/>
      <w:b/>
      <w:i/>
      <w:color w:val="007BC1"/>
      <w:lang w:eastAsia="en-US"/>
    </w:rPr>
  </w:style>
  <w:style w:type="paragraph" w:customStyle="1" w:styleId="xPageNumberHeading">
    <w:name w:val="xPage Number Heading"/>
    <w:basedOn w:val="Normal"/>
    <w:next w:val="BodyText"/>
    <w:rsid w:val="002778AD"/>
    <w:pPr>
      <w:keepNext/>
      <w:keepLines/>
      <w:tabs>
        <w:tab w:val="right" w:pos="9639"/>
      </w:tabs>
      <w:spacing w:after="360"/>
      <w:jc w:val="right"/>
    </w:pPr>
    <w:rPr>
      <w:lang w:eastAsia="en-US"/>
    </w:rPr>
  </w:style>
  <w:style w:type="paragraph" w:customStyle="1" w:styleId="Notes">
    <w:name w:val="Notes"/>
    <w:basedOn w:val="Normal"/>
    <w:rsid w:val="00782365"/>
    <w:pPr>
      <w:spacing w:before="120" w:after="120"/>
    </w:pPr>
    <w:rPr>
      <w:rFonts w:cs="Arial"/>
      <w:sz w:val="18"/>
    </w:rPr>
  </w:style>
  <w:style w:type="paragraph" w:styleId="Date">
    <w:name w:val="Date"/>
    <w:basedOn w:val="Normal"/>
    <w:next w:val="Normal"/>
    <w:link w:val="DateChar"/>
    <w:rsid w:val="007F2042"/>
    <w:pPr>
      <w:ind w:left="227"/>
    </w:pPr>
    <w:rPr>
      <w:rFonts w:eastAsiaTheme="minorEastAsia"/>
      <w:sz w:val="32"/>
    </w:rPr>
  </w:style>
  <w:style w:type="character" w:customStyle="1" w:styleId="DateChar">
    <w:name w:val="Date Char"/>
    <w:basedOn w:val="DefaultParagraphFont"/>
    <w:link w:val="Date"/>
    <w:rsid w:val="007F2042"/>
    <w:rPr>
      <w:rFonts w:eastAsiaTheme="minorEastAsia"/>
      <w:sz w:val="32"/>
    </w:rPr>
  </w:style>
  <w:style w:type="paragraph" w:customStyle="1" w:styleId="NotesNumbered">
    <w:name w:val="Notes Numbered"/>
    <w:basedOn w:val="Normal"/>
    <w:qFormat/>
    <w:rsid w:val="00323279"/>
    <w:pPr>
      <w:numPr>
        <w:numId w:val="6"/>
      </w:numPr>
      <w:spacing w:before="120" w:after="240" w:line="240" w:lineRule="auto"/>
      <w:contextualSpacing/>
    </w:pPr>
    <w:rPr>
      <w:rFonts w:cs="Arial"/>
      <w:sz w:val="18"/>
      <w:szCs w:val="20"/>
      <w:lang w:eastAsia="fr-CA"/>
    </w:rPr>
  </w:style>
  <w:style w:type="paragraph" w:styleId="FootnoteText">
    <w:name w:val="footnote text"/>
    <w:aliases w:val="BG Footnote Text,TBG Style,ALTS FOOTNOTE,(NECG) Footnote Text,Footnote text,AR Footnote Text,AR Footnote Text Char Char Char Char Char,ALTS FOOTNOTE Char1,Footnote Text Char1 Char,Footnote Text Char Char Char,fn,Footnote Text1,f"/>
    <w:basedOn w:val="Normal"/>
    <w:link w:val="FootnoteTextChar"/>
    <w:qFormat/>
    <w:rsid w:val="003042FF"/>
    <w:pPr>
      <w:tabs>
        <w:tab w:val="left" w:pos="340"/>
      </w:tabs>
      <w:spacing w:before="60" w:after="60" w:line="240" w:lineRule="auto"/>
      <w:ind w:left="340" w:hanging="340"/>
    </w:pPr>
    <w:rPr>
      <w:sz w:val="16"/>
      <w:szCs w:val="20"/>
    </w:rPr>
  </w:style>
  <w:style w:type="character" w:customStyle="1" w:styleId="FootnoteTextChar">
    <w:name w:val="Footnote Text Char"/>
    <w:aliases w:val="BG Footnote Text Char,TBG Style Char,ALTS FOOTNOTE Char,(NECG) Footnote Text Char,Footnote text Char,AR Footnote Text Char,AR Footnote Text Char Char Char Char Char Char,ALTS FOOTNOTE Char1 Char,Footnote Text Char1 Char Char,fn Char"/>
    <w:basedOn w:val="DefaultParagraphFont"/>
    <w:link w:val="FootnoteText"/>
    <w:rsid w:val="003042FF"/>
    <w:rPr>
      <w:rFonts w:ascii="Arial" w:hAnsi="Arial"/>
      <w:sz w:val="16"/>
      <w:szCs w:val="20"/>
    </w:rPr>
  </w:style>
  <w:style w:type="character" w:styleId="FootnoteReference">
    <w:name w:val="footnote reference"/>
    <w:aliases w:val="(NECG) Footnote Reference,fr,o,Style 6 + 12 pt,(NECG) Footnote Reference1,(NECG) Footnote Reference2,(NECG) Footnote Reference3,(NECG) Footnote Reference4,(NECG) Footnote Reference5,(NECG) Footnote Reference6"/>
    <w:basedOn w:val="DefaultParagraphFont"/>
    <w:unhideWhenUsed/>
    <w:rsid w:val="00A176B6"/>
    <w:rPr>
      <w:vertAlign w:val="superscript"/>
    </w:rPr>
  </w:style>
  <w:style w:type="paragraph" w:styleId="ListNumber4">
    <w:name w:val="List Number 4"/>
    <w:basedOn w:val="Normal"/>
    <w:uiPriority w:val="99"/>
    <w:unhideWhenUsed/>
    <w:rsid w:val="00D33D2C"/>
    <w:pPr>
      <w:numPr>
        <w:ilvl w:val="3"/>
        <w:numId w:val="7"/>
      </w:numPr>
      <w:spacing w:before="120" w:after="120"/>
    </w:pPr>
  </w:style>
  <w:style w:type="paragraph" w:styleId="ListNumber5">
    <w:name w:val="List Number 5"/>
    <w:basedOn w:val="Normal"/>
    <w:uiPriority w:val="99"/>
    <w:unhideWhenUsed/>
    <w:rsid w:val="00D33D2C"/>
    <w:pPr>
      <w:numPr>
        <w:ilvl w:val="4"/>
        <w:numId w:val="7"/>
      </w:numPr>
      <w:spacing w:before="120" w:after="120"/>
    </w:pPr>
  </w:style>
  <w:style w:type="paragraph" w:styleId="ListBullet4">
    <w:name w:val="List Bullet 4"/>
    <w:basedOn w:val="Normal"/>
    <w:unhideWhenUsed/>
    <w:rsid w:val="001122BF"/>
    <w:pPr>
      <w:spacing w:before="120" w:after="120"/>
    </w:pPr>
  </w:style>
  <w:style w:type="paragraph" w:styleId="ListBullet5">
    <w:name w:val="List Bullet 5"/>
    <w:basedOn w:val="Normal"/>
    <w:unhideWhenUsed/>
    <w:rsid w:val="001122BF"/>
    <w:pPr>
      <w:contextualSpacing/>
    </w:pPr>
  </w:style>
  <w:style w:type="paragraph" w:customStyle="1" w:styleId="PageNumberinFrame">
    <w:name w:val="Page Number in Frame"/>
    <w:basedOn w:val="Normal"/>
    <w:uiPriority w:val="99"/>
    <w:qFormat/>
    <w:rsid w:val="00A13A74"/>
    <w:pPr>
      <w:framePr w:w="1701" w:h="1701" w:hRule="exact" w:wrap="around" w:vAnchor="text" w:hAnchor="margin" w:xAlign="right" w:y="1"/>
      <w:jc w:val="center"/>
    </w:pPr>
    <w:rPr>
      <w:sz w:val="18"/>
    </w:rPr>
  </w:style>
  <w:style w:type="paragraph" w:customStyle="1" w:styleId="BodyTextSmall">
    <w:name w:val="Body Text Small"/>
    <w:basedOn w:val="Normal"/>
    <w:qFormat/>
    <w:rsid w:val="00AD6695"/>
    <w:pPr>
      <w:spacing w:before="240" w:after="120"/>
    </w:pPr>
    <w:rPr>
      <w:sz w:val="18"/>
    </w:rPr>
  </w:style>
  <w:style w:type="paragraph" w:styleId="ListContinue4">
    <w:name w:val="List Continue 4"/>
    <w:basedOn w:val="Normal"/>
    <w:semiHidden/>
    <w:unhideWhenUsed/>
    <w:rsid w:val="0013752B"/>
    <w:pPr>
      <w:spacing w:before="120" w:after="120"/>
      <w:ind w:left="1429"/>
    </w:pPr>
  </w:style>
  <w:style w:type="paragraph" w:styleId="ListContinue5">
    <w:name w:val="List Continue 5"/>
    <w:basedOn w:val="Normal"/>
    <w:semiHidden/>
    <w:unhideWhenUsed/>
    <w:rsid w:val="0013752B"/>
    <w:pPr>
      <w:spacing w:before="120" w:after="120"/>
      <w:ind w:left="1786"/>
    </w:pPr>
  </w:style>
  <w:style w:type="paragraph" w:customStyle="1" w:styleId="ExecSummHeading1">
    <w:name w:val="Exec Summ Heading 1"/>
    <w:basedOn w:val="Normal"/>
    <w:next w:val="BodyText"/>
    <w:qFormat/>
    <w:rsid w:val="00DE2084"/>
    <w:pPr>
      <w:pageBreakBefore/>
      <w:spacing w:after="240"/>
      <w:ind w:left="851" w:hanging="851"/>
      <w:outlineLvl w:val="0"/>
    </w:pPr>
    <w:rPr>
      <w:rFonts w:asciiTheme="majorHAnsi" w:hAnsiTheme="majorHAnsi"/>
      <w:b/>
      <w:color w:val="007BC1"/>
      <w:sz w:val="32"/>
    </w:rPr>
  </w:style>
  <w:style w:type="paragraph" w:customStyle="1" w:styleId="ExecSummHeading2">
    <w:name w:val="Exec Summ Heading 2"/>
    <w:basedOn w:val="ExecSummHeading1"/>
    <w:next w:val="BodyText"/>
    <w:qFormat/>
    <w:rsid w:val="00DE2084"/>
    <w:pPr>
      <w:pageBreakBefore w:val="0"/>
      <w:spacing w:before="360"/>
      <w:outlineLvl w:val="9"/>
    </w:pPr>
    <w:rPr>
      <w:sz w:val="28"/>
    </w:rPr>
  </w:style>
  <w:style w:type="paragraph" w:customStyle="1" w:styleId="ExecSummHeading3">
    <w:name w:val="Exec Summ Heading 3"/>
    <w:basedOn w:val="ExecSummHeading2"/>
    <w:next w:val="BodyText"/>
    <w:qFormat/>
    <w:rsid w:val="00FF2DF8"/>
    <w:rPr>
      <w:sz w:val="22"/>
    </w:rPr>
  </w:style>
  <w:style w:type="paragraph" w:customStyle="1" w:styleId="ExecSummBodyText">
    <w:name w:val="Exec Summ Body Text"/>
    <w:basedOn w:val="Normal"/>
    <w:qFormat/>
    <w:rsid w:val="004B4F74"/>
    <w:pPr>
      <w:spacing w:before="240" w:after="120"/>
    </w:pPr>
  </w:style>
  <w:style w:type="paragraph" w:styleId="TOC4">
    <w:name w:val="toc 4"/>
    <w:basedOn w:val="Normal"/>
    <w:next w:val="Normal"/>
    <w:autoRedefine/>
    <w:uiPriority w:val="39"/>
    <w:unhideWhenUsed/>
    <w:rsid w:val="00774723"/>
    <w:pPr>
      <w:tabs>
        <w:tab w:val="right" w:leader="dot" w:pos="8165"/>
      </w:tabs>
      <w:spacing w:before="120" w:after="60"/>
      <w:ind w:right="737"/>
    </w:pPr>
  </w:style>
  <w:style w:type="character" w:customStyle="1" w:styleId="MyBoldItalicsUnderline">
    <w:name w:val="MyBoldItalicsUnderline"/>
    <w:semiHidden/>
    <w:rsid w:val="000C70ED"/>
    <w:rPr>
      <w:b/>
      <w:i/>
      <w:strike w:val="0"/>
      <w:u w:val="single"/>
      <w:vertAlign w:val="baseline"/>
    </w:rPr>
  </w:style>
  <w:style w:type="character" w:customStyle="1" w:styleId="MyBoldUnderline">
    <w:name w:val="MyBoldUnderline"/>
    <w:semiHidden/>
    <w:rsid w:val="000C70ED"/>
    <w:rPr>
      <w:b/>
      <w:i/>
      <w:strike w:val="0"/>
      <w:u w:val="single"/>
      <w:vertAlign w:val="baseline"/>
    </w:rPr>
  </w:style>
  <w:style w:type="character" w:customStyle="1" w:styleId="MyItalicsUnderline">
    <w:name w:val="MyItalicsUnderline"/>
    <w:semiHidden/>
    <w:rsid w:val="000C70ED"/>
    <w:rPr>
      <w:b/>
      <w:i/>
      <w:strike w:val="0"/>
      <w:u w:val="single"/>
      <w:vertAlign w:val="baseline"/>
    </w:rPr>
  </w:style>
  <w:style w:type="character" w:customStyle="1" w:styleId="MyStrikethrough">
    <w:name w:val="MyStrikethrough"/>
    <w:semiHidden/>
    <w:rsid w:val="000C70ED"/>
    <w:rPr>
      <w:b w:val="0"/>
      <w:i w:val="0"/>
      <w:strike/>
      <w:dstrike w:val="0"/>
      <w:vertAlign w:val="baseline"/>
    </w:rPr>
  </w:style>
  <w:style w:type="character" w:customStyle="1" w:styleId="MySubscript">
    <w:name w:val="MySubscript"/>
    <w:semiHidden/>
    <w:rsid w:val="000C70ED"/>
    <w:rPr>
      <w:b w:val="0"/>
      <w:i w:val="0"/>
      <w:strike w:val="0"/>
      <w:vertAlign w:val="subscript"/>
    </w:rPr>
  </w:style>
  <w:style w:type="character" w:customStyle="1" w:styleId="MySubscriptItalics">
    <w:name w:val="MySubscript&amp;Italics"/>
    <w:semiHidden/>
    <w:rsid w:val="000C70ED"/>
    <w:rPr>
      <w:b w:val="0"/>
      <w:i/>
      <w:strike w:val="0"/>
      <w:vertAlign w:val="subscript"/>
    </w:rPr>
  </w:style>
  <w:style w:type="character" w:customStyle="1" w:styleId="MySuperscript">
    <w:name w:val="MySuperscript"/>
    <w:semiHidden/>
    <w:rsid w:val="000C70ED"/>
    <w:rPr>
      <w:b w:val="0"/>
      <w:i w:val="0"/>
      <w:strike w:val="0"/>
      <w:vertAlign w:val="superscript"/>
    </w:rPr>
  </w:style>
  <w:style w:type="character" w:customStyle="1" w:styleId="MySuperscriptItalics">
    <w:name w:val="MySuperscript&amp;Italics"/>
    <w:semiHidden/>
    <w:rsid w:val="000C70ED"/>
    <w:rPr>
      <w:b w:val="0"/>
      <w:i/>
      <w:strike w:val="0"/>
      <w:vertAlign w:val="superscript"/>
    </w:rPr>
  </w:style>
  <w:style w:type="character" w:customStyle="1" w:styleId="MyUnderline">
    <w:name w:val="MyUnderline"/>
    <w:semiHidden/>
    <w:rsid w:val="000C70ED"/>
    <w:rPr>
      <w:b w:val="0"/>
      <w:i w:val="0"/>
      <w:strike w:val="0"/>
      <w:u w:val="single"/>
      <w:vertAlign w:val="baseline"/>
    </w:rPr>
  </w:style>
  <w:style w:type="character" w:customStyle="1" w:styleId="MyUnderlineStrikethrough">
    <w:name w:val="MyUnderline&amp;Strikethrough"/>
    <w:semiHidden/>
    <w:rsid w:val="000C70ED"/>
    <w:rPr>
      <w:b w:val="0"/>
      <w:i w:val="0"/>
      <w:strike/>
      <w:dstrike w:val="0"/>
      <w:u w:val="single"/>
      <w:vertAlign w:val="baseline"/>
    </w:rPr>
  </w:style>
  <w:style w:type="paragraph" w:styleId="CommentText">
    <w:name w:val="annotation text"/>
    <w:basedOn w:val="Normal"/>
    <w:link w:val="CommentTextChar"/>
    <w:uiPriority w:val="99"/>
    <w:unhideWhenUsed/>
    <w:rsid w:val="00130333"/>
    <w:pPr>
      <w:spacing w:after="160" w:line="240" w:lineRule="auto"/>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rsid w:val="00130333"/>
    <w:rPr>
      <w:rFonts w:eastAsiaTheme="minorHAnsi" w:cstheme="minorBidi"/>
      <w:sz w:val="20"/>
      <w:szCs w:val="20"/>
      <w:lang w:eastAsia="en-US"/>
    </w:rPr>
  </w:style>
  <w:style w:type="character" w:customStyle="1" w:styleId="ListParagraphChar">
    <w:name w:val="List Paragraph Char"/>
    <w:aliases w:val="List Paragraph11 Char,Recommendation Char,List Paragraph1 Char,Bullet point Char,1 heading Char,Dot point 1.5 line spacing Char,L Char,List Paragraph - bullets Char,NFP GP Bulleted List Char,bullet point list Char,LP-DO NOT USE Char"/>
    <w:basedOn w:val="DefaultParagraphFont"/>
    <w:link w:val="ListParagraph"/>
    <w:uiPriority w:val="34"/>
    <w:locked/>
    <w:rsid w:val="00130333"/>
  </w:style>
  <w:style w:type="paragraph" w:styleId="ListParagraph">
    <w:name w:val="List Paragraph"/>
    <w:aliases w:val="List Paragraph11,Recommendation,List Paragraph1,Bullet point,1 heading,Dot point 1.5 line spacing,L,List Paragraph - bullets,NFP GP Bulleted List,bullet point list,LP-DO NOT USE,Bulleted Para,CV text,Dot pt,F5 List Paragraph,FooterText"/>
    <w:basedOn w:val="Normal"/>
    <w:link w:val="ListParagraphChar"/>
    <w:uiPriority w:val="34"/>
    <w:qFormat/>
    <w:rsid w:val="00130333"/>
    <w:pPr>
      <w:spacing w:after="160" w:line="256" w:lineRule="auto"/>
      <w:ind w:left="720"/>
      <w:contextualSpacing/>
    </w:pPr>
    <w:rPr>
      <w:rFonts w:asciiTheme="minorHAnsi" w:hAnsiTheme="minorHAnsi"/>
    </w:rPr>
  </w:style>
  <w:style w:type="paragraph" w:customStyle="1" w:styleId="Default">
    <w:name w:val="Default"/>
    <w:rsid w:val="00130333"/>
    <w:pPr>
      <w:autoSpaceDE w:val="0"/>
      <w:autoSpaceDN w:val="0"/>
      <w:adjustRightInd w:val="0"/>
      <w:spacing w:line="240" w:lineRule="auto"/>
    </w:pPr>
    <w:rPr>
      <w:rFonts w:ascii="Arial" w:eastAsia="Calibri" w:hAnsi="Arial" w:cs="Arial"/>
      <w:color w:val="000000"/>
      <w:sz w:val="24"/>
      <w:szCs w:val="24"/>
    </w:rPr>
  </w:style>
  <w:style w:type="character" w:styleId="CommentReference">
    <w:name w:val="annotation reference"/>
    <w:basedOn w:val="DefaultParagraphFont"/>
    <w:uiPriority w:val="99"/>
    <w:semiHidden/>
    <w:unhideWhenUsed/>
    <w:rsid w:val="00130333"/>
    <w:rPr>
      <w:sz w:val="16"/>
      <w:szCs w:val="16"/>
    </w:rPr>
  </w:style>
  <w:style w:type="numbering" w:customStyle="1" w:styleId="BulletList">
    <w:name w:val="Bullet List"/>
    <w:uiPriority w:val="99"/>
    <w:rsid w:val="00130333"/>
    <w:pPr>
      <w:numPr>
        <w:numId w:val="11"/>
      </w:numPr>
    </w:pPr>
  </w:style>
  <w:style w:type="paragraph" w:customStyle="1" w:styleId="Pa9">
    <w:name w:val="Pa9"/>
    <w:basedOn w:val="Default"/>
    <w:next w:val="Default"/>
    <w:uiPriority w:val="99"/>
    <w:rsid w:val="00CE1750"/>
    <w:pPr>
      <w:spacing w:line="201" w:lineRule="atLeast"/>
    </w:pPr>
    <w:rPr>
      <w:rFonts w:ascii="Gotham Light" w:eastAsia="Times New Roman" w:hAnsi="Gotham Light" w:cs="Times New Roman"/>
      <w:color w:val="auto"/>
    </w:rPr>
  </w:style>
  <w:style w:type="character" w:customStyle="1" w:styleId="A8">
    <w:name w:val="A8"/>
    <w:uiPriority w:val="99"/>
    <w:rsid w:val="00CE1750"/>
    <w:rPr>
      <w:rFonts w:cs="Gotham Light"/>
      <w:color w:val="000000"/>
      <w:sz w:val="11"/>
      <w:szCs w:val="11"/>
    </w:rPr>
  </w:style>
  <w:style w:type="character" w:customStyle="1" w:styleId="Mention1">
    <w:name w:val="Mention1"/>
    <w:basedOn w:val="DefaultParagraphFont"/>
    <w:uiPriority w:val="99"/>
    <w:semiHidden/>
    <w:unhideWhenUsed/>
    <w:rsid w:val="00823FB3"/>
    <w:rPr>
      <w:color w:val="2B579A"/>
      <w:shd w:val="clear" w:color="auto" w:fill="E6E6E6"/>
    </w:rPr>
  </w:style>
  <w:style w:type="paragraph" w:styleId="PlainText">
    <w:name w:val="Plain Text"/>
    <w:basedOn w:val="Normal"/>
    <w:link w:val="PlainTextChar"/>
    <w:uiPriority w:val="99"/>
    <w:unhideWhenUsed/>
    <w:rsid w:val="007617DF"/>
    <w:pPr>
      <w:spacing w:line="240" w:lineRule="auto"/>
    </w:pPr>
    <w:rPr>
      <w:rFonts w:ascii="Calibri" w:hAnsi="Calibri"/>
      <w:szCs w:val="21"/>
    </w:rPr>
  </w:style>
  <w:style w:type="character" w:customStyle="1" w:styleId="PlainTextChar">
    <w:name w:val="Plain Text Char"/>
    <w:basedOn w:val="DefaultParagraphFont"/>
    <w:link w:val="PlainText"/>
    <w:uiPriority w:val="99"/>
    <w:rsid w:val="007617DF"/>
    <w:rPr>
      <w:rFonts w:ascii="Calibri" w:hAnsi="Calibri"/>
      <w:szCs w:val="21"/>
    </w:rPr>
  </w:style>
  <w:style w:type="paragraph" w:styleId="CommentSubject">
    <w:name w:val="annotation subject"/>
    <w:basedOn w:val="CommentText"/>
    <w:next w:val="CommentText"/>
    <w:link w:val="CommentSubjectChar"/>
    <w:uiPriority w:val="99"/>
    <w:semiHidden/>
    <w:unhideWhenUsed/>
    <w:rsid w:val="0023587F"/>
    <w:pPr>
      <w:spacing w:after="0"/>
    </w:pPr>
    <w:rPr>
      <w:rFonts w:ascii="Arial" w:eastAsia="Times New Roman" w:hAnsi="Arial" w:cs="Times New Roman"/>
      <w:b/>
      <w:bCs/>
      <w:lang w:eastAsia="en-AU"/>
    </w:rPr>
  </w:style>
  <w:style w:type="character" w:customStyle="1" w:styleId="CommentSubjectChar">
    <w:name w:val="Comment Subject Char"/>
    <w:basedOn w:val="CommentTextChar"/>
    <w:link w:val="CommentSubject"/>
    <w:uiPriority w:val="99"/>
    <w:semiHidden/>
    <w:rsid w:val="0023587F"/>
    <w:rPr>
      <w:rFonts w:ascii="Arial" w:eastAsiaTheme="minorHAnsi" w:hAnsi="Arial" w:cstheme="minorBidi"/>
      <w:b/>
      <w:bCs/>
      <w:sz w:val="20"/>
      <w:szCs w:val="20"/>
      <w:lang w:eastAsia="en-US"/>
    </w:rPr>
  </w:style>
  <w:style w:type="paragraph" w:customStyle="1" w:styleId="Bullet2a">
    <w:name w:val="Bullet2a"/>
    <w:basedOn w:val="ListBullet2"/>
    <w:link w:val="Bullet2aChar"/>
    <w:rsid w:val="005B1992"/>
  </w:style>
  <w:style w:type="paragraph" w:customStyle="1" w:styleId="Bullet2b0">
    <w:name w:val="Bullet2b"/>
    <w:basedOn w:val="ListBullet2"/>
    <w:link w:val="Bullet2bChar"/>
    <w:rsid w:val="005B1992"/>
  </w:style>
  <w:style w:type="character" w:customStyle="1" w:styleId="ListBulletChar">
    <w:name w:val="List Bullet Char"/>
    <w:basedOn w:val="BodyTextChar"/>
    <w:link w:val="ListBullet"/>
    <w:rsid w:val="00F10AF6"/>
    <w:rPr>
      <w:rFonts w:ascii="Arial" w:hAnsi="Arial"/>
    </w:rPr>
  </w:style>
  <w:style w:type="character" w:customStyle="1" w:styleId="ListBullet2Char">
    <w:name w:val="List Bullet 2 Char"/>
    <w:basedOn w:val="ListBulletChar"/>
    <w:link w:val="ListBullet2"/>
    <w:uiPriority w:val="99"/>
    <w:rsid w:val="00761C1E"/>
    <w:rPr>
      <w:rFonts w:ascii="Arial" w:hAnsi="Arial"/>
    </w:rPr>
  </w:style>
  <w:style w:type="character" w:customStyle="1" w:styleId="Bullet2aChar">
    <w:name w:val="Bullet2a Char"/>
    <w:basedOn w:val="ListBullet2Char"/>
    <w:link w:val="Bullet2a"/>
    <w:rsid w:val="005B1992"/>
    <w:rPr>
      <w:rFonts w:ascii="Arial" w:hAnsi="Arial"/>
    </w:rPr>
  </w:style>
  <w:style w:type="character" w:customStyle="1" w:styleId="Bullet2bChar">
    <w:name w:val="Bullet2b Char"/>
    <w:basedOn w:val="ListBullet2Char"/>
    <w:link w:val="Bullet2b0"/>
    <w:rsid w:val="005B1992"/>
    <w:rPr>
      <w:rFonts w:ascii="Arial" w:hAnsi="Arial"/>
    </w:rPr>
  </w:style>
  <w:style w:type="paragraph" w:customStyle="1" w:styleId="text">
    <w:name w:val="text"/>
    <w:basedOn w:val="Normal"/>
    <w:uiPriority w:val="99"/>
    <w:rsid w:val="008E05C4"/>
    <w:pPr>
      <w:widowControl w:val="0"/>
      <w:suppressAutoHyphens/>
      <w:autoSpaceDE w:val="0"/>
      <w:autoSpaceDN w:val="0"/>
      <w:adjustRightInd w:val="0"/>
      <w:spacing w:after="170" w:line="210" w:lineRule="atLeast"/>
      <w:textAlignment w:val="center"/>
    </w:pPr>
    <w:rPr>
      <w:rFonts w:ascii="ArialMT" w:eastAsia="Cambria" w:hAnsi="ArialMT" w:cs="ArialMT"/>
      <w:color w:val="000000"/>
      <w:sz w:val="17"/>
      <w:szCs w:val="17"/>
      <w:lang w:val="en-GB" w:eastAsia="en-US"/>
    </w:rPr>
  </w:style>
  <w:style w:type="character" w:styleId="Emphasis">
    <w:name w:val="Emphasis"/>
    <w:uiPriority w:val="20"/>
    <w:qFormat/>
    <w:rsid w:val="00E164A7"/>
    <w:rPr>
      <w:i/>
    </w:rPr>
  </w:style>
  <w:style w:type="character" w:styleId="Strong">
    <w:name w:val="Strong"/>
    <w:basedOn w:val="DefaultParagraphFont"/>
    <w:uiPriority w:val="22"/>
    <w:qFormat/>
    <w:rsid w:val="00057416"/>
    <w:rPr>
      <w:b/>
      <w:bCs/>
    </w:rPr>
  </w:style>
  <w:style w:type="character" w:customStyle="1" w:styleId="caps1">
    <w:name w:val="caps1"/>
    <w:basedOn w:val="DefaultParagraphFont"/>
    <w:rsid w:val="00057416"/>
    <w:rPr>
      <w:sz w:val="22"/>
      <w:szCs w:val="22"/>
    </w:rPr>
  </w:style>
  <w:style w:type="character" w:customStyle="1" w:styleId="tgc">
    <w:name w:val="_tgc"/>
    <w:basedOn w:val="DefaultParagraphFont"/>
    <w:rsid w:val="00057416"/>
  </w:style>
  <w:style w:type="table" w:styleId="ListTable4-Accent1">
    <w:name w:val="List Table 4 Accent 1"/>
    <w:basedOn w:val="TableNormal"/>
    <w:uiPriority w:val="49"/>
    <w:rsid w:val="00742868"/>
    <w:pPr>
      <w:spacing w:line="240" w:lineRule="auto"/>
    </w:pPr>
    <w:rPr>
      <w:rFonts w:eastAsiaTheme="minorHAnsi" w:cstheme="minorBidi"/>
      <w:lang w:eastAsia="en-US"/>
    </w:rPr>
    <w:tblPr>
      <w:tblStyleRowBandSize w:val="1"/>
      <w:tblStyleColBandSize w:val="1"/>
      <w:tblInd w:w="0" w:type="nil"/>
      <w:tblBorders>
        <w:top w:val="single" w:sz="4" w:space="0" w:color="5C8CD9" w:themeColor="accent1" w:themeTint="99"/>
        <w:left w:val="single" w:sz="4" w:space="0" w:color="5C8CD9" w:themeColor="accent1" w:themeTint="99"/>
        <w:bottom w:val="single" w:sz="4" w:space="0" w:color="5C8CD9" w:themeColor="accent1" w:themeTint="99"/>
        <w:right w:val="single" w:sz="4" w:space="0" w:color="5C8CD9" w:themeColor="accent1" w:themeTint="99"/>
        <w:insideH w:val="single" w:sz="4" w:space="0" w:color="5C8CD9" w:themeColor="accent1" w:themeTint="99"/>
      </w:tblBorders>
    </w:tblPr>
    <w:tblStylePr w:type="firstRow">
      <w:rPr>
        <w:b/>
        <w:bCs/>
        <w:color w:val="FFFFFF" w:themeColor="background1"/>
      </w:rPr>
      <w:tblPr/>
      <w:tcPr>
        <w:tcBorders>
          <w:top w:val="single" w:sz="4" w:space="0" w:color="214C90" w:themeColor="accent1"/>
          <w:left w:val="single" w:sz="4" w:space="0" w:color="214C90" w:themeColor="accent1"/>
          <w:bottom w:val="single" w:sz="4" w:space="0" w:color="214C90" w:themeColor="accent1"/>
          <w:right w:val="single" w:sz="4" w:space="0" w:color="214C90" w:themeColor="accent1"/>
          <w:insideH w:val="nil"/>
        </w:tcBorders>
        <w:shd w:val="clear" w:color="auto" w:fill="214C90" w:themeFill="accent1"/>
      </w:tcPr>
    </w:tblStylePr>
    <w:tblStylePr w:type="lastRow">
      <w:rPr>
        <w:b/>
        <w:bCs/>
      </w:rPr>
      <w:tblPr/>
      <w:tcPr>
        <w:tcBorders>
          <w:top w:val="double" w:sz="4" w:space="0" w:color="5C8CD9" w:themeColor="accent1" w:themeTint="99"/>
        </w:tcBorders>
      </w:tcPr>
    </w:tblStylePr>
    <w:tblStylePr w:type="firstCol">
      <w:rPr>
        <w:b/>
        <w:bCs/>
      </w:rPr>
    </w:tblStylePr>
    <w:tblStylePr w:type="lastCol">
      <w:rPr>
        <w:b/>
        <w:bCs/>
      </w:rPr>
    </w:tblStylePr>
    <w:tblStylePr w:type="band1Vert">
      <w:tblPr/>
      <w:tcPr>
        <w:shd w:val="clear" w:color="auto" w:fill="C8D8F2" w:themeFill="accent1" w:themeFillTint="33"/>
      </w:tcPr>
    </w:tblStylePr>
    <w:tblStylePr w:type="band1Horz">
      <w:tblPr/>
      <w:tcPr>
        <w:shd w:val="clear" w:color="auto" w:fill="C8D8F2" w:themeFill="accent1" w:themeFillTint="33"/>
      </w:tcPr>
    </w:tblStylePr>
  </w:style>
  <w:style w:type="character" w:customStyle="1" w:styleId="med11">
    <w:name w:val="med11"/>
    <w:basedOn w:val="DefaultParagraphFont"/>
    <w:rsid w:val="00742868"/>
    <w:rPr>
      <w:sz w:val="18"/>
      <w:szCs w:val="18"/>
    </w:rPr>
  </w:style>
  <w:style w:type="paragraph" w:customStyle="1" w:styleId="paragraph">
    <w:name w:val="paragraph"/>
    <w:basedOn w:val="Normal"/>
    <w:rsid w:val="00797E66"/>
    <w:pPr>
      <w:spacing w:before="100" w:beforeAutospacing="1" w:after="100" w:afterAutospacing="1" w:line="240" w:lineRule="auto"/>
    </w:pPr>
    <w:rPr>
      <w:rFonts w:ascii="Times New Roman" w:hAnsi="Times New Roman"/>
      <w:sz w:val="24"/>
      <w:szCs w:val="24"/>
    </w:rPr>
  </w:style>
  <w:style w:type="paragraph" w:customStyle="1" w:styleId="paragraphsub">
    <w:name w:val="paragraphsub"/>
    <w:basedOn w:val="Normal"/>
    <w:rsid w:val="00797E66"/>
    <w:pPr>
      <w:spacing w:before="100" w:beforeAutospacing="1" w:after="100" w:afterAutospacing="1" w:line="240" w:lineRule="auto"/>
    </w:pPr>
    <w:rPr>
      <w:rFonts w:ascii="Times New Roman" w:hAnsi="Times New Roman"/>
      <w:sz w:val="24"/>
      <w:szCs w:val="24"/>
    </w:rPr>
  </w:style>
  <w:style w:type="paragraph" w:customStyle="1" w:styleId="subsection">
    <w:name w:val="subsection"/>
    <w:basedOn w:val="Normal"/>
    <w:rsid w:val="006F250E"/>
    <w:pPr>
      <w:spacing w:before="100" w:beforeAutospacing="1" w:after="100" w:afterAutospacing="1" w:line="240" w:lineRule="auto"/>
    </w:pPr>
    <w:rPr>
      <w:rFonts w:ascii="Times New Roman" w:hAnsi="Times New Roman"/>
      <w:sz w:val="24"/>
      <w:szCs w:val="24"/>
    </w:rPr>
  </w:style>
  <w:style w:type="numbering" w:customStyle="1" w:styleId="KeyPoints">
    <w:name w:val="Key Points"/>
    <w:basedOn w:val="NoList"/>
    <w:uiPriority w:val="99"/>
    <w:rsid w:val="006F250E"/>
    <w:pPr>
      <w:numPr>
        <w:numId w:val="12"/>
      </w:numPr>
    </w:pPr>
  </w:style>
  <w:style w:type="paragraph" w:customStyle="1" w:styleId="subsectionhead">
    <w:name w:val="subsectionhead"/>
    <w:basedOn w:val="Normal"/>
    <w:rsid w:val="00153551"/>
    <w:pPr>
      <w:spacing w:before="100" w:beforeAutospacing="1" w:after="100" w:afterAutospacing="1" w:line="240" w:lineRule="auto"/>
    </w:pPr>
    <w:rPr>
      <w:rFonts w:ascii="Times New Roman" w:hAnsi="Times New Roman"/>
      <w:sz w:val="24"/>
      <w:szCs w:val="24"/>
    </w:rPr>
  </w:style>
  <w:style w:type="paragraph" w:customStyle="1" w:styleId="indenta-p">
    <w:name w:val="indenta-p"/>
    <w:basedOn w:val="Normal"/>
    <w:rsid w:val="00153551"/>
    <w:pPr>
      <w:spacing w:before="100" w:beforeAutospacing="1" w:after="100" w:afterAutospacing="1" w:line="240" w:lineRule="auto"/>
    </w:pPr>
    <w:rPr>
      <w:rFonts w:ascii="Times New Roman" w:eastAsiaTheme="minorHAnsi" w:hAnsi="Times New Roman"/>
      <w:sz w:val="24"/>
      <w:szCs w:val="24"/>
    </w:rPr>
  </w:style>
  <w:style w:type="character" w:customStyle="1" w:styleId="indenta-h">
    <w:name w:val="indenta-h"/>
    <w:basedOn w:val="DefaultParagraphFont"/>
    <w:rsid w:val="00153551"/>
  </w:style>
  <w:style w:type="character" w:customStyle="1" w:styleId="charsectno">
    <w:name w:val="charsectno"/>
    <w:basedOn w:val="DefaultParagraphFont"/>
    <w:rsid w:val="00DC48D1"/>
  </w:style>
  <w:style w:type="paragraph" w:customStyle="1" w:styleId="acthead5">
    <w:name w:val="acthead5"/>
    <w:basedOn w:val="Normal"/>
    <w:rsid w:val="00DC48D1"/>
    <w:pPr>
      <w:spacing w:before="100" w:beforeAutospacing="1" w:after="100" w:afterAutospacing="1" w:line="240" w:lineRule="auto"/>
    </w:pPr>
    <w:rPr>
      <w:rFonts w:ascii="Times New Roman" w:hAnsi="Times New Roman"/>
      <w:sz w:val="24"/>
      <w:szCs w:val="24"/>
    </w:rPr>
  </w:style>
  <w:style w:type="character" w:customStyle="1" w:styleId="sectionlabel">
    <w:name w:val="sectionlabel"/>
    <w:basedOn w:val="DefaultParagraphFont"/>
    <w:rsid w:val="007E1D14"/>
    <w:rPr>
      <w:b/>
      <w:bCs/>
      <w:color w:val="000000"/>
    </w:rPr>
  </w:style>
  <w:style w:type="character" w:customStyle="1" w:styleId="lawlabel2">
    <w:name w:val="lawlabel2"/>
    <w:basedOn w:val="DefaultParagraphFont"/>
    <w:rsid w:val="007E1D14"/>
    <w:rPr>
      <w:b/>
      <w:bCs/>
      <w:color w:val="000000"/>
    </w:rPr>
  </w:style>
  <w:style w:type="paragraph" w:customStyle="1" w:styleId="CM3">
    <w:name w:val="CM3"/>
    <w:basedOn w:val="Default"/>
    <w:next w:val="Default"/>
    <w:uiPriority w:val="99"/>
    <w:rsid w:val="003258F0"/>
    <w:pPr>
      <w:spacing w:line="280" w:lineRule="atLeast"/>
    </w:pPr>
    <w:rPr>
      <w:rFonts w:ascii="Myriad Pro" w:eastAsia="Times New Roman" w:hAnsi="Myriad Pro" w:cs="Times New Roman"/>
      <w:color w:val="auto"/>
    </w:rPr>
  </w:style>
  <w:style w:type="paragraph" w:customStyle="1" w:styleId="Footerclassification">
    <w:name w:val="Footer classification"/>
    <w:basedOn w:val="Normal"/>
    <w:rsid w:val="00D5384A"/>
    <w:pPr>
      <w:tabs>
        <w:tab w:val="center" w:pos="4536"/>
        <w:tab w:val="center" w:pos="4819"/>
        <w:tab w:val="right" w:pos="9356"/>
      </w:tabs>
      <w:spacing w:before="240" w:line="276" w:lineRule="auto"/>
      <w:jc w:val="center"/>
    </w:pPr>
    <w:rPr>
      <w:rFonts w:cs="Arial"/>
      <w:color w:val="FF0000"/>
      <w:sz w:val="28"/>
      <w:szCs w:val="28"/>
    </w:rPr>
  </w:style>
  <w:style w:type="paragraph" w:customStyle="1" w:styleId="Tabletext">
    <w:name w:val="Table text"/>
    <w:basedOn w:val="Normal"/>
    <w:uiPriority w:val="9"/>
    <w:qFormat/>
    <w:rsid w:val="00D5384A"/>
    <w:pPr>
      <w:spacing w:line="276" w:lineRule="auto"/>
    </w:pPr>
    <w:rPr>
      <w:rFonts w:eastAsia="Calibri"/>
      <w:lang w:eastAsia="en-US"/>
    </w:rPr>
  </w:style>
  <w:style w:type="paragraph" w:customStyle="1" w:styleId="Classificationsensitivity">
    <w:name w:val="Classification sensitivity"/>
    <w:basedOn w:val="Normal"/>
    <w:rsid w:val="00D5384A"/>
    <w:pPr>
      <w:tabs>
        <w:tab w:val="center" w:pos="4536"/>
        <w:tab w:val="center" w:pos="4819"/>
        <w:tab w:val="right" w:pos="9356"/>
      </w:tabs>
      <w:spacing w:after="240" w:line="276" w:lineRule="auto"/>
      <w:jc w:val="center"/>
    </w:pPr>
    <w:rPr>
      <w:rFonts w:cs="Arial"/>
      <w:color w:val="FF0000"/>
      <w:szCs w:val="28"/>
    </w:rPr>
  </w:style>
  <w:style w:type="character" w:customStyle="1" w:styleId="Numbered1Char">
    <w:name w:val="Numbered 1 Char"/>
    <w:basedOn w:val="DefaultParagraphFont"/>
    <w:link w:val="Numbered1"/>
    <w:locked/>
    <w:rsid w:val="00BE301F"/>
    <w:rPr>
      <w:sz w:val="24"/>
      <w:szCs w:val="24"/>
    </w:rPr>
  </w:style>
  <w:style w:type="paragraph" w:customStyle="1" w:styleId="Numbered1">
    <w:name w:val="Numbered 1"/>
    <w:basedOn w:val="Normal"/>
    <w:link w:val="Numbered1Char"/>
    <w:qFormat/>
    <w:rsid w:val="00BE301F"/>
    <w:pPr>
      <w:spacing w:after="200" w:line="276" w:lineRule="auto"/>
    </w:pPr>
    <w:rPr>
      <w:rFonts w:asciiTheme="minorHAnsi" w:hAnsiTheme="minorHAnsi"/>
      <w:sz w:val="24"/>
      <w:szCs w:val="24"/>
    </w:rPr>
  </w:style>
  <w:style w:type="paragraph" w:customStyle="1" w:styleId="Footnote">
    <w:name w:val="Footnote"/>
    <w:basedOn w:val="FootnoteText"/>
    <w:link w:val="FootnoteChar"/>
    <w:qFormat/>
    <w:rsid w:val="002634B1"/>
    <w:pPr>
      <w:tabs>
        <w:tab w:val="left" w:pos="720"/>
        <w:tab w:val="left" w:pos="1077"/>
      </w:tabs>
      <w:spacing w:before="0" w:after="0"/>
      <w:ind w:left="720" w:hanging="720"/>
    </w:pPr>
    <w:rPr>
      <w:rFonts w:ascii="Times New Roman" w:eastAsia="MS Mincho" w:hAnsi="Times New Roman" w:cstheme="minorBidi"/>
      <w:sz w:val="20"/>
      <w:lang w:eastAsia="en-US"/>
    </w:rPr>
  </w:style>
  <w:style w:type="character" w:customStyle="1" w:styleId="FootnoteChar">
    <w:name w:val="Footnote Char"/>
    <w:basedOn w:val="FootnoteTextChar"/>
    <w:link w:val="Footnote"/>
    <w:rsid w:val="002634B1"/>
    <w:rPr>
      <w:rFonts w:ascii="Times New Roman" w:eastAsia="MS Mincho" w:hAnsi="Times New Roman" w:cstheme="minorBidi"/>
      <w:sz w:val="20"/>
      <w:szCs w:val="20"/>
      <w:lang w:eastAsia="en-US"/>
    </w:rPr>
  </w:style>
  <w:style w:type="paragraph" w:customStyle="1" w:styleId="AppendixLevel1">
    <w:name w:val="Appendix Level 1"/>
    <w:basedOn w:val="Heading1"/>
    <w:next w:val="Normal"/>
    <w:rsid w:val="007D7FFC"/>
    <w:pPr>
      <w:pageBreakBefore/>
      <w:numPr>
        <w:numId w:val="14"/>
      </w:numPr>
      <w:tabs>
        <w:tab w:val="num" w:pos="360"/>
      </w:tabs>
      <w:spacing w:before="240" w:line="256" w:lineRule="auto"/>
      <w:ind w:left="0" w:right="1134" w:firstLine="0"/>
    </w:pPr>
    <w:rPr>
      <w:rFonts w:ascii="Franklin Gothic Demi Cond" w:eastAsiaTheme="majorEastAsia" w:hAnsi="Franklin Gothic Demi Cond"/>
      <w:b w:val="0"/>
      <w:bCs w:val="0"/>
      <w:color w:val="1C376B"/>
      <w:lang w:eastAsia="en-US"/>
    </w:rPr>
  </w:style>
  <w:style w:type="paragraph" w:customStyle="1" w:styleId="AppendixLevel2">
    <w:name w:val="Appendix Level 2"/>
    <w:basedOn w:val="Heading1"/>
    <w:next w:val="Normal"/>
    <w:rsid w:val="005D69B4"/>
    <w:pPr>
      <w:numPr>
        <w:ilvl w:val="1"/>
        <w:numId w:val="14"/>
      </w:numPr>
      <w:tabs>
        <w:tab w:val="num" w:pos="360"/>
      </w:tabs>
      <w:spacing w:before="240" w:line="256" w:lineRule="auto"/>
      <w:ind w:left="0" w:firstLine="0"/>
    </w:pPr>
    <w:rPr>
      <w:rFonts w:eastAsiaTheme="majorEastAsia"/>
      <w:bCs w:val="0"/>
      <w:color w:val="0099CC"/>
      <w:sz w:val="28"/>
      <w:lang w:eastAsia="en-US"/>
    </w:rPr>
  </w:style>
  <w:style w:type="paragraph" w:customStyle="1" w:styleId="AppendixLevel3">
    <w:name w:val="Appendix Level 3"/>
    <w:basedOn w:val="AppendixLevel2"/>
    <w:next w:val="Normal"/>
    <w:qFormat/>
    <w:rsid w:val="005D69B4"/>
    <w:pPr>
      <w:numPr>
        <w:ilvl w:val="2"/>
      </w:numPr>
      <w:tabs>
        <w:tab w:val="num" w:pos="360"/>
      </w:tabs>
    </w:pPr>
    <w:rPr>
      <w:sz w:val="24"/>
    </w:rPr>
  </w:style>
  <w:style w:type="character" w:customStyle="1" w:styleId="Mention2">
    <w:name w:val="Mention2"/>
    <w:basedOn w:val="DefaultParagraphFont"/>
    <w:uiPriority w:val="99"/>
    <w:semiHidden/>
    <w:unhideWhenUsed/>
    <w:rsid w:val="00C76364"/>
    <w:rPr>
      <w:color w:val="2B579A"/>
      <w:shd w:val="clear" w:color="auto" w:fill="E6E6E6"/>
    </w:rPr>
  </w:style>
  <w:style w:type="paragraph" w:customStyle="1" w:styleId="Pa4">
    <w:name w:val="Pa4"/>
    <w:basedOn w:val="Default"/>
    <w:next w:val="Default"/>
    <w:uiPriority w:val="99"/>
    <w:rsid w:val="006B1D5E"/>
    <w:pPr>
      <w:spacing w:line="161" w:lineRule="atLeast"/>
    </w:pPr>
    <w:rPr>
      <w:rFonts w:ascii="Myriad Pro" w:eastAsia="Times New Roman" w:hAnsi="Myriad Pro" w:cs="Times New Roman"/>
      <w:color w:val="auto"/>
    </w:rPr>
  </w:style>
  <w:style w:type="paragraph" w:customStyle="1" w:styleId="EMR-Subrule">
    <w:name w:val="EMR-Subrule"/>
    <w:basedOn w:val="Normal"/>
    <w:uiPriority w:val="99"/>
    <w:rsid w:val="00BF76B2"/>
    <w:pPr>
      <w:tabs>
        <w:tab w:val="left" w:pos="1134"/>
      </w:tabs>
      <w:autoSpaceDE w:val="0"/>
      <w:autoSpaceDN w:val="0"/>
      <w:adjustRightInd w:val="0"/>
      <w:spacing w:before="240" w:after="60" w:line="240" w:lineRule="auto"/>
      <w:ind w:left="1134" w:hanging="567"/>
      <w:jc w:val="both"/>
    </w:pPr>
    <w:rPr>
      <w:rFonts w:ascii="Times New Roman" w:eastAsiaTheme="minorEastAsia" w:hAnsi="Times New Roman"/>
      <w:color w:val="000000"/>
      <w:sz w:val="24"/>
      <w:szCs w:val="24"/>
    </w:rPr>
  </w:style>
  <w:style w:type="paragraph" w:customStyle="1" w:styleId="EMR-RSR-List-1-MNum">
    <w:name w:val="EMR-RSR-List-1-MNum"/>
    <w:basedOn w:val="Normal"/>
    <w:uiPriority w:val="99"/>
    <w:rsid w:val="004D1BF1"/>
    <w:pPr>
      <w:tabs>
        <w:tab w:val="left" w:pos="1701"/>
      </w:tabs>
      <w:autoSpaceDE w:val="0"/>
      <w:autoSpaceDN w:val="0"/>
      <w:adjustRightInd w:val="0"/>
      <w:spacing w:before="120" w:after="120" w:line="240" w:lineRule="auto"/>
      <w:ind w:left="1701" w:hanging="567"/>
      <w:jc w:val="both"/>
    </w:pPr>
    <w:rPr>
      <w:rFonts w:ascii="Times New Roman" w:eastAsiaTheme="minorEastAsia" w:hAnsi="Times New Roman"/>
      <w:color w:val="000000"/>
      <w:sz w:val="24"/>
      <w:szCs w:val="24"/>
    </w:rPr>
  </w:style>
  <w:style w:type="paragraph" w:customStyle="1" w:styleId="EMR-RSR-List-1-UNum">
    <w:name w:val="EMR-RSR-List-1-UNum"/>
    <w:basedOn w:val="Normal"/>
    <w:uiPriority w:val="99"/>
    <w:rsid w:val="009A795F"/>
    <w:pPr>
      <w:autoSpaceDE w:val="0"/>
      <w:autoSpaceDN w:val="0"/>
      <w:adjustRightInd w:val="0"/>
      <w:spacing w:before="120" w:after="120" w:line="240" w:lineRule="auto"/>
      <w:ind w:left="1134"/>
      <w:jc w:val="both"/>
    </w:pPr>
    <w:rPr>
      <w:rFonts w:ascii="Times New Roman" w:eastAsiaTheme="minorEastAsia" w:hAnsi="Times New Roman"/>
      <w:color w:val="000000"/>
      <w:sz w:val="24"/>
      <w:szCs w:val="24"/>
    </w:rPr>
  </w:style>
  <w:style w:type="paragraph" w:customStyle="1" w:styleId="EMR-RSR-List-2-MNum">
    <w:name w:val="EMR-RSR-List-2-MNum"/>
    <w:basedOn w:val="Normal"/>
    <w:uiPriority w:val="99"/>
    <w:rsid w:val="003630A2"/>
    <w:pPr>
      <w:tabs>
        <w:tab w:val="left" w:pos="2268"/>
      </w:tabs>
      <w:autoSpaceDE w:val="0"/>
      <w:autoSpaceDN w:val="0"/>
      <w:adjustRightInd w:val="0"/>
      <w:spacing w:before="120" w:after="120" w:line="240" w:lineRule="auto"/>
      <w:ind w:left="2268" w:hanging="567"/>
      <w:jc w:val="both"/>
    </w:pPr>
    <w:rPr>
      <w:rFonts w:ascii="Times New Roman" w:eastAsiaTheme="minorEastAsia" w:hAnsi="Times New Roman"/>
      <w:color w:val="000000"/>
      <w:sz w:val="24"/>
      <w:szCs w:val="24"/>
    </w:rPr>
  </w:style>
  <w:style w:type="paragraph" w:customStyle="1" w:styleId="EMR-RSR-Para">
    <w:name w:val="EMR-RSR-Para"/>
    <w:basedOn w:val="Normal"/>
    <w:uiPriority w:val="99"/>
    <w:rsid w:val="001C71FE"/>
    <w:pPr>
      <w:autoSpaceDE w:val="0"/>
      <w:autoSpaceDN w:val="0"/>
      <w:adjustRightInd w:val="0"/>
      <w:spacing w:before="120" w:after="120" w:line="240" w:lineRule="auto"/>
      <w:ind w:left="1134"/>
      <w:jc w:val="both"/>
    </w:pPr>
    <w:rPr>
      <w:rFonts w:ascii="Times New Roman" w:eastAsiaTheme="minorEastAsia" w:hAnsi="Times New Roman"/>
      <w:color w:val="000000"/>
      <w:sz w:val="24"/>
      <w:szCs w:val="24"/>
    </w:rPr>
  </w:style>
  <w:style w:type="paragraph" w:customStyle="1" w:styleId="EMR-Rule-Title-Lvl-3">
    <w:name w:val="EMR-Rule-Title-Lvl-3"/>
    <w:basedOn w:val="Normal"/>
    <w:uiPriority w:val="99"/>
    <w:rsid w:val="001C71FE"/>
    <w:pPr>
      <w:keepNext/>
      <w:keepLines/>
      <w:tabs>
        <w:tab w:val="left" w:pos="1134"/>
      </w:tabs>
      <w:autoSpaceDE w:val="0"/>
      <w:autoSpaceDN w:val="0"/>
      <w:adjustRightInd w:val="0"/>
      <w:spacing w:before="240" w:after="60" w:line="240" w:lineRule="auto"/>
      <w:ind w:left="1134" w:hanging="1134"/>
      <w:outlineLvl w:val="2"/>
    </w:pPr>
    <w:rPr>
      <w:rFonts w:ascii="Arial Bold" w:eastAsiaTheme="minorEastAsia" w:hAnsi="Arial Bold" w:cs="Arial Bold"/>
      <w:b/>
      <w:bCs/>
      <w:color w:val="000000"/>
      <w:sz w:val="26"/>
      <w:szCs w:val="26"/>
    </w:rPr>
  </w:style>
  <w:style w:type="paragraph" w:customStyle="1" w:styleId="List-3-MNum">
    <w:name w:val="List-3-MNum"/>
    <w:basedOn w:val="Normal"/>
    <w:uiPriority w:val="99"/>
    <w:rsid w:val="00647241"/>
    <w:pPr>
      <w:tabs>
        <w:tab w:val="left" w:pos="1701"/>
      </w:tabs>
      <w:autoSpaceDE w:val="0"/>
      <w:autoSpaceDN w:val="0"/>
      <w:adjustRightInd w:val="0"/>
      <w:spacing w:before="120" w:after="120"/>
      <w:ind w:left="1701" w:hanging="567"/>
    </w:pPr>
    <w:rPr>
      <w:rFonts w:ascii="Book Antiqua" w:eastAsiaTheme="minorEastAsia" w:hAnsi="Book Antiqua" w:cs="Book Antiqua"/>
      <w:color w:val="000000"/>
    </w:rPr>
  </w:style>
  <w:style w:type="paragraph" w:customStyle="1" w:styleId="EMR-Explain-Text">
    <w:name w:val="EMR-Explain-Text"/>
    <w:basedOn w:val="Normal"/>
    <w:uiPriority w:val="99"/>
    <w:rsid w:val="00FE212E"/>
    <w:pPr>
      <w:autoSpaceDE w:val="0"/>
      <w:autoSpaceDN w:val="0"/>
      <w:adjustRightInd w:val="0"/>
      <w:spacing w:before="120" w:after="120" w:line="240" w:lineRule="auto"/>
      <w:ind w:left="1134"/>
      <w:jc w:val="both"/>
    </w:pPr>
    <w:rPr>
      <w:rFonts w:ascii="Times New Roman" w:hAnsi="Times New Roman"/>
      <w:color w:val="000000"/>
      <w:sz w:val="20"/>
      <w:szCs w:val="20"/>
    </w:rPr>
  </w:style>
  <w:style w:type="paragraph" w:customStyle="1" w:styleId="Bullet2b">
    <w:name w:val="Bullet 2b"/>
    <w:basedOn w:val="ListBullet2"/>
    <w:link w:val="Bullet2bChar0"/>
    <w:qFormat/>
    <w:rsid w:val="00C0654C"/>
    <w:pPr>
      <w:numPr>
        <w:numId w:val="12"/>
      </w:numPr>
      <w:spacing w:line="240" w:lineRule="auto"/>
      <w:ind w:left="714" w:hanging="357"/>
    </w:pPr>
    <w:rPr>
      <w:rFonts w:eastAsiaTheme="majorEastAsia"/>
      <w:sz w:val="21"/>
      <w:szCs w:val="21"/>
    </w:rPr>
  </w:style>
  <w:style w:type="character" w:customStyle="1" w:styleId="Bullet2bChar0">
    <w:name w:val="Bullet 2b Char"/>
    <w:basedOn w:val="ListBullet2Char"/>
    <w:link w:val="Bullet2b"/>
    <w:rsid w:val="00C0654C"/>
    <w:rPr>
      <w:rFonts w:ascii="Arial" w:eastAsiaTheme="majorEastAsia" w:hAnsi="Arial"/>
      <w:sz w:val="21"/>
      <w:szCs w:val="21"/>
    </w:rPr>
  </w:style>
  <w:style w:type="numbering" w:customStyle="1" w:styleId="HeadingsList">
    <w:name w:val="Headings List"/>
    <w:uiPriority w:val="99"/>
    <w:rsid w:val="00C0654C"/>
    <w:pPr>
      <w:numPr>
        <w:numId w:val="16"/>
      </w:numPr>
    </w:pPr>
  </w:style>
  <w:style w:type="character" w:customStyle="1" w:styleId="CaptionChar">
    <w:name w:val="Caption Char"/>
    <w:basedOn w:val="DefaultParagraphFont"/>
    <w:link w:val="Caption"/>
    <w:rsid w:val="00C0654C"/>
    <w:rPr>
      <w:rFonts w:ascii="Arial" w:eastAsiaTheme="minorHAnsi" w:hAnsi="Arial" w:cstheme="minorBidi"/>
      <w:b/>
      <w:bCs/>
      <w:lang w:eastAsia="fr-CA"/>
    </w:rPr>
  </w:style>
  <w:style w:type="character" w:customStyle="1" w:styleId="EMR-Term-Local">
    <w:name w:val="EMR-Term-Local"/>
    <w:uiPriority w:val="99"/>
    <w:rsid w:val="00156D33"/>
    <w:rPr>
      <w:b/>
      <w:bCs/>
      <w:w w:val="100"/>
    </w:rPr>
  </w:style>
  <w:style w:type="paragraph" w:customStyle="1" w:styleId="AERbulletlistfirststyle">
    <w:name w:val="AER bullet list (first style)"/>
    <w:basedOn w:val="ListBullet"/>
    <w:uiPriority w:val="99"/>
    <w:qFormat/>
    <w:rsid w:val="00C74D87"/>
    <w:pPr>
      <w:numPr>
        <w:numId w:val="28"/>
      </w:numPr>
      <w:tabs>
        <w:tab w:val="left" w:pos="340"/>
      </w:tabs>
      <w:spacing w:after="0" w:line="276" w:lineRule="auto"/>
      <w:ind w:left="357" w:hanging="357"/>
    </w:pPr>
    <w:rPr>
      <w:rFonts w:eastAsiaTheme="minorHAnsi"/>
      <w:lang w:eastAsia="en-US"/>
    </w:rPr>
  </w:style>
  <w:style w:type="paragraph" w:customStyle="1" w:styleId="Am-NER-Body-List-2-MNum">
    <w:name w:val="Am-NER-Body-List-2-MNum"/>
    <w:basedOn w:val="Normal"/>
    <w:uiPriority w:val="99"/>
    <w:rsid w:val="003F1405"/>
    <w:pPr>
      <w:tabs>
        <w:tab w:val="left" w:pos="1701"/>
      </w:tabs>
      <w:autoSpaceDE w:val="0"/>
      <w:autoSpaceDN w:val="0"/>
      <w:adjustRightInd w:val="0"/>
      <w:spacing w:before="120" w:after="120" w:line="240" w:lineRule="auto"/>
      <w:ind w:left="1701" w:hanging="567"/>
    </w:pPr>
    <w:rPr>
      <w:rFonts w:ascii="Times New Roman" w:hAnsi="Times New Roman"/>
      <w:color w:val="000000"/>
      <w:sz w:val="24"/>
      <w:szCs w:val="24"/>
    </w:rPr>
  </w:style>
  <w:style w:type="paragraph" w:customStyle="1" w:styleId="Am-NER-Body-List-1-MNum">
    <w:name w:val="Am-NER-Body-List-1-MNum"/>
    <w:basedOn w:val="Normal"/>
    <w:uiPriority w:val="99"/>
    <w:rsid w:val="00127B5C"/>
    <w:pPr>
      <w:tabs>
        <w:tab w:val="left" w:pos="1134"/>
      </w:tabs>
      <w:autoSpaceDE w:val="0"/>
      <w:autoSpaceDN w:val="0"/>
      <w:adjustRightInd w:val="0"/>
      <w:spacing w:before="120" w:after="120" w:line="240" w:lineRule="auto"/>
      <w:ind w:left="1134" w:hanging="567"/>
    </w:pPr>
    <w:rPr>
      <w:rFonts w:ascii="Times New Roman" w:hAnsi="Times New Roman"/>
      <w:color w:val="000000"/>
      <w:sz w:val="24"/>
      <w:szCs w:val="24"/>
    </w:rPr>
  </w:style>
  <w:style w:type="paragraph" w:customStyle="1" w:styleId="xmsonormal">
    <w:name w:val="x_msonormal"/>
    <w:basedOn w:val="Normal"/>
    <w:rsid w:val="00DD7352"/>
    <w:pPr>
      <w:spacing w:line="240" w:lineRule="auto"/>
    </w:pPr>
    <w:rPr>
      <w:rFonts w:ascii="Calibri" w:eastAsiaTheme="minorHAnsi" w:hAnsi="Calibri" w:cs="Calibri"/>
    </w:rPr>
  </w:style>
  <w:style w:type="paragraph" w:customStyle="1" w:styleId="EMR-Definition">
    <w:name w:val="EMR-Definition"/>
    <w:basedOn w:val="Normal"/>
    <w:uiPriority w:val="99"/>
    <w:rsid w:val="00501ECE"/>
    <w:pPr>
      <w:autoSpaceDE w:val="0"/>
      <w:autoSpaceDN w:val="0"/>
      <w:adjustRightInd w:val="0"/>
      <w:spacing w:before="120" w:after="120" w:line="240" w:lineRule="auto"/>
      <w:ind w:left="1134"/>
      <w:jc w:val="both"/>
    </w:pPr>
    <w:rPr>
      <w:rFonts w:ascii="Times New Roman" w:hAnsi="Times New Roman"/>
      <w:color w:val="000000"/>
      <w:sz w:val="24"/>
      <w:szCs w:val="24"/>
    </w:rPr>
  </w:style>
  <w:style w:type="paragraph" w:customStyle="1" w:styleId="Am-EMR-Body-List-2-MNum">
    <w:name w:val="Am-EMR-Body-List-2-MNum"/>
    <w:basedOn w:val="Normal"/>
    <w:uiPriority w:val="99"/>
    <w:rsid w:val="00501ECE"/>
    <w:pPr>
      <w:tabs>
        <w:tab w:val="left" w:pos="1701"/>
      </w:tabs>
      <w:autoSpaceDE w:val="0"/>
      <w:autoSpaceDN w:val="0"/>
      <w:adjustRightInd w:val="0"/>
      <w:spacing w:before="120" w:after="120" w:line="240" w:lineRule="auto"/>
      <w:ind w:left="1701" w:hanging="567"/>
    </w:pPr>
    <w:rPr>
      <w:rFonts w:ascii="Times New Roman" w:hAnsi="Times New Roman"/>
      <w:color w:val="000000"/>
      <w:sz w:val="24"/>
      <w:szCs w:val="24"/>
    </w:rPr>
  </w:style>
  <w:style w:type="paragraph" w:customStyle="1" w:styleId="Am-EMR-Body-Para-In-1">
    <w:name w:val="Am-EMR-Body-Para-In-1"/>
    <w:basedOn w:val="Normal"/>
    <w:uiPriority w:val="99"/>
    <w:rsid w:val="00983843"/>
    <w:pPr>
      <w:autoSpaceDE w:val="0"/>
      <w:autoSpaceDN w:val="0"/>
      <w:adjustRightInd w:val="0"/>
      <w:spacing w:before="120" w:after="120" w:line="240" w:lineRule="auto"/>
      <w:ind w:left="1134"/>
    </w:pPr>
    <w:rPr>
      <w:rFonts w:ascii="Times New Roman" w:hAnsi="Times New Roman"/>
      <w:color w:val="000000"/>
      <w:sz w:val="24"/>
      <w:szCs w:val="24"/>
    </w:rPr>
  </w:style>
  <w:style w:type="paragraph" w:customStyle="1" w:styleId="Am-EMR-Body-List-1-MNum">
    <w:name w:val="Am-EMR-Body-List-1-MNum"/>
    <w:basedOn w:val="Normal"/>
    <w:uiPriority w:val="99"/>
    <w:rsid w:val="00983843"/>
    <w:pPr>
      <w:tabs>
        <w:tab w:val="left" w:pos="1134"/>
      </w:tabs>
      <w:autoSpaceDE w:val="0"/>
      <w:autoSpaceDN w:val="0"/>
      <w:adjustRightInd w:val="0"/>
      <w:spacing w:before="120" w:after="120" w:line="240" w:lineRule="auto"/>
      <w:ind w:left="1134" w:hanging="567"/>
    </w:pPr>
    <w:rPr>
      <w:rFonts w:ascii="Times New Roman" w:hAnsi="Times New Roman"/>
      <w:color w:val="000000"/>
      <w:sz w:val="24"/>
      <w:szCs w:val="24"/>
    </w:rPr>
  </w:style>
  <w:style w:type="paragraph" w:customStyle="1" w:styleId="EMR-Explain-Title-UNum">
    <w:name w:val="EMR-Explain-Title-UNum"/>
    <w:basedOn w:val="Normal"/>
    <w:uiPriority w:val="99"/>
    <w:rsid w:val="001B5338"/>
    <w:pPr>
      <w:keepNext/>
      <w:keepLines/>
      <w:autoSpaceDE w:val="0"/>
      <w:autoSpaceDN w:val="0"/>
      <w:adjustRightInd w:val="0"/>
      <w:spacing w:before="120" w:after="60" w:line="240" w:lineRule="auto"/>
      <w:ind w:left="1134"/>
    </w:pPr>
    <w:rPr>
      <w:rFonts w:ascii="Arial Bold" w:hAnsi="Arial Bold" w:cs="Arial Bold"/>
      <w:b/>
      <w:bCs/>
      <w:color w:val="000000"/>
      <w:sz w:val="20"/>
      <w:szCs w:val="20"/>
    </w:rPr>
  </w:style>
  <w:style w:type="paragraph" w:customStyle="1" w:styleId="Am-EMR-Body-List-3-MNum">
    <w:name w:val="Am-EMR-Body-List-3-MNum"/>
    <w:basedOn w:val="Normal"/>
    <w:uiPriority w:val="99"/>
    <w:rsid w:val="001B5338"/>
    <w:pPr>
      <w:tabs>
        <w:tab w:val="left" w:pos="2268"/>
      </w:tabs>
      <w:autoSpaceDE w:val="0"/>
      <w:autoSpaceDN w:val="0"/>
      <w:adjustRightInd w:val="0"/>
      <w:spacing w:before="120" w:after="120" w:line="240" w:lineRule="auto"/>
      <w:ind w:left="2268" w:hanging="567"/>
    </w:pPr>
    <w:rPr>
      <w:rFonts w:ascii="Times New Roman" w:hAnsi="Times New Roman"/>
      <w:color w:val="000000"/>
      <w:sz w:val="24"/>
      <w:szCs w:val="24"/>
    </w:rPr>
  </w:style>
  <w:style w:type="paragraph" w:customStyle="1" w:styleId="Indent1">
    <w:name w:val="Indent 1"/>
    <w:basedOn w:val="Normal"/>
    <w:link w:val="Indent1Char"/>
    <w:uiPriority w:val="3"/>
    <w:qFormat/>
    <w:locked/>
    <w:rsid w:val="0070140D"/>
    <w:pPr>
      <w:spacing w:before="180" w:line="269" w:lineRule="auto"/>
      <w:ind w:left="851"/>
      <w:jc w:val="both"/>
    </w:pPr>
    <w:rPr>
      <w:sz w:val="20"/>
      <w:szCs w:val="20"/>
    </w:rPr>
  </w:style>
  <w:style w:type="character" w:customStyle="1" w:styleId="Indent1Char">
    <w:name w:val="Indent 1 Char"/>
    <w:link w:val="Indent1"/>
    <w:uiPriority w:val="3"/>
    <w:rsid w:val="0070140D"/>
    <w:rPr>
      <w:rFonts w:ascii="Arial" w:hAnsi="Arial"/>
      <w:sz w:val="20"/>
      <w:szCs w:val="20"/>
    </w:rPr>
  </w:style>
  <w:style w:type="paragraph" w:customStyle="1" w:styleId="BulletsL1">
    <w:name w:val="Bullets L1"/>
    <w:basedOn w:val="Normal"/>
    <w:uiPriority w:val="4"/>
    <w:qFormat/>
    <w:locked/>
    <w:rsid w:val="00AA7AFE"/>
    <w:pPr>
      <w:numPr>
        <w:numId w:val="39"/>
      </w:numPr>
      <w:spacing w:before="180" w:line="268" w:lineRule="auto"/>
      <w:jc w:val="both"/>
    </w:pPr>
    <w:rPr>
      <w:sz w:val="20"/>
      <w:lang w:eastAsia="en-US"/>
    </w:rPr>
  </w:style>
  <w:style w:type="paragraph" w:customStyle="1" w:styleId="BulletsL2">
    <w:name w:val="Bullets L2"/>
    <w:basedOn w:val="BulletsL1"/>
    <w:uiPriority w:val="4"/>
    <w:qFormat/>
    <w:locked/>
    <w:rsid w:val="00AA7AFE"/>
    <w:pPr>
      <w:numPr>
        <w:ilvl w:val="1"/>
      </w:numPr>
    </w:pPr>
  </w:style>
  <w:style w:type="paragraph" w:customStyle="1" w:styleId="BulletsL3">
    <w:name w:val="Bullets L3"/>
    <w:basedOn w:val="BulletsL2"/>
    <w:uiPriority w:val="4"/>
    <w:qFormat/>
    <w:rsid w:val="00AA7AFE"/>
    <w:pPr>
      <w:numPr>
        <w:ilvl w:val="2"/>
      </w:numPr>
    </w:pPr>
  </w:style>
  <w:style w:type="paragraph" w:styleId="TOC5">
    <w:name w:val="toc 5"/>
    <w:basedOn w:val="Normal"/>
    <w:next w:val="Normal"/>
    <w:autoRedefine/>
    <w:uiPriority w:val="39"/>
    <w:semiHidden/>
    <w:unhideWhenUsed/>
    <w:rsid w:val="006E24F8"/>
    <w:pPr>
      <w:tabs>
        <w:tab w:val="right" w:leader="dot" w:pos="9015"/>
      </w:tabs>
      <w:spacing w:before="120" w:after="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34">
      <w:bodyDiv w:val="1"/>
      <w:marLeft w:val="0"/>
      <w:marRight w:val="0"/>
      <w:marTop w:val="0"/>
      <w:marBottom w:val="0"/>
      <w:divBdr>
        <w:top w:val="none" w:sz="0" w:space="0" w:color="auto"/>
        <w:left w:val="none" w:sz="0" w:space="0" w:color="auto"/>
        <w:bottom w:val="none" w:sz="0" w:space="0" w:color="auto"/>
        <w:right w:val="none" w:sz="0" w:space="0" w:color="auto"/>
      </w:divBdr>
    </w:div>
    <w:div w:id="8603572">
      <w:bodyDiv w:val="1"/>
      <w:marLeft w:val="0"/>
      <w:marRight w:val="0"/>
      <w:marTop w:val="0"/>
      <w:marBottom w:val="0"/>
      <w:divBdr>
        <w:top w:val="none" w:sz="0" w:space="0" w:color="auto"/>
        <w:left w:val="none" w:sz="0" w:space="0" w:color="auto"/>
        <w:bottom w:val="none" w:sz="0" w:space="0" w:color="auto"/>
        <w:right w:val="none" w:sz="0" w:space="0" w:color="auto"/>
      </w:divBdr>
      <w:divsChild>
        <w:div w:id="1574465123">
          <w:marLeft w:val="0"/>
          <w:marRight w:val="0"/>
          <w:marTop w:val="0"/>
          <w:marBottom w:val="0"/>
          <w:divBdr>
            <w:top w:val="none" w:sz="0" w:space="0" w:color="auto"/>
            <w:left w:val="none" w:sz="0" w:space="0" w:color="auto"/>
            <w:bottom w:val="none" w:sz="0" w:space="0" w:color="auto"/>
            <w:right w:val="none" w:sz="0" w:space="0" w:color="auto"/>
          </w:divBdr>
          <w:divsChild>
            <w:div w:id="1446270511">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 w:id="8915106">
      <w:bodyDiv w:val="1"/>
      <w:marLeft w:val="0"/>
      <w:marRight w:val="0"/>
      <w:marTop w:val="0"/>
      <w:marBottom w:val="0"/>
      <w:divBdr>
        <w:top w:val="none" w:sz="0" w:space="0" w:color="auto"/>
        <w:left w:val="none" w:sz="0" w:space="0" w:color="auto"/>
        <w:bottom w:val="none" w:sz="0" w:space="0" w:color="auto"/>
        <w:right w:val="none" w:sz="0" w:space="0" w:color="auto"/>
      </w:divBdr>
    </w:div>
    <w:div w:id="9837092">
      <w:bodyDiv w:val="1"/>
      <w:marLeft w:val="0"/>
      <w:marRight w:val="0"/>
      <w:marTop w:val="0"/>
      <w:marBottom w:val="0"/>
      <w:divBdr>
        <w:top w:val="none" w:sz="0" w:space="0" w:color="auto"/>
        <w:left w:val="none" w:sz="0" w:space="0" w:color="auto"/>
        <w:bottom w:val="none" w:sz="0" w:space="0" w:color="auto"/>
        <w:right w:val="none" w:sz="0" w:space="0" w:color="auto"/>
      </w:divBdr>
    </w:div>
    <w:div w:id="14891659">
      <w:bodyDiv w:val="1"/>
      <w:marLeft w:val="0"/>
      <w:marRight w:val="0"/>
      <w:marTop w:val="0"/>
      <w:marBottom w:val="0"/>
      <w:divBdr>
        <w:top w:val="none" w:sz="0" w:space="0" w:color="auto"/>
        <w:left w:val="none" w:sz="0" w:space="0" w:color="auto"/>
        <w:bottom w:val="none" w:sz="0" w:space="0" w:color="auto"/>
        <w:right w:val="none" w:sz="0" w:space="0" w:color="auto"/>
      </w:divBdr>
    </w:div>
    <w:div w:id="36588931">
      <w:bodyDiv w:val="1"/>
      <w:marLeft w:val="0"/>
      <w:marRight w:val="0"/>
      <w:marTop w:val="0"/>
      <w:marBottom w:val="0"/>
      <w:divBdr>
        <w:top w:val="none" w:sz="0" w:space="0" w:color="auto"/>
        <w:left w:val="none" w:sz="0" w:space="0" w:color="auto"/>
        <w:bottom w:val="none" w:sz="0" w:space="0" w:color="auto"/>
        <w:right w:val="none" w:sz="0" w:space="0" w:color="auto"/>
      </w:divBdr>
    </w:div>
    <w:div w:id="76170139">
      <w:bodyDiv w:val="1"/>
      <w:marLeft w:val="0"/>
      <w:marRight w:val="0"/>
      <w:marTop w:val="0"/>
      <w:marBottom w:val="0"/>
      <w:divBdr>
        <w:top w:val="none" w:sz="0" w:space="0" w:color="auto"/>
        <w:left w:val="none" w:sz="0" w:space="0" w:color="auto"/>
        <w:bottom w:val="none" w:sz="0" w:space="0" w:color="auto"/>
        <w:right w:val="none" w:sz="0" w:space="0" w:color="auto"/>
      </w:divBdr>
      <w:divsChild>
        <w:div w:id="285698839">
          <w:marLeft w:val="547"/>
          <w:marRight w:val="0"/>
          <w:marTop w:val="0"/>
          <w:marBottom w:val="0"/>
          <w:divBdr>
            <w:top w:val="none" w:sz="0" w:space="0" w:color="auto"/>
            <w:left w:val="none" w:sz="0" w:space="0" w:color="auto"/>
            <w:bottom w:val="none" w:sz="0" w:space="0" w:color="auto"/>
            <w:right w:val="none" w:sz="0" w:space="0" w:color="auto"/>
          </w:divBdr>
        </w:div>
        <w:div w:id="1459569555">
          <w:marLeft w:val="547"/>
          <w:marRight w:val="0"/>
          <w:marTop w:val="0"/>
          <w:marBottom w:val="0"/>
          <w:divBdr>
            <w:top w:val="none" w:sz="0" w:space="0" w:color="auto"/>
            <w:left w:val="none" w:sz="0" w:space="0" w:color="auto"/>
            <w:bottom w:val="none" w:sz="0" w:space="0" w:color="auto"/>
            <w:right w:val="none" w:sz="0" w:space="0" w:color="auto"/>
          </w:divBdr>
        </w:div>
        <w:div w:id="1461654856">
          <w:marLeft w:val="547"/>
          <w:marRight w:val="0"/>
          <w:marTop w:val="0"/>
          <w:marBottom w:val="0"/>
          <w:divBdr>
            <w:top w:val="none" w:sz="0" w:space="0" w:color="auto"/>
            <w:left w:val="none" w:sz="0" w:space="0" w:color="auto"/>
            <w:bottom w:val="none" w:sz="0" w:space="0" w:color="auto"/>
            <w:right w:val="none" w:sz="0" w:space="0" w:color="auto"/>
          </w:divBdr>
        </w:div>
        <w:div w:id="1906606036">
          <w:marLeft w:val="547"/>
          <w:marRight w:val="0"/>
          <w:marTop w:val="0"/>
          <w:marBottom w:val="0"/>
          <w:divBdr>
            <w:top w:val="none" w:sz="0" w:space="0" w:color="auto"/>
            <w:left w:val="none" w:sz="0" w:space="0" w:color="auto"/>
            <w:bottom w:val="none" w:sz="0" w:space="0" w:color="auto"/>
            <w:right w:val="none" w:sz="0" w:space="0" w:color="auto"/>
          </w:divBdr>
        </w:div>
      </w:divsChild>
    </w:div>
    <w:div w:id="98452845">
      <w:bodyDiv w:val="1"/>
      <w:marLeft w:val="0"/>
      <w:marRight w:val="0"/>
      <w:marTop w:val="0"/>
      <w:marBottom w:val="0"/>
      <w:divBdr>
        <w:top w:val="none" w:sz="0" w:space="0" w:color="auto"/>
        <w:left w:val="none" w:sz="0" w:space="0" w:color="auto"/>
        <w:bottom w:val="none" w:sz="0" w:space="0" w:color="auto"/>
        <w:right w:val="none" w:sz="0" w:space="0" w:color="auto"/>
      </w:divBdr>
      <w:divsChild>
        <w:div w:id="1499954655">
          <w:marLeft w:val="0"/>
          <w:marRight w:val="0"/>
          <w:marTop w:val="0"/>
          <w:marBottom w:val="0"/>
          <w:divBdr>
            <w:top w:val="none" w:sz="0" w:space="0" w:color="auto"/>
            <w:left w:val="none" w:sz="0" w:space="0" w:color="auto"/>
            <w:bottom w:val="none" w:sz="0" w:space="0" w:color="auto"/>
            <w:right w:val="none" w:sz="0" w:space="0" w:color="auto"/>
          </w:divBdr>
          <w:divsChild>
            <w:div w:id="327026357">
              <w:marLeft w:val="0"/>
              <w:marRight w:val="0"/>
              <w:marTop w:val="0"/>
              <w:marBottom w:val="0"/>
              <w:divBdr>
                <w:top w:val="none" w:sz="0" w:space="0" w:color="auto"/>
                <w:left w:val="none" w:sz="0" w:space="0" w:color="auto"/>
                <w:bottom w:val="none" w:sz="0" w:space="0" w:color="auto"/>
                <w:right w:val="none" w:sz="0" w:space="0" w:color="auto"/>
              </w:divBdr>
              <w:divsChild>
                <w:div w:id="1296369695">
                  <w:marLeft w:val="0"/>
                  <w:marRight w:val="0"/>
                  <w:marTop w:val="0"/>
                  <w:marBottom w:val="0"/>
                  <w:divBdr>
                    <w:top w:val="none" w:sz="0" w:space="0" w:color="auto"/>
                    <w:left w:val="none" w:sz="0" w:space="0" w:color="auto"/>
                    <w:bottom w:val="none" w:sz="0" w:space="0" w:color="auto"/>
                    <w:right w:val="none" w:sz="0" w:space="0" w:color="auto"/>
                  </w:divBdr>
                  <w:divsChild>
                    <w:div w:id="874123514">
                      <w:marLeft w:val="150"/>
                      <w:marRight w:val="150"/>
                      <w:marTop w:val="0"/>
                      <w:marBottom w:val="0"/>
                      <w:divBdr>
                        <w:top w:val="none" w:sz="0" w:space="0" w:color="auto"/>
                        <w:left w:val="none" w:sz="0" w:space="0" w:color="auto"/>
                        <w:bottom w:val="none" w:sz="0" w:space="0" w:color="auto"/>
                        <w:right w:val="none" w:sz="0" w:space="0" w:color="auto"/>
                      </w:divBdr>
                      <w:divsChild>
                        <w:div w:id="2094468251">
                          <w:marLeft w:val="0"/>
                          <w:marRight w:val="0"/>
                          <w:marTop w:val="0"/>
                          <w:marBottom w:val="0"/>
                          <w:divBdr>
                            <w:top w:val="none" w:sz="0" w:space="0" w:color="auto"/>
                            <w:left w:val="none" w:sz="0" w:space="0" w:color="auto"/>
                            <w:bottom w:val="none" w:sz="0" w:space="0" w:color="auto"/>
                            <w:right w:val="none" w:sz="0" w:space="0" w:color="auto"/>
                          </w:divBdr>
                          <w:divsChild>
                            <w:div w:id="122701118">
                              <w:marLeft w:val="0"/>
                              <w:marRight w:val="0"/>
                              <w:marTop w:val="0"/>
                              <w:marBottom w:val="0"/>
                              <w:divBdr>
                                <w:top w:val="none" w:sz="0" w:space="0" w:color="auto"/>
                                <w:left w:val="none" w:sz="0" w:space="0" w:color="auto"/>
                                <w:bottom w:val="none" w:sz="0" w:space="0" w:color="auto"/>
                                <w:right w:val="none" w:sz="0" w:space="0" w:color="auto"/>
                              </w:divBdr>
                              <w:divsChild>
                                <w:div w:id="919756907">
                                  <w:marLeft w:val="0"/>
                                  <w:marRight w:val="0"/>
                                  <w:marTop w:val="0"/>
                                  <w:marBottom w:val="0"/>
                                  <w:divBdr>
                                    <w:top w:val="none" w:sz="0" w:space="0" w:color="auto"/>
                                    <w:left w:val="none" w:sz="0" w:space="0" w:color="auto"/>
                                    <w:bottom w:val="none" w:sz="0" w:space="0" w:color="auto"/>
                                    <w:right w:val="none" w:sz="0" w:space="0" w:color="auto"/>
                                  </w:divBdr>
                                  <w:divsChild>
                                    <w:div w:id="2100520672">
                                      <w:marLeft w:val="0"/>
                                      <w:marRight w:val="0"/>
                                      <w:marTop w:val="0"/>
                                      <w:marBottom w:val="0"/>
                                      <w:divBdr>
                                        <w:top w:val="none" w:sz="0" w:space="0" w:color="auto"/>
                                        <w:left w:val="none" w:sz="0" w:space="0" w:color="auto"/>
                                        <w:bottom w:val="none" w:sz="0" w:space="0" w:color="auto"/>
                                        <w:right w:val="none" w:sz="0" w:space="0" w:color="auto"/>
                                      </w:divBdr>
                                      <w:divsChild>
                                        <w:div w:id="399911095">
                                          <w:marLeft w:val="0"/>
                                          <w:marRight w:val="0"/>
                                          <w:marTop w:val="0"/>
                                          <w:marBottom w:val="0"/>
                                          <w:divBdr>
                                            <w:top w:val="none" w:sz="0" w:space="0" w:color="auto"/>
                                            <w:left w:val="none" w:sz="0" w:space="0" w:color="auto"/>
                                            <w:bottom w:val="none" w:sz="0" w:space="0" w:color="auto"/>
                                            <w:right w:val="none" w:sz="0" w:space="0" w:color="auto"/>
                                          </w:divBdr>
                                          <w:divsChild>
                                            <w:div w:id="8561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7700832">
      <w:bodyDiv w:val="1"/>
      <w:marLeft w:val="0"/>
      <w:marRight w:val="0"/>
      <w:marTop w:val="0"/>
      <w:marBottom w:val="0"/>
      <w:divBdr>
        <w:top w:val="none" w:sz="0" w:space="0" w:color="auto"/>
        <w:left w:val="none" w:sz="0" w:space="0" w:color="auto"/>
        <w:bottom w:val="none" w:sz="0" w:space="0" w:color="auto"/>
        <w:right w:val="none" w:sz="0" w:space="0" w:color="auto"/>
      </w:divBdr>
    </w:div>
    <w:div w:id="108671511">
      <w:bodyDiv w:val="1"/>
      <w:marLeft w:val="0"/>
      <w:marRight w:val="0"/>
      <w:marTop w:val="0"/>
      <w:marBottom w:val="0"/>
      <w:divBdr>
        <w:top w:val="none" w:sz="0" w:space="0" w:color="auto"/>
        <w:left w:val="none" w:sz="0" w:space="0" w:color="auto"/>
        <w:bottom w:val="none" w:sz="0" w:space="0" w:color="auto"/>
        <w:right w:val="none" w:sz="0" w:space="0" w:color="auto"/>
      </w:divBdr>
    </w:div>
    <w:div w:id="136730854">
      <w:bodyDiv w:val="1"/>
      <w:marLeft w:val="0"/>
      <w:marRight w:val="0"/>
      <w:marTop w:val="0"/>
      <w:marBottom w:val="0"/>
      <w:divBdr>
        <w:top w:val="none" w:sz="0" w:space="0" w:color="auto"/>
        <w:left w:val="none" w:sz="0" w:space="0" w:color="auto"/>
        <w:bottom w:val="none" w:sz="0" w:space="0" w:color="auto"/>
        <w:right w:val="none" w:sz="0" w:space="0" w:color="auto"/>
      </w:divBdr>
      <w:divsChild>
        <w:div w:id="447508505">
          <w:marLeft w:val="446"/>
          <w:marRight w:val="0"/>
          <w:marTop w:val="180"/>
          <w:marBottom w:val="0"/>
          <w:divBdr>
            <w:top w:val="none" w:sz="0" w:space="0" w:color="auto"/>
            <w:left w:val="none" w:sz="0" w:space="0" w:color="auto"/>
            <w:bottom w:val="none" w:sz="0" w:space="0" w:color="auto"/>
            <w:right w:val="none" w:sz="0" w:space="0" w:color="auto"/>
          </w:divBdr>
        </w:div>
        <w:div w:id="1503355508">
          <w:marLeft w:val="446"/>
          <w:marRight w:val="0"/>
          <w:marTop w:val="180"/>
          <w:marBottom w:val="0"/>
          <w:divBdr>
            <w:top w:val="none" w:sz="0" w:space="0" w:color="auto"/>
            <w:left w:val="none" w:sz="0" w:space="0" w:color="auto"/>
            <w:bottom w:val="none" w:sz="0" w:space="0" w:color="auto"/>
            <w:right w:val="none" w:sz="0" w:space="0" w:color="auto"/>
          </w:divBdr>
        </w:div>
        <w:div w:id="1585068890">
          <w:marLeft w:val="446"/>
          <w:marRight w:val="0"/>
          <w:marTop w:val="80"/>
          <w:marBottom w:val="0"/>
          <w:divBdr>
            <w:top w:val="none" w:sz="0" w:space="0" w:color="auto"/>
            <w:left w:val="none" w:sz="0" w:space="0" w:color="auto"/>
            <w:bottom w:val="none" w:sz="0" w:space="0" w:color="auto"/>
            <w:right w:val="none" w:sz="0" w:space="0" w:color="auto"/>
          </w:divBdr>
        </w:div>
        <w:div w:id="2000619348">
          <w:marLeft w:val="446"/>
          <w:marRight w:val="0"/>
          <w:marTop w:val="80"/>
          <w:marBottom w:val="0"/>
          <w:divBdr>
            <w:top w:val="none" w:sz="0" w:space="0" w:color="auto"/>
            <w:left w:val="none" w:sz="0" w:space="0" w:color="auto"/>
            <w:bottom w:val="none" w:sz="0" w:space="0" w:color="auto"/>
            <w:right w:val="none" w:sz="0" w:space="0" w:color="auto"/>
          </w:divBdr>
        </w:div>
      </w:divsChild>
    </w:div>
    <w:div w:id="138544564">
      <w:bodyDiv w:val="1"/>
      <w:marLeft w:val="0"/>
      <w:marRight w:val="0"/>
      <w:marTop w:val="0"/>
      <w:marBottom w:val="0"/>
      <w:divBdr>
        <w:top w:val="none" w:sz="0" w:space="0" w:color="auto"/>
        <w:left w:val="none" w:sz="0" w:space="0" w:color="auto"/>
        <w:bottom w:val="none" w:sz="0" w:space="0" w:color="auto"/>
        <w:right w:val="none" w:sz="0" w:space="0" w:color="auto"/>
      </w:divBdr>
    </w:div>
    <w:div w:id="170874453">
      <w:bodyDiv w:val="1"/>
      <w:marLeft w:val="0"/>
      <w:marRight w:val="0"/>
      <w:marTop w:val="0"/>
      <w:marBottom w:val="0"/>
      <w:divBdr>
        <w:top w:val="none" w:sz="0" w:space="0" w:color="auto"/>
        <w:left w:val="none" w:sz="0" w:space="0" w:color="auto"/>
        <w:bottom w:val="none" w:sz="0" w:space="0" w:color="auto"/>
        <w:right w:val="none" w:sz="0" w:space="0" w:color="auto"/>
      </w:divBdr>
    </w:div>
    <w:div w:id="201942835">
      <w:bodyDiv w:val="1"/>
      <w:marLeft w:val="0"/>
      <w:marRight w:val="0"/>
      <w:marTop w:val="0"/>
      <w:marBottom w:val="0"/>
      <w:divBdr>
        <w:top w:val="none" w:sz="0" w:space="0" w:color="auto"/>
        <w:left w:val="none" w:sz="0" w:space="0" w:color="auto"/>
        <w:bottom w:val="none" w:sz="0" w:space="0" w:color="auto"/>
        <w:right w:val="none" w:sz="0" w:space="0" w:color="auto"/>
      </w:divBdr>
    </w:div>
    <w:div w:id="226191058">
      <w:bodyDiv w:val="1"/>
      <w:marLeft w:val="0"/>
      <w:marRight w:val="0"/>
      <w:marTop w:val="0"/>
      <w:marBottom w:val="0"/>
      <w:divBdr>
        <w:top w:val="none" w:sz="0" w:space="0" w:color="auto"/>
        <w:left w:val="none" w:sz="0" w:space="0" w:color="auto"/>
        <w:bottom w:val="none" w:sz="0" w:space="0" w:color="auto"/>
        <w:right w:val="none" w:sz="0" w:space="0" w:color="auto"/>
      </w:divBdr>
      <w:divsChild>
        <w:div w:id="758140500">
          <w:marLeft w:val="547"/>
          <w:marRight w:val="0"/>
          <w:marTop w:val="0"/>
          <w:marBottom w:val="0"/>
          <w:divBdr>
            <w:top w:val="none" w:sz="0" w:space="0" w:color="auto"/>
            <w:left w:val="none" w:sz="0" w:space="0" w:color="auto"/>
            <w:bottom w:val="none" w:sz="0" w:space="0" w:color="auto"/>
            <w:right w:val="none" w:sz="0" w:space="0" w:color="auto"/>
          </w:divBdr>
        </w:div>
      </w:divsChild>
    </w:div>
    <w:div w:id="245505233">
      <w:bodyDiv w:val="1"/>
      <w:marLeft w:val="0"/>
      <w:marRight w:val="0"/>
      <w:marTop w:val="0"/>
      <w:marBottom w:val="0"/>
      <w:divBdr>
        <w:top w:val="none" w:sz="0" w:space="0" w:color="auto"/>
        <w:left w:val="none" w:sz="0" w:space="0" w:color="auto"/>
        <w:bottom w:val="none" w:sz="0" w:space="0" w:color="auto"/>
        <w:right w:val="none" w:sz="0" w:space="0" w:color="auto"/>
      </w:divBdr>
    </w:div>
    <w:div w:id="245769054">
      <w:bodyDiv w:val="1"/>
      <w:marLeft w:val="0"/>
      <w:marRight w:val="0"/>
      <w:marTop w:val="0"/>
      <w:marBottom w:val="0"/>
      <w:divBdr>
        <w:top w:val="none" w:sz="0" w:space="0" w:color="auto"/>
        <w:left w:val="none" w:sz="0" w:space="0" w:color="auto"/>
        <w:bottom w:val="none" w:sz="0" w:space="0" w:color="auto"/>
        <w:right w:val="none" w:sz="0" w:space="0" w:color="auto"/>
      </w:divBdr>
    </w:div>
    <w:div w:id="254674782">
      <w:bodyDiv w:val="1"/>
      <w:marLeft w:val="0"/>
      <w:marRight w:val="0"/>
      <w:marTop w:val="0"/>
      <w:marBottom w:val="0"/>
      <w:divBdr>
        <w:top w:val="none" w:sz="0" w:space="0" w:color="auto"/>
        <w:left w:val="none" w:sz="0" w:space="0" w:color="auto"/>
        <w:bottom w:val="none" w:sz="0" w:space="0" w:color="auto"/>
        <w:right w:val="none" w:sz="0" w:space="0" w:color="auto"/>
      </w:divBdr>
    </w:div>
    <w:div w:id="263197748">
      <w:bodyDiv w:val="1"/>
      <w:marLeft w:val="0"/>
      <w:marRight w:val="0"/>
      <w:marTop w:val="0"/>
      <w:marBottom w:val="0"/>
      <w:divBdr>
        <w:top w:val="none" w:sz="0" w:space="0" w:color="auto"/>
        <w:left w:val="none" w:sz="0" w:space="0" w:color="auto"/>
        <w:bottom w:val="none" w:sz="0" w:space="0" w:color="auto"/>
        <w:right w:val="none" w:sz="0" w:space="0" w:color="auto"/>
      </w:divBdr>
    </w:div>
    <w:div w:id="267125752">
      <w:bodyDiv w:val="1"/>
      <w:marLeft w:val="0"/>
      <w:marRight w:val="0"/>
      <w:marTop w:val="0"/>
      <w:marBottom w:val="0"/>
      <w:divBdr>
        <w:top w:val="none" w:sz="0" w:space="0" w:color="auto"/>
        <w:left w:val="none" w:sz="0" w:space="0" w:color="auto"/>
        <w:bottom w:val="none" w:sz="0" w:space="0" w:color="auto"/>
        <w:right w:val="none" w:sz="0" w:space="0" w:color="auto"/>
      </w:divBdr>
    </w:div>
    <w:div w:id="270674200">
      <w:bodyDiv w:val="1"/>
      <w:marLeft w:val="0"/>
      <w:marRight w:val="0"/>
      <w:marTop w:val="0"/>
      <w:marBottom w:val="0"/>
      <w:divBdr>
        <w:top w:val="none" w:sz="0" w:space="0" w:color="auto"/>
        <w:left w:val="none" w:sz="0" w:space="0" w:color="auto"/>
        <w:bottom w:val="none" w:sz="0" w:space="0" w:color="auto"/>
        <w:right w:val="none" w:sz="0" w:space="0" w:color="auto"/>
      </w:divBdr>
    </w:div>
    <w:div w:id="294725872">
      <w:bodyDiv w:val="1"/>
      <w:marLeft w:val="0"/>
      <w:marRight w:val="0"/>
      <w:marTop w:val="0"/>
      <w:marBottom w:val="0"/>
      <w:divBdr>
        <w:top w:val="none" w:sz="0" w:space="0" w:color="auto"/>
        <w:left w:val="none" w:sz="0" w:space="0" w:color="auto"/>
        <w:bottom w:val="none" w:sz="0" w:space="0" w:color="auto"/>
        <w:right w:val="none" w:sz="0" w:space="0" w:color="auto"/>
      </w:divBdr>
    </w:div>
    <w:div w:id="301155485">
      <w:bodyDiv w:val="1"/>
      <w:marLeft w:val="0"/>
      <w:marRight w:val="0"/>
      <w:marTop w:val="0"/>
      <w:marBottom w:val="0"/>
      <w:divBdr>
        <w:top w:val="none" w:sz="0" w:space="0" w:color="auto"/>
        <w:left w:val="none" w:sz="0" w:space="0" w:color="auto"/>
        <w:bottom w:val="none" w:sz="0" w:space="0" w:color="auto"/>
        <w:right w:val="none" w:sz="0" w:space="0" w:color="auto"/>
      </w:divBdr>
    </w:div>
    <w:div w:id="322588373">
      <w:bodyDiv w:val="1"/>
      <w:marLeft w:val="0"/>
      <w:marRight w:val="0"/>
      <w:marTop w:val="0"/>
      <w:marBottom w:val="0"/>
      <w:divBdr>
        <w:top w:val="none" w:sz="0" w:space="0" w:color="auto"/>
        <w:left w:val="none" w:sz="0" w:space="0" w:color="auto"/>
        <w:bottom w:val="none" w:sz="0" w:space="0" w:color="auto"/>
        <w:right w:val="none" w:sz="0" w:space="0" w:color="auto"/>
      </w:divBdr>
    </w:div>
    <w:div w:id="325868693">
      <w:bodyDiv w:val="1"/>
      <w:marLeft w:val="0"/>
      <w:marRight w:val="0"/>
      <w:marTop w:val="0"/>
      <w:marBottom w:val="0"/>
      <w:divBdr>
        <w:top w:val="none" w:sz="0" w:space="0" w:color="auto"/>
        <w:left w:val="none" w:sz="0" w:space="0" w:color="auto"/>
        <w:bottom w:val="none" w:sz="0" w:space="0" w:color="auto"/>
        <w:right w:val="none" w:sz="0" w:space="0" w:color="auto"/>
      </w:divBdr>
      <w:divsChild>
        <w:div w:id="1057045809">
          <w:marLeft w:val="547"/>
          <w:marRight w:val="0"/>
          <w:marTop w:val="0"/>
          <w:marBottom w:val="0"/>
          <w:divBdr>
            <w:top w:val="none" w:sz="0" w:space="0" w:color="auto"/>
            <w:left w:val="none" w:sz="0" w:space="0" w:color="auto"/>
            <w:bottom w:val="none" w:sz="0" w:space="0" w:color="auto"/>
            <w:right w:val="none" w:sz="0" w:space="0" w:color="auto"/>
          </w:divBdr>
        </w:div>
        <w:div w:id="1140928051">
          <w:marLeft w:val="547"/>
          <w:marRight w:val="0"/>
          <w:marTop w:val="0"/>
          <w:marBottom w:val="0"/>
          <w:divBdr>
            <w:top w:val="none" w:sz="0" w:space="0" w:color="auto"/>
            <w:left w:val="none" w:sz="0" w:space="0" w:color="auto"/>
            <w:bottom w:val="none" w:sz="0" w:space="0" w:color="auto"/>
            <w:right w:val="none" w:sz="0" w:space="0" w:color="auto"/>
          </w:divBdr>
        </w:div>
        <w:div w:id="1410037435">
          <w:marLeft w:val="547"/>
          <w:marRight w:val="0"/>
          <w:marTop w:val="0"/>
          <w:marBottom w:val="0"/>
          <w:divBdr>
            <w:top w:val="none" w:sz="0" w:space="0" w:color="auto"/>
            <w:left w:val="none" w:sz="0" w:space="0" w:color="auto"/>
            <w:bottom w:val="none" w:sz="0" w:space="0" w:color="auto"/>
            <w:right w:val="none" w:sz="0" w:space="0" w:color="auto"/>
          </w:divBdr>
        </w:div>
        <w:div w:id="1741825932">
          <w:marLeft w:val="547"/>
          <w:marRight w:val="0"/>
          <w:marTop w:val="0"/>
          <w:marBottom w:val="0"/>
          <w:divBdr>
            <w:top w:val="none" w:sz="0" w:space="0" w:color="auto"/>
            <w:left w:val="none" w:sz="0" w:space="0" w:color="auto"/>
            <w:bottom w:val="none" w:sz="0" w:space="0" w:color="auto"/>
            <w:right w:val="none" w:sz="0" w:space="0" w:color="auto"/>
          </w:divBdr>
        </w:div>
      </w:divsChild>
    </w:div>
    <w:div w:id="340203287">
      <w:bodyDiv w:val="1"/>
      <w:marLeft w:val="0"/>
      <w:marRight w:val="0"/>
      <w:marTop w:val="0"/>
      <w:marBottom w:val="0"/>
      <w:divBdr>
        <w:top w:val="none" w:sz="0" w:space="0" w:color="auto"/>
        <w:left w:val="none" w:sz="0" w:space="0" w:color="auto"/>
        <w:bottom w:val="none" w:sz="0" w:space="0" w:color="auto"/>
        <w:right w:val="none" w:sz="0" w:space="0" w:color="auto"/>
      </w:divBdr>
    </w:div>
    <w:div w:id="354505784">
      <w:bodyDiv w:val="1"/>
      <w:marLeft w:val="0"/>
      <w:marRight w:val="0"/>
      <w:marTop w:val="0"/>
      <w:marBottom w:val="0"/>
      <w:divBdr>
        <w:top w:val="none" w:sz="0" w:space="0" w:color="auto"/>
        <w:left w:val="none" w:sz="0" w:space="0" w:color="auto"/>
        <w:bottom w:val="none" w:sz="0" w:space="0" w:color="auto"/>
        <w:right w:val="none" w:sz="0" w:space="0" w:color="auto"/>
      </w:divBdr>
    </w:div>
    <w:div w:id="362098528">
      <w:bodyDiv w:val="1"/>
      <w:marLeft w:val="0"/>
      <w:marRight w:val="0"/>
      <w:marTop w:val="0"/>
      <w:marBottom w:val="0"/>
      <w:divBdr>
        <w:top w:val="none" w:sz="0" w:space="0" w:color="auto"/>
        <w:left w:val="none" w:sz="0" w:space="0" w:color="auto"/>
        <w:bottom w:val="none" w:sz="0" w:space="0" w:color="auto"/>
        <w:right w:val="none" w:sz="0" w:space="0" w:color="auto"/>
      </w:divBdr>
    </w:div>
    <w:div w:id="407313344">
      <w:bodyDiv w:val="1"/>
      <w:marLeft w:val="0"/>
      <w:marRight w:val="0"/>
      <w:marTop w:val="0"/>
      <w:marBottom w:val="0"/>
      <w:divBdr>
        <w:top w:val="none" w:sz="0" w:space="0" w:color="auto"/>
        <w:left w:val="none" w:sz="0" w:space="0" w:color="auto"/>
        <w:bottom w:val="none" w:sz="0" w:space="0" w:color="auto"/>
        <w:right w:val="none" w:sz="0" w:space="0" w:color="auto"/>
      </w:divBdr>
    </w:div>
    <w:div w:id="421492480">
      <w:bodyDiv w:val="1"/>
      <w:marLeft w:val="0"/>
      <w:marRight w:val="0"/>
      <w:marTop w:val="0"/>
      <w:marBottom w:val="0"/>
      <w:divBdr>
        <w:top w:val="none" w:sz="0" w:space="0" w:color="auto"/>
        <w:left w:val="none" w:sz="0" w:space="0" w:color="auto"/>
        <w:bottom w:val="none" w:sz="0" w:space="0" w:color="auto"/>
        <w:right w:val="none" w:sz="0" w:space="0" w:color="auto"/>
      </w:divBdr>
    </w:div>
    <w:div w:id="424618658">
      <w:bodyDiv w:val="1"/>
      <w:marLeft w:val="0"/>
      <w:marRight w:val="0"/>
      <w:marTop w:val="0"/>
      <w:marBottom w:val="0"/>
      <w:divBdr>
        <w:top w:val="none" w:sz="0" w:space="0" w:color="auto"/>
        <w:left w:val="none" w:sz="0" w:space="0" w:color="auto"/>
        <w:bottom w:val="none" w:sz="0" w:space="0" w:color="auto"/>
        <w:right w:val="none" w:sz="0" w:space="0" w:color="auto"/>
      </w:divBdr>
    </w:div>
    <w:div w:id="424690779">
      <w:bodyDiv w:val="1"/>
      <w:marLeft w:val="0"/>
      <w:marRight w:val="0"/>
      <w:marTop w:val="0"/>
      <w:marBottom w:val="0"/>
      <w:divBdr>
        <w:top w:val="none" w:sz="0" w:space="0" w:color="auto"/>
        <w:left w:val="none" w:sz="0" w:space="0" w:color="auto"/>
        <w:bottom w:val="none" w:sz="0" w:space="0" w:color="auto"/>
        <w:right w:val="none" w:sz="0" w:space="0" w:color="auto"/>
      </w:divBdr>
    </w:div>
    <w:div w:id="431783763">
      <w:bodyDiv w:val="1"/>
      <w:marLeft w:val="0"/>
      <w:marRight w:val="0"/>
      <w:marTop w:val="0"/>
      <w:marBottom w:val="0"/>
      <w:divBdr>
        <w:top w:val="none" w:sz="0" w:space="0" w:color="auto"/>
        <w:left w:val="none" w:sz="0" w:space="0" w:color="auto"/>
        <w:bottom w:val="none" w:sz="0" w:space="0" w:color="auto"/>
        <w:right w:val="none" w:sz="0" w:space="0" w:color="auto"/>
      </w:divBdr>
    </w:div>
    <w:div w:id="432239340">
      <w:bodyDiv w:val="1"/>
      <w:marLeft w:val="0"/>
      <w:marRight w:val="0"/>
      <w:marTop w:val="0"/>
      <w:marBottom w:val="0"/>
      <w:divBdr>
        <w:top w:val="none" w:sz="0" w:space="0" w:color="auto"/>
        <w:left w:val="none" w:sz="0" w:space="0" w:color="auto"/>
        <w:bottom w:val="none" w:sz="0" w:space="0" w:color="auto"/>
        <w:right w:val="none" w:sz="0" w:space="0" w:color="auto"/>
      </w:divBdr>
      <w:divsChild>
        <w:div w:id="1491100996">
          <w:marLeft w:val="0"/>
          <w:marRight w:val="0"/>
          <w:marTop w:val="180"/>
          <w:marBottom w:val="180"/>
          <w:divBdr>
            <w:top w:val="none" w:sz="0" w:space="0" w:color="auto"/>
            <w:left w:val="none" w:sz="0" w:space="0" w:color="auto"/>
            <w:bottom w:val="none" w:sz="0" w:space="0" w:color="auto"/>
            <w:right w:val="none" w:sz="0" w:space="0" w:color="auto"/>
          </w:divBdr>
          <w:divsChild>
            <w:div w:id="696081580">
              <w:marLeft w:val="-225"/>
              <w:marRight w:val="-225"/>
              <w:marTop w:val="0"/>
              <w:marBottom w:val="0"/>
              <w:divBdr>
                <w:top w:val="none" w:sz="0" w:space="0" w:color="auto"/>
                <w:left w:val="none" w:sz="0" w:space="0" w:color="auto"/>
                <w:bottom w:val="none" w:sz="0" w:space="0" w:color="auto"/>
                <w:right w:val="none" w:sz="0" w:space="0" w:color="auto"/>
              </w:divBdr>
              <w:divsChild>
                <w:div w:id="1273434157">
                  <w:marLeft w:val="0"/>
                  <w:marRight w:val="0"/>
                  <w:marTop w:val="0"/>
                  <w:marBottom w:val="0"/>
                  <w:divBdr>
                    <w:top w:val="none" w:sz="0" w:space="0" w:color="auto"/>
                    <w:left w:val="none" w:sz="0" w:space="0" w:color="auto"/>
                    <w:bottom w:val="none" w:sz="0" w:space="0" w:color="auto"/>
                    <w:right w:val="none" w:sz="0" w:space="0" w:color="auto"/>
                  </w:divBdr>
                  <w:divsChild>
                    <w:div w:id="1661808245">
                      <w:marLeft w:val="-225"/>
                      <w:marRight w:val="-225"/>
                      <w:marTop w:val="0"/>
                      <w:marBottom w:val="0"/>
                      <w:divBdr>
                        <w:top w:val="none" w:sz="0" w:space="0" w:color="auto"/>
                        <w:left w:val="none" w:sz="0" w:space="0" w:color="auto"/>
                        <w:bottom w:val="none" w:sz="0" w:space="0" w:color="auto"/>
                        <w:right w:val="none" w:sz="0" w:space="0" w:color="auto"/>
                      </w:divBdr>
                      <w:divsChild>
                        <w:div w:id="2135518722">
                          <w:marLeft w:val="0"/>
                          <w:marRight w:val="0"/>
                          <w:marTop w:val="0"/>
                          <w:marBottom w:val="0"/>
                          <w:divBdr>
                            <w:top w:val="none" w:sz="0" w:space="0" w:color="auto"/>
                            <w:left w:val="none" w:sz="0" w:space="0" w:color="auto"/>
                            <w:bottom w:val="none" w:sz="0" w:space="0" w:color="auto"/>
                            <w:right w:val="none" w:sz="0" w:space="0" w:color="auto"/>
                          </w:divBdr>
                          <w:divsChild>
                            <w:div w:id="437801079">
                              <w:marLeft w:val="0"/>
                              <w:marRight w:val="0"/>
                              <w:marTop w:val="0"/>
                              <w:marBottom w:val="0"/>
                              <w:divBdr>
                                <w:top w:val="none" w:sz="0" w:space="0" w:color="auto"/>
                                <w:left w:val="none" w:sz="0" w:space="0" w:color="auto"/>
                                <w:bottom w:val="none" w:sz="0" w:space="0" w:color="auto"/>
                                <w:right w:val="none" w:sz="0" w:space="0" w:color="auto"/>
                              </w:divBdr>
                              <w:divsChild>
                                <w:div w:id="1834174159">
                                  <w:marLeft w:val="0"/>
                                  <w:marRight w:val="0"/>
                                  <w:marTop w:val="0"/>
                                  <w:marBottom w:val="0"/>
                                  <w:divBdr>
                                    <w:top w:val="none" w:sz="0" w:space="0" w:color="auto"/>
                                    <w:left w:val="none" w:sz="0" w:space="0" w:color="auto"/>
                                    <w:bottom w:val="none" w:sz="0" w:space="0" w:color="auto"/>
                                    <w:right w:val="none" w:sz="0" w:space="0" w:color="auto"/>
                                  </w:divBdr>
                                  <w:divsChild>
                                    <w:div w:id="1711106365">
                                      <w:marLeft w:val="0"/>
                                      <w:marRight w:val="0"/>
                                      <w:marTop w:val="0"/>
                                      <w:marBottom w:val="0"/>
                                      <w:divBdr>
                                        <w:top w:val="none" w:sz="0" w:space="0" w:color="auto"/>
                                        <w:left w:val="none" w:sz="0" w:space="0" w:color="auto"/>
                                        <w:bottom w:val="none" w:sz="0" w:space="0" w:color="auto"/>
                                        <w:right w:val="none" w:sz="0" w:space="0" w:color="auto"/>
                                      </w:divBdr>
                                      <w:divsChild>
                                        <w:div w:id="105997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48165170">
      <w:bodyDiv w:val="1"/>
      <w:marLeft w:val="0"/>
      <w:marRight w:val="0"/>
      <w:marTop w:val="0"/>
      <w:marBottom w:val="0"/>
      <w:divBdr>
        <w:top w:val="none" w:sz="0" w:space="0" w:color="auto"/>
        <w:left w:val="none" w:sz="0" w:space="0" w:color="auto"/>
        <w:bottom w:val="none" w:sz="0" w:space="0" w:color="auto"/>
        <w:right w:val="none" w:sz="0" w:space="0" w:color="auto"/>
      </w:divBdr>
    </w:div>
    <w:div w:id="453867280">
      <w:bodyDiv w:val="1"/>
      <w:marLeft w:val="0"/>
      <w:marRight w:val="0"/>
      <w:marTop w:val="0"/>
      <w:marBottom w:val="0"/>
      <w:divBdr>
        <w:top w:val="none" w:sz="0" w:space="0" w:color="auto"/>
        <w:left w:val="none" w:sz="0" w:space="0" w:color="auto"/>
        <w:bottom w:val="none" w:sz="0" w:space="0" w:color="auto"/>
        <w:right w:val="none" w:sz="0" w:space="0" w:color="auto"/>
      </w:divBdr>
    </w:div>
    <w:div w:id="457066849">
      <w:bodyDiv w:val="1"/>
      <w:marLeft w:val="0"/>
      <w:marRight w:val="0"/>
      <w:marTop w:val="0"/>
      <w:marBottom w:val="0"/>
      <w:divBdr>
        <w:top w:val="none" w:sz="0" w:space="0" w:color="auto"/>
        <w:left w:val="none" w:sz="0" w:space="0" w:color="auto"/>
        <w:bottom w:val="none" w:sz="0" w:space="0" w:color="auto"/>
        <w:right w:val="none" w:sz="0" w:space="0" w:color="auto"/>
      </w:divBdr>
    </w:div>
    <w:div w:id="458646387">
      <w:bodyDiv w:val="1"/>
      <w:marLeft w:val="0"/>
      <w:marRight w:val="0"/>
      <w:marTop w:val="0"/>
      <w:marBottom w:val="0"/>
      <w:divBdr>
        <w:top w:val="none" w:sz="0" w:space="0" w:color="auto"/>
        <w:left w:val="none" w:sz="0" w:space="0" w:color="auto"/>
        <w:bottom w:val="none" w:sz="0" w:space="0" w:color="auto"/>
        <w:right w:val="none" w:sz="0" w:space="0" w:color="auto"/>
      </w:divBdr>
    </w:div>
    <w:div w:id="479469160">
      <w:bodyDiv w:val="1"/>
      <w:marLeft w:val="0"/>
      <w:marRight w:val="0"/>
      <w:marTop w:val="0"/>
      <w:marBottom w:val="0"/>
      <w:divBdr>
        <w:top w:val="none" w:sz="0" w:space="0" w:color="auto"/>
        <w:left w:val="none" w:sz="0" w:space="0" w:color="auto"/>
        <w:bottom w:val="none" w:sz="0" w:space="0" w:color="auto"/>
        <w:right w:val="none" w:sz="0" w:space="0" w:color="auto"/>
      </w:divBdr>
    </w:div>
    <w:div w:id="504367595">
      <w:bodyDiv w:val="1"/>
      <w:marLeft w:val="0"/>
      <w:marRight w:val="0"/>
      <w:marTop w:val="0"/>
      <w:marBottom w:val="0"/>
      <w:divBdr>
        <w:top w:val="none" w:sz="0" w:space="0" w:color="auto"/>
        <w:left w:val="none" w:sz="0" w:space="0" w:color="auto"/>
        <w:bottom w:val="none" w:sz="0" w:space="0" w:color="auto"/>
        <w:right w:val="none" w:sz="0" w:space="0" w:color="auto"/>
      </w:divBdr>
    </w:div>
    <w:div w:id="512379929">
      <w:bodyDiv w:val="1"/>
      <w:marLeft w:val="0"/>
      <w:marRight w:val="0"/>
      <w:marTop w:val="0"/>
      <w:marBottom w:val="0"/>
      <w:divBdr>
        <w:top w:val="none" w:sz="0" w:space="0" w:color="auto"/>
        <w:left w:val="none" w:sz="0" w:space="0" w:color="auto"/>
        <w:bottom w:val="none" w:sz="0" w:space="0" w:color="auto"/>
        <w:right w:val="none" w:sz="0" w:space="0" w:color="auto"/>
      </w:divBdr>
    </w:div>
    <w:div w:id="543441354">
      <w:bodyDiv w:val="1"/>
      <w:marLeft w:val="0"/>
      <w:marRight w:val="0"/>
      <w:marTop w:val="0"/>
      <w:marBottom w:val="0"/>
      <w:divBdr>
        <w:top w:val="none" w:sz="0" w:space="0" w:color="auto"/>
        <w:left w:val="none" w:sz="0" w:space="0" w:color="auto"/>
        <w:bottom w:val="none" w:sz="0" w:space="0" w:color="auto"/>
        <w:right w:val="none" w:sz="0" w:space="0" w:color="auto"/>
      </w:divBdr>
    </w:div>
    <w:div w:id="554240686">
      <w:bodyDiv w:val="1"/>
      <w:marLeft w:val="0"/>
      <w:marRight w:val="0"/>
      <w:marTop w:val="0"/>
      <w:marBottom w:val="0"/>
      <w:divBdr>
        <w:top w:val="none" w:sz="0" w:space="0" w:color="auto"/>
        <w:left w:val="none" w:sz="0" w:space="0" w:color="auto"/>
        <w:bottom w:val="none" w:sz="0" w:space="0" w:color="auto"/>
        <w:right w:val="none" w:sz="0" w:space="0" w:color="auto"/>
      </w:divBdr>
    </w:div>
    <w:div w:id="568464036">
      <w:bodyDiv w:val="1"/>
      <w:marLeft w:val="0"/>
      <w:marRight w:val="0"/>
      <w:marTop w:val="0"/>
      <w:marBottom w:val="0"/>
      <w:divBdr>
        <w:top w:val="none" w:sz="0" w:space="0" w:color="auto"/>
        <w:left w:val="none" w:sz="0" w:space="0" w:color="auto"/>
        <w:bottom w:val="none" w:sz="0" w:space="0" w:color="auto"/>
        <w:right w:val="none" w:sz="0" w:space="0" w:color="auto"/>
      </w:divBdr>
      <w:divsChild>
        <w:div w:id="1235354515">
          <w:marLeft w:val="547"/>
          <w:marRight w:val="0"/>
          <w:marTop w:val="0"/>
          <w:marBottom w:val="0"/>
          <w:divBdr>
            <w:top w:val="none" w:sz="0" w:space="0" w:color="auto"/>
            <w:left w:val="none" w:sz="0" w:space="0" w:color="auto"/>
            <w:bottom w:val="none" w:sz="0" w:space="0" w:color="auto"/>
            <w:right w:val="none" w:sz="0" w:space="0" w:color="auto"/>
          </w:divBdr>
        </w:div>
        <w:div w:id="1452436420">
          <w:marLeft w:val="547"/>
          <w:marRight w:val="0"/>
          <w:marTop w:val="0"/>
          <w:marBottom w:val="0"/>
          <w:divBdr>
            <w:top w:val="none" w:sz="0" w:space="0" w:color="auto"/>
            <w:left w:val="none" w:sz="0" w:space="0" w:color="auto"/>
            <w:bottom w:val="none" w:sz="0" w:space="0" w:color="auto"/>
            <w:right w:val="none" w:sz="0" w:space="0" w:color="auto"/>
          </w:divBdr>
        </w:div>
      </w:divsChild>
    </w:div>
    <w:div w:id="568734595">
      <w:bodyDiv w:val="1"/>
      <w:marLeft w:val="0"/>
      <w:marRight w:val="0"/>
      <w:marTop w:val="0"/>
      <w:marBottom w:val="0"/>
      <w:divBdr>
        <w:top w:val="none" w:sz="0" w:space="0" w:color="auto"/>
        <w:left w:val="none" w:sz="0" w:space="0" w:color="auto"/>
        <w:bottom w:val="none" w:sz="0" w:space="0" w:color="auto"/>
        <w:right w:val="none" w:sz="0" w:space="0" w:color="auto"/>
      </w:divBdr>
    </w:div>
    <w:div w:id="571768777">
      <w:bodyDiv w:val="1"/>
      <w:marLeft w:val="0"/>
      <w:marRight w:val="0"/>
      <w:marTop w:val="0"/>
      <w:marBottom w:val="0"/>
      <w:divBdr>
        <w:top w:val="none" w:sz="0" w:space="0" w:color="auto"/>
        <w:left w:val="none" w:sz="0" w:space="0" w:color="auto"/>
        <w:bottom w:val="none" w:sz="0" w:space="0" w:color="auto"/>
        <w:right w:val="none" w:sz="0" w:space="0" w:color="auto"/>
      </w:divBdr>
    </w:div>
    <w:div w:id="582035191">
      <w:bodyDiv w:val="1"/>
      <w:marLeft w:val="0"/>
      <w:marRight w:val="0"/>
      <w:marTop w:val="0"/>
      <w:marBottom w:val="0"/>
      <w:divBdr>
        <w:top w:val="none" w:sz="0" w:space="0" w:color="auto"/>
        <w:left w:val="none" w:sz="0" w:space="0" w:color="auto"/>
        <w:bottom w:val="none" w:sz="0" w:space="0" w:color="auto"/>
        <w:right w:val="none" w:sz="0" w:space="0" w:color="auto"/>
      </w:divBdr>
    </w:div>
    <w:div w:id="590819915">
      <w:bodyDiv w:val="1"/>
      <w:marLeft w:val="0"/>
      <w:marRight w:val="0"/>
      <w:marTop w:val="0"/>
      <w:marBottom w:val="0"/>
      <w:divBdr>
        <w:top w:val="none" w:sz="0" w:space="0" w:color="auto"/>
        <w:left w:val="none" w:sz="0" w:space="0" w:color="auto"/>
        <w:bottom w:val="none" w:sz="0" w:space="0" w:color="auto"/>
        <w:right w:val="none" w:sz="0" w:space="0" w:color="auto"/>
      </w:divBdr>
    </w:div>
    <w:div w:id="592251050">
      <w:bodyDiv w:val="1"/>
      <w:marLeft w:val="0"/>
      <w:marRight w:val="0"/>
      <w:marTop w:val="0"/>
      <w:marBottom w:val="0"/>
      <w:divBdr>
        <w:top w:val="none" w:sz="0" w:space="0" w:color="auto"/>
        <w:left w:val="none" w:sz="0" w:space="0" w:color="auto"/>
        <w:bottom w:val="none" w:sz="0" w:space="0" w:color="auto"/>
        <w:right w:val="none" w:sz="0" w:space="0" w:color="auto"/>
      </w:divBdr>
    </w:div>
    <w:div w:id="631791861">
      <w:bodyDiv w:val="1"/>
      <w:marLeft w:val="0"/>
      <w:marRight w:val="0"/>
      <w:marTop w:val="0"/>
      <w:marBottom w:val="0"/>
      <w:divBdr>
        <w:top w:val="none" w:sz="0" w:space="0" w:color="auto"/>
        <w:left w:val="none" w:sz="0" w:space="0" w:color="auto"/>
        <w:bottom w:val="none" w:sz="0" w:space="0" w:color="auto"/>
        <w:right w:val="none" w:sz="0" w:space="0" w:color="auto"/>
      </w:divBdr>
      <w:divsChild>
        <w:div w:id="1577548256">
          <w:marLeft w:val="547"/>
          <w:marRight w:val="0"/>
          <w:marTop w:val="0"/>
          <w:marBottom w:val="0"/>
          <w:divBdr>
            <w:top w:val="none" w:sz="0" w:space="0" w:color="auto"/>
            <w:left w:val="none" w:sz="0" w:space="0" w:color="auto"/>
            <w:bottom w:val="none" w:sz="0" w:space="0" w:color="auto"/>
            <w:right w:val="none" w:sz="0" w:space="0" w:color="auto"/>
          </w:divBdr>
        </w:div>
        <w:div w:id="1828590509">
          <w:marLeft w:val="547"/>
          <w:marRight w:val="0"/>
          <w:marTop w:val="0"/>
          <w:marBottom w:val="0"/>
          <w:divBdr>
            <w:top w:val="none" w:sz="0" w:space="0" w:color="auto"/>
            <w:left w:val="none" w:sz="0" w:space="0" w:color="auto"/>
            <w:bottom w:val="none" w:sz="0" w:space="0" w:color="auto"/>
            <w:right w:val="none" w:sz="0" w:space="0" w:color="auto"/>
          </w:divBdr>
        </w:div>
      </w:divsChild>
    </w:div>
    <w:div w:id="650990434">
      <w:bodyDiv w:val="1"/>
      <w:marLeft w:val="0"/>
      <w:marRight w:val="0"/>
      <w:marTop w:val="0"/>
      <w:marBottom w:val="0"/>
      <w:divBdr>
        <w:top w:val="none" w:sz="0" w:space="0" w:color="auto"/>
        <w:left w:val="none" w:sz="0" w:space="0" w:color="auto"/>
        <w:bottom w:val="none" w:sz="0" w:space="0" w:color="auto"/>
        <w:right w:val="none" w:sz="0" w:space="0" w:color="auto"/>
      </w:divBdr>
    </w:div>
    <w:div w:id="663821736">
      <w:bodyDiv w:val="1"/>
      <w:marLeft w:val="0"/>
      <w:marRight w:val="0"/>
      <w:marTop w:val="0"/>
      <w:marBottom w:val="0"/>
      <w:divBdr>
        <w:top w:val="none" w:sz="0" w:space="0" w:color="auto"/>
        <w:left w:val="none" w:sz="0" w:space="0" w:color="auto"/>
        <w:bottom w:val="none" w:sz="0" w:space="0" w:color="auto"/>
        <w:right w:val="none" w:sz="0" w:space="0" w:color="auto"/>
      </w:divBdr>
    </w:div>
    <w:div w:id="690104644">
      <w:bodyDiv w:val="1"/>
      <w:marLeft w:val="0"/>
      <w:marRight w:val="0"/>
      <w:marTop w:val="0"/>
      <w:marBottom w:val="0"/>
      <w:divBdr>
        <w:top w:val="none" w:sz="0" w:space="0" w:color="auto"/>
        <w:left w:val="none" w:sz="0" w:space="0" w:color="auto"/>
        <w:bottom w:val="none" w:sz="0" w:space="0" w:color="auto"/>
        <w:right w:val="none" w:sz="0" w:space="0" w:color="auto"/>
      </w:divBdr>
      <w:divsChild>
        <w:div w:id="1305115457">
          <w:marLeft w:val="547"/>
          <w:marRight w:val="0"/>
          <w:marTop w:val="0"/>
          <w:marBottom w:val="0"/>
          <w:divBdr>
            <w:top w:val="none" w:sz="0" w:space="0" w:color="auto"/>
            <w:left w:val="none" w:sz="0" w:space="0" w:color="auto"/>
            <w:bottom w:val="none" w:sz="0" w:space="0" w:color="auto"/>
            <w:right w:val="none" w:sz="0" w:space="0" w:color="auto"/>
          </w:divBdr>
        </w:div>
      </w:divsChild>
    </w:div>
    <w:div w:id="691499047">
      <w:bodyDiv w:val="1"/>
      <w:marLeft w:val="0"/>
      <w:marRight w:val="0"/>
      <w:marTop w:val="0"/>
      <w:marBottom w:val="0"/>
      <w:divBdr>
        <w:top w:val="none" w:sz="0" w:space="0" w:color="auto"/>
        <w:left w:val="none" w:sz="0" w:space="0" w:color="auto"/>
        <w:bottom w:val="none" w:sz="0" w:space="0" w:color="auto"/>
        <w:right w:val="none" w:sz="0" w:space="0" w:color="auto"/>
      </w:divBdr>
    </w:div>
    <w:div w:id="700135624">
      <w:bodyDiv w:val="1"/>
      <w:marLeft w:val="0"/>
      <w:marRight w:val="0"/>
      <w:marTop w:val="0"/>
      <w:marBottom w:val="0"/>
      <w:divBdr>
        <w:top w:val="none" w:sz="0" w:space="0" w:color="auto"/>
        <w:left w:val="none" w:sz="0" w:space="0" w:color="auto"/>
        <w:bottom w:val="none" w:sz="0" w:space="0" w:color="auto"/>
        <w:right w:val="none" w:sz="0" w:space="0" w:color="auto"/>
      </w:divBdr>
    </w:div>
    <w:div w:id="704871404">
      <w:bodyDiv w:val="1"/>
      <w:marLeft w:val="0"/>
      <w:marRight w:val="0"/>
      <w:marTop w:val="0"/>
      <w:marBottom w:val="0"/>
      <w:divBdr>
        <w:top w:val="none" w:sz="0" w:space="0" w:color="auto"/>
        <w:left w:val="none" w:sz="0" w:space="0" w:color="auto"/>
        <w:bottom w:val="none" w:sz="0" w:space="0" w:color="auto"/>
        <w:right w:val="none" w:sz="0" w:space="0" w:color="auto"/>
      </w:divBdr>
    </w:div>
    <w:div w:id="720592219">
      <w:bodyDiv w:val="1"/>
      <w:marLeft w:val="0"/>
      <w:marRight w:val="0"/>
      <w:marTop w:val="0"/>
      <w:marBottom w:val="0"/>
      <w:divBdr>
        <w:top w:val="none" w:sz="0" w:space="0" w:color="auto"/>
        <w:left w:val="none" w:sz="0" w:space="0" w:color="auto"/>
        <w:bottom w:val="none" w:sz="0" w:space="0" w:color="auto"/>
        <w:right w:val="none" w:sz="0" w:space="0" w:color="auto"/>
      </w:divBdr>
    </w:div>
    <w:div w:id="724062468">
      <w:bodyDiv w:val="1"/>
      <w:marLeft w:val="0"/>
      <w:marRight w:val="0"/>
      <w:marTop w:val="0"/>
      <w:marBottom w:val="0"/>
      <w:divBdr>
        <w:top w:val="none" w:sz="0" w:space="0" w:color="auto"/>
        <w:left w:val="none" w:sz="0" w:space="0" w:color="auto"/>
        <w:bottom w:val="none" w:sz="0" w:space="0" w:color="auto"/>
        <w:right w:val="none" w:sz="0" w:space="0" w:color="auto"/>
      </w:divBdr>
    </w:div>
    <w:div w:id="724062736">
      <w:bodyDiv w:val="1"/>
      <w:marLeft w:val="0"/>
      <w:marRight w:val="0"/>
      <w:marTop w:val="0"/>
      <w:marBottom w:val="0"/>
      <w:divBdr>
        <w:top w:val="none" w:sz="0" w:space="0" w:color="auto"/>
        <w:left w:val="none" w:sz="0" w:space="0" w:color="auto"/>
        <w:bottom w:val="none" w:sz="0" w:space="0" w:color="auto"/>
        <w:right w:val="none" w:sz="0" w:space="0" w:color="auto"/>
      </w:divBdr>
    </w:div>
    <w:div w:id="757947524">
      <w:bodyDiv w:val="1"/>
      <w:marLeft w:val="0"/>
      <w:marRight w:val="0"/>
      <w:marTop w:val="0"/>
      <w:marBottom w:val="0"/>
      <w:divBdr>
        <w:top w:val="none" w:sz="0" w:space="0" w:color="auto"/>
        <w:left w:val="none" w:sz="0" w:space="0" w:color="auto"/>
        <w:bottom w:val="none" w:sz="0" w:space="0" w:color="auto"/>
        <w:right w:val="none" w:sz="0" w:space="0" w:color="auto"/>
      </w:divBdr>
    </w:div>
    <w:div w:id="759175909">
      <w:bodyDiv w:val="1"/>
      <w:marLeft w:val="0"/>
      <w:marRight w:val="0"/>
      <w:marTop w:val="0"/>
      <w:marBottom w:val="0"/>
      <w:divBdr>
        <w:top w:val="none" w:sz="0" w:space="0" w:color="auto"/>
        <w:left w:val="none" w:sz="0" w:space="0" w:color="auto"/>
        <w:bottom w:val="none" w:sz="0" w:space="0" w:color="auto"/>
        <w:right w:val="none" w:sz="0" w:space="0" w:color="auto"/>
      </w:divBdr>
    </w:div>
    <w:div w:id="791052177">
      <w:bodyDiv w:val="1"/>
      <w:marLeft w:val="0"/>
      <w:marRight w:val="0"/>
      <w:marTop w:val="0"/>
      <w:marBottom w:val="0"/>
      <w:divBdr>
        <w:top w:val="none" w:sz="0" w:space="0" w:color="auto"/>
        <w:left w:val="none" w:sz="0" w:space="0" w:color="auto"/>
        <w:bottom w:val="none" w:sz="0" w:space="0" w:color="auto"/>
        <w:right w:val="none" w:sz="0" w:space="0" w:color="auto"/>
      </w:divBdr>
      <w:divsChild>
        <w:div w:id="258102279">
          <w:marLeft w:val="547"/>
          <w:marRight w:val="0"/>
          <w:marTop w:val="0"/>
          <w:marBottom w:val="0"/>
          <w:divBdr>
            <w:top w:val="none" w:sz="0" w:space="0" w:color="auto"/>
            <w:left w:val="none" w:sz="0" w:space="0" w:color="auto"/>
            <w:bottom w:val="none" w:sz="0" w:space="0" w:color="auto"/>
            <w:right w:val="none" w:sz="0" w:space="0" w:color="auto"/>
          </w:divBdr>
        </w:div>
      </w:divsChild>
    </w:div>
    <w:div w:id="805121588">
      <w:bodyDiv w:val="1"/>
      <w:marLeft w:val="0"/>
      <w:marRight w:val="0"/>
      <w:marTop w:val="0"/>
      <w:marBottom w:val="0"/>
      <w:divBdr>
        <w:top w:val="none" w:sz="0" w:space="0" w:color="auto"/>
        <w:left w:val="none" w:sz="0" w:space="0" w:color="auto"/>
        <w:bottom w:val="none" w:sz="0" w:space="0" w:color="auto"/>
        <w:right w:val="none" w:sz="0" w:space="0" w:color="auto"/>
      </w:divBdr>
      <w:divsChild>
        <w:div w:id="384447042">
          <w:marLeft w:val="274"/>
          <w:marRight w:val="0"/>
          <w:marTop w:val="0"/>
          <w:marBottom w:val="0"/>
          <w:divBdr>
            <w:top w:val="none" w:sz="0" w:space="0" w:color="auto"/>
            <w:left w:val="none" w:sz="0" w:space="0" w:color="auto"/>
            <w:bottom w:val="none" w:sz="0" w:space="0" w:color="auto"/>
            <w:right w:val="none" w:sz="0" w:space="0" w:color="auto"/>
          </w:divBdr>
        </w:div>
        <w:div w:id="629941403">
          <w:marLeft w:val="274"/>
          <w:marRight w:val="0"/>
          <w:marTop w:val="0"/>
          <w:marBottom w:val="0"/>
          <w:divBdr>
            <w:top w:val="none" w:sz="0" w:space="0" w:color="auto"/>
            <w:left w:val="none" w:sz="0" w:space="0" w:color="auto"/>
            <w:bottom w:val="none" w:sz="0" w:space="0" w:color="auto"/>
            <w:right w:val="none" w:sz="0" w:space="0" w:color="auto"/>
          </w:divBdr>
        </w:div>
        <w:div w:id="1169754401">
          <w:marLeft w:val="274"/>
          <w:marRight w:val="0"/>
          <w:marTop w:val="0"/>
          <w:marBottom w:val="0"/>
          <w:divBdr>
            <w:top w:val="none" w:sz="0" w:space="0" w:color="auto"/>
            <w:left w:val="none" w:sz="0" w:space="0" w:color="auto"/>
            <w:bottom w:val="none" w:sz="0" w:space="0" w:color="auto"/>
            <w:right w:val="none" w:sz="0" w:space="0" w:color="auto"/>
          </w:divBdr>
        </w:div>
        <w:div w:id="1519200669">
          <w:marLeft w:val="274"/>
          <w:marRight w:val="0"/>
          <w:marTop w:val="0"/>
          <w:marBottom w:val="0"/>
          <w:divBdr>
            <w:top w:val="none" w:sz="0" w:space="0" w:color="auto"/>
            <w:left w:val="none" w:sz="0" w:space="0" w:color="auto"/>
            <w:bottom w:val="none" w:sz="0" w:space="0" w:color="auto"/>
            <w:right w:val="none" w:sz="0" w:space="0" w:color="auto"/>
          </w:divBdr>
        </w:div>
        <w:div w:id="1880823928">
          <w:marLeft w:val="274"/>
          <w:marRight w:val="0"/>
          <w:marTop w:val="0"/>
          <w:marBottom w:val="0"/>
          <w:divBdr>
            <w:top w:val="none" w:sz="0" w:space="0" w:color="auto"/>
            <w:left w:val="none" w:sz="0" w:space="0" w:color="auto"/>
            <w:bottom w:val="none" w:sz="0" w:space="0" w:color="auto"/>
            <w:right w:val="none" w:sz="0" w:space="0" w:color="auto"/>
          </w:divBdr>
        </w:div>
        <w:div w:id="1891769812">
          <w:marLeft w:val="274"/>
          <w:marRight w:val="0"/>
          <w:marTop w:val="0"/>
          <w:marBottom w:val="0"/>
          <w:divBdr>
            <w:top w:val="none" w:sz="0" w:space="0" w:color="auto"/>
            <w:left w:val="none" w:sz="0" w:space="0" w:color="auto"/>
            <w:bottom w:val="none" w:sz="0" w:space="0" w:color="auto"/>
            <w:right w:val="none" w:sz="0" w:space="0" w:color="auto"/>
          </w:divBdr>
        </w:div>
        <w:div w:id="2113352901">
          <w:marLeft w:val="274"/>
          <w:marRight w:val="0"/>
          <w:marTop w:val="0"/>
          <w:marBottom w:val="0"/>
          <w:divBdr>
            <w:top w:val="none" w:sz="0" w:space="0" w:color="auto"/>
            <w:left w:val="none" w:sz="0" w:space="0" w:color="auto"/>
            <w:bottom w:val="none" w:sz="0" w:space="0" w:color="auto"/>
            <w:right w:val="none" w:sz="0" w:space="0" w:color="auto"/>
          </w:divBdr>
        </w:div>
        <w:div w:id="2115512177">
          <w:marLeft w:val="274"/>
          <w:marRight w:val="0"/>
          <w:marTop w:val="0"/>
          <w:marBottom w:val="0"/>
          <w:divBdr>
            <w:top w:val="none" w:sz="0" w:space="0" w:color="auto"/>
            <w:left w:val="none" w:sz="0" w:space="0" w:color="auto"/>
            <w:bottom w:val="none" w:sz="0" w:space="0" w:color="auto"/>
            <w:right w:val="none" w:sz="0" w:space="0" w:color="auto"/>
          </w:divBdr>
        </w:div>
      </w:divsChild>
    </w:div>
    <w:div w:id="808978667">
      <w:bodyDiv w:val="1"/>
      <w:marLeft w:val="0"/>
      <w:marRight w:val="0"/>
      <w:marTop w:val="0"/>
      <w:marBottom w:val="0"/>
      <w:divBdr>
        <w:top w:val="none" w:sz="0" w:space="0" w:color="auto"/>
        <w:left w:val="none" w:sz="0" w:space="0" w:color="auto"/>
        <w:bottom w:val="none" w:sz="0" w:space="0" w:color="auto"/>
        <w:right w:val="none" w:sz="0" w:space="0" w:color="auto"/>
      </w:divBdr>
    </w:div>
    <w:div w:id="853688021">
      <w:bodyDiv w:val="1"/>
      <w:marLeft w:val="0"/>
      <w:marRight w:val="0"/>
      <w:marTop w:val="0"/>
      <w:marBottom w:val="0"/>
      <w:divBdr>
        <w:top w:val="none" w:sz="0" w:space="0" w:color="auto"/>
        <w:left w:val="none" w:sz="0" w:space="0" w:color="auto"/>
        <w:bottom w:val="none" w:sz="0" w:space="0" w:color="auto"/>
        <w:right w:val="none" w:sz="0" w:space="0" w:color="auto"/>
      </w:divBdr>
    </w:div>
    <w:div w:id="897013096">
      <w:bodyDiv w:val="1"/>
      <w:marLeft w:val="0"/>
      <w:marRight w:val="0"/>
      <w:marTop w:val="0"/>
      <w:marBottom w:val="0"/>
      <w:divBdr>
        <w:top w:val="none" w:sz="0" w:space="0" w:color="auto"/>
        <w:left w:val="none" w:sz="0" w:space="0" w:color="auto"/>
        <w:bottom w:val="none" w:sz="0" w:space="0" w:color="auto"/>
        <w:right w:val="none" w:sz="0" w:space="0" w:color="auto"/>
      </w:divBdr>
    </w:div>
    <w:div w:id="905605468">
      <w:bodyDiv w:val="1"/>
      <w:marLeft w:val="0"/>
      <w:marRight w:val="0"/>
      <w:marTop w:val="0"/>
      <w:marBottom w:val="0"/>
      <w:divBdr>
        <w:top w:val="none" w:sz="0" w:space="0" w:color="auto"/>
        <w:left w:val="none" w:sz="0" w:space="0" w:color="auto"/>
        <w:bottom w:val="none" w:sz="0" w:space="0" w:color="auto"/>
        <w:right w:val="none" w:sz="0" w:space="0" w:color="auto"/>
      </w:divBdr>
    </w:div>
    <w:div w:id="907032355">
      <w:bodyDiv w:val="1"/>
      <w:marLeft w:val="0"/>
      <w:marRight w:val="0"/>
      <w:marTop w:val="0"/>
      <w:marBottom w:val="0"/>
      <w:divBdr>
        <w:top w:val="none" w:sz="0" w:space="0" w:color="auto"/>
        <w:left w:val="none" w:sz="0" w:space="0" w:color="auto"/>
        <w:bottom w:val="none" w:sz="0" w:space="0" w:color="auto"/>
        <w:right w:val="none" w:sz="0" w:space="0" w:color="auto"/>
      </w:divBdr>
    </w:div>
    <w:div w:id="923076837">
      <w:bodyDiv w:val="1"/>
      <w:marLeft w:val="0"/>
      <w:marRight w:val="0"/>
      <w:marTop w:val="0"/>
      <w:marBottom w:val="0"/>
      <w:divBdr>
        <w:top w:val="none" w:sz="0" w:space="0" w:color="auto"/>
        <w:left w:val="none" w:sz="0" w:space="0" w:color="auto"/>
        <w:bottom w:val="none" w:sz="0" w:space="0" w:color="auto"/>
        <w:right w:val="none" w:sz="0" w:space="0" w:color="auto"/>
      </w:divBdr>
      <w:divsChild>
        <w:div w:id="940575236">
          <w:marLeft w:val="547"/>
          <w:marRight w:val="0"/>
          <w:marTop w:val="0"/>
          <w:marBottom w:val="0"/>
          <w:divBdr>
            <w:top w:val="none" w:sz="0" w:space="0" w:color="auto"/>
            <w:left w:val="none" w:sz="0" w:space="0" w:color="auto"/>
            <w:bottom w:val="none" w:sz="0" w:space="0" w:color="auto"/>
            <w:right w:val="none" w:sz="0" w:space="0" w:color="auto"/>
          </w:divBdr>
        </w:div>
      </w:divsChild>
    </w:div>
    <w:div w:id="940525491">
      <w:bodyDiv w:val="1"/>
      <w:marLeft w:val="0"/>
      <w:marRight w:val="0"/>
      <w:marTop w:val="0"/>
      <w:marBottom w:val="0"/>
      <w:divBdr>
        <w:top w:val="none" w:sz="0" w:space="0" w:color="auto"/>
        <w:left w:val="none" w:sz="0" w:space="0" w:color="auto"/>
        <w:bottom w:val="none" w:sz="0" w:space="0" w:color="auto"/>
        <w:right w:val="none" w:sz="0" w:space="0" w:color="auto"/>
      </w:divBdr>
    </w:div>
    <w:div w:id="942152885">
      <w:bodyDiv w:val="1"/>
      <w:marLeft w:val="0"/>
      <w:marRight w:val="0"/>
      <w:marTop w:val="0"/>
      <w:marBottom w:val="0"/>
      <w:divBdr>
        <w:top w:val="none" w:sz="0" w:space="0" w:color="auto"/>
        <w:left w:val="none" w:sz="0" w:space="0" w:color="auto"/>
        <w:bottom w:val="none" w:sz="0" w:space="0" w:color="auto"/>
        <w:right w:val="none" w:sz="0" w:space="0" w:color="auto"/>
      </w:divBdr>
      <w:divsChild>
        <w:div w:id="1389260959">
          <w:marLeft w:val="0"/>
          <w:marRight w:val="0"/>
          <w:marTop w:val="180"/>
          <w:marBottom w:val="180"/>
          <w:divBdr>
            <w:top w:val="none" w:sz="0" w:space="0" w:color="auto"/>
            <w:left w:val="none" w:sz="0" w:space="0" w:color="auto"/>
            <w:bottom w:val="none" w:sz="0" w:space="0" w:color="auto"/>
            <w:right w:val="none" w:sz="0" w:space="0" w:color="auto"/>
          </w:divBdr>
          <w:divsChild>
            <w:div w:id="1325621774">
              <w:marLeft w:val="-225"/>
              <w:marRight w:val="-225"/>
              <w:marTop w:val="0"/>
              <w:marBottom w:val="0"/>
              <w:divBdr>
                <w:top w:val="none" w:sz="0" w:space="0" w:color="auto"/>
                <w:left w:val="none" w:sz="0" w:space="0" w:color="auto"/>
                <w:bottom w:val="none" w:sz="0" w:space="0" w:color="auto"/>
                <w:right w:val="none" w:sz="0" w:space="0" w:color="auto"/>
              </w:divBdr>
              <w:divsChild>
                <w:div w:id="131101356">
                  <w:marLeft w:val="0"/>
                  <w:marRight w:val="0"/>
                  <w:marTop w:val="0"/>
                  <w:marBottom w:val="0"/>
                  <w:divBdr>
                    <w:top w:val="none" w:sz="0" w:space="0" w:color="auto"/>
                    <w:left w:val="none" w:sz="0" w:space="0" w:color="auto"/>
                    <w:bottom w:val="none" w:sz="0" w:space="0" w:color="auto"/>
                    <w:right w:val="none" w:sz="0" w:space="0" w:color="auto"/>
                  </w:divBdr>
                  <w:divsChild>
                    <w:div w:id="545263504">
                      <w:marLeft w:val="-225"/>
                      <w:marRight w:val="-225"/>
                      <w:marTop w:val="0"/>
                      <w:marBottom w:val="0"/>
                      <w:divBdr>
                        <w:top w:val="none" w:sz="0" w:space="0" w:color="auto"/>
                        <w:left w:val="none" w:sz="0" w:space="0" w:color="auto"/>
                        <w:bottom w:val="none" w:sz="0" w:space="0" w:color="auto"/>
                        <w:right w:val="none" w:sz="0" w:space="0" w:color="auto"/>
                      </w:divBdr>
                      <w:divsChild>
                        <w:div w:id="1913193099">
                          <w:marLeft w:val="0"/>
                          <w:marRight w:val="0"/>
                          <w:marTop w:val="0"/>
                          <w:marBottom w:val="0"/>
                          <w:divBdr>
                            <w:top w:val="none" w:sz="0" w:space="0" w:color="auto"/>
                            <w:left w:val="none" w:sz="0" w:space="0" w:color="auto"/>
                            <w:bottom w:val="none" w:sz="0" w:space="0" w:color="auto"/>
                            <w:right w:val="none" w:sz="0" w:space="0" w:color="auto"/>
                          </w:divBdr>
                          <w:divsChild>
                            <w:div w:id="1208491346">
                              <w:marLeft w:val="0"/>
                              <w:marRight w:val="0"/>
                              <w:marTop w:val="0"/>
                              <w:marBottom w:val="0"/>
                              <w:divBdr>
                                <w:top w:val="none" w:sz="0" w:space="0" w:color="auto"/>
                                <w:left w:val="none" w:sz="0" w:space="0" w:color="auto"/>
                                <w:bottom w:val="none" w:sz="0" w:space="0" w:color="auto"/>
                                <w:right w:val="none" w:sz="0" w:space="0" w:color="auto"/>
                              </w:divBdr>
                              <w:divsChild>
                                <w:div w:id="1497767937">
                                  <w:marLeft w:val="0"/>
                                  <w:marRight w:val="0"/>
                                  <w:marTop w:val="0"/>
                                  <w:marBottom w:val="0"/>
                                  <w:divBdr>
                                    <w:top w:val="none" w:sz="0" w:space="0" w:color="auto"/>
                                    <w:left w:val="none" w:sz="0" w:space="0" w:color="auto"/>
                                    <w:bottom w:val="none" w:sz="0" w:space="0" w:color="auto"/>
                                    <w:right w:val="none" w:sz="0" w:space="0" w:color="auto"/>
                                  </w:divBdr>
                                  <w:divsChild>
                                    <w:div w:id="315687178">
                                      <w:marLeft w:val="0"/>
                                      <w:marRight w:val="0"/>
                                      <w:marTop w:val="0"/>
                                      <w:marBottom w:val="0"/>
                                      <w:divBdr>
                                        <w:top w:val="none" w:sz="0" w:space="0" w:color="auto"/>
                                        <w:left w:val="none" w:sz="0" w:space="0" w:color="auto"/>
                                        <w:bottom w:val="none" w:sz="0" w:space="0" w:color="auto"/>
                                        <w:right w:val="none" w:sz="0" w:space="0" w:color="auto"/>
                                      </w:divBdr>
                                      <w:divsChild>
                                        <w:div w:id="661810281">
                                          <w:marLeft w:val="0"/>
                                          <w:marRight w:val="0"/>
                                          <w:marTop w:val="0"/>
                                          <w:marBottom w:val="0"/>
                                          <w:divBdr>
                                            <w:top w:val="none" w:sz="0" w:space="0" w:color="auto"/>
                                            <w:left w:val="none" w:sz="0" w:space="0" w:color="auto"/>
                                            <w:bottom w:val="none" w:sz="0" w:space="0" w:color="auto"/>
                                            <w:right w:val="none" w:sz="0" w:space="0" w:color="auto"/>
                                          </w:divBdr>
                                          <w:divsChild>
                                            <w:div w:id="2102752565">
                                              <w:marLeft w:val="0"/>
                                              <w:marRight w:val="0"/>
                                              <w:marTop w:val="0"/>
                                              <w:marBottom w:val="0"/>
                                              <w:divBdr>
                                                <w:top w:val="none" w:sz="0" w:space="0" w:color="auto"/>
                                                <w:left w:val="none" w:sz="0" w:space="0" w:color="auto"/>
                                                <w:bottom w:val="none" w:sz="0" w:space="0" w:color="auto"/>
                                                <w:right w:val="none" w:sz="0" w:space="0" w:color="auto"/>
                                              </w:divBdr>
                                              <w:divsChild>
                                                <w:div w:id="1758747678">
                                                  <w:marLeft w:val="0"/>
                                                  <w:marRight w:val="0"/>
                                                  <w:marTop w:val="0"/>
                                                  <w:marBottom w:val="0"/>
                                                  <w:divBdr>
                                                    <w:top w:val="none" w:sz="0" w:space="0" w:color="auto"/>
                                                    <w:left w:val="none" w:sz="0" w:space="0" w:color="auto"/>
                                                    <w:bottom w:val="none" w:sz="0" w:space="0" w:color="auto"/>
                                                    <w:right w:val="none" w:sz="0" w:space="0" w:color="auto"/>
                                                  </w:divBdr>
                                                  <w:divsChild>
                                                    <w:div w:id="1241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45694869">
      <w:bodyDiv w:val="1"/>
      <w:marLeft w:val="0"/>
      <w:marRight w:val="0"/>
      <w:marTop w:val="0"/>
      <w:marBottom w:val="0"/>
      <w:divBdr>
        <w:top w:val="none" w:sz="0" w:space="0" w:color="auto"/>
        <w:left w:val="none" w:sz="0" w:space="0" w:color="auto"/>
        <w:bottom w:val="none" w:sz="0" w:space="0" w:color="auto"/>
        <w:right w:val="none" w:sz="0" w:space="0" w:color="auto"/>
      </w:divBdr>
    </w:div>
    <w:div w:id="959532131">
      <w:bodyDiv w:val="1"/>
      <w:marLeft w:val="0"/>
      <w:marRight w:val="0"/>
      <w:marTop w:val="0"/>
      <w:marBottom w:val="0"/>
      <w:divBdr>
        <w:top w:val="none" w:sz="0" w:space="0" w:color="auto"/>
        <w:left w:val="none" w:sz="0" w:space="0" w:color="auto"/>
        <w:bottom w:val="none" w:sz="0" w:space="0" w:color="auto"/>
        <w:right w:val="none" w:sz="0" w:space="0" w:color="auto"/>
      </w:divBdr>
    </w:div>
    <w:div w:id="964388131">
      <w:bodyDiv w:val="1"/>
      <w:marLeft w:val="0"/>
      <w:marRight w:val="0"/>
      <w:marTop w:val="0"/>
      <w:marBottom w:val="0"/>
      <w:divBdr>
        <w:top w:val="none" w:sz="0" w:space="0" w:color="auto"/>
        <w:left w:val="none" w:sz="0" w:space="0" w:color="auto"/>
        <w:bottom w:val="none" w:sz="0" w:space="0" w:color="auto"/>
        <w:right w:val="none" w:sz="0" w:space="0" w:color="auto"/>
      </w:divBdr>
    </w:div>
    <w:div w:id="973216617">
      <w:bodyDiv w:val="1"/>
      <w:marLeft w:val="0"/>
      <w:marRight w:val="0"/>
      <w:marTop w:val="0"/>
      <w:marBottom w:val="0"/>
      <w:divBdr>
        <w:top w:val="none" w:sz="0" w:space="0" w:color="auto"/>
        <w:left w:val="none" w:sz="0" w:space="0" w:color="auto"/>
        <w:bottom w:val="none" w:sz="0" w:space="0" w:color="auto"/>
        <w:right w:val="none" w:sz="0" w:space="0" w:color="auto"/>
      </w:divBdr>
    </w:div>
    <w:div w:id="1060595657">
      <w:bodyDiv w:val="1"/>
      <w:marLeft w:val="0"/>
      <w:marRight w:val="0"/>
      <w:marTop w:val="0"/>
      <w:marBottom w:val="0"/>
      <w:divBdr>
        <w:top w:val="none" w:sz="0" w:space="0" w:color="auto"/>
        <w:left w:val="none" w:sz="0" w:space="0" w:color="auto"/>
        <w:bottom w:val="none" w:sz="0" w:space="0" w:color="auto"/>
        <w:right w:val="none" w:sz="0" w:space="0" w:color="auto"/>
      </w:divBdr>
    </w:div>
    <w:div w:id="1063799950">
      <w:bodyDiv w:val="1"/>
      <w:marLeft w:val="0"/>
      <w:marRight w:val="0"/>
      <w:marTop w:val="0"/>
      <w:marBottom w:val="0"/>
      <w:divBdr>
        <w:top w:val="none" w:sz="0" w:space="0" w:color="auto"/>
        <w:left w:val="none" w:sz="0" w:space="0" w:color="auto"/>
        <w:bottom w:val="none" w:sz="0" w:space="0" w:color="auto"/>
        <w:right w:val="none" w:sz="0" w:space="0" w:color="auto"/>
      </w:divBdr>
    </w:div>
    <w:div w:id="1083140498">
      <w:bodyDiv w:val="1"/>
      <w:marLeft w:val="0"/>
      <w:marRight w:val="0"/>
      <w:marTop w:val="0"/>
      <w:marBottom w:val="0"/>
      <w:divBdr>
        <w:top w:val="none" w:sz="0" w:space="0" w:color="auto"/>
        <w:left w:val="none" w:sz="0" w:space="0" w:color="auto"/>
        <w:bottom w:val="none" w:sz="0" w:space="0" w:color="auto"/>
        <w:right w:val="none" w:sz="0" w:space="0" w:color="auto"/>
      </w:divBdr>
    </w:div>
    <w:div w:id="1085764006">
      <w:bodyDiv w:val="1"/>
      <w:marLeft w:val="0"/>
      <w:marRight w:val="0"/>
      <w:marTop w:val="0"/>
      <w:marBottom w:val="0"/>
      <w:divBdr>
        <w:top w:val="none" w:sz="0" w:space="0" w:color="auto"/>
        <w:left w:val="none" w:sz="0" w:space="0" w:color="auto"/>
        <w:bottom w:val="none" w:sz="0" w:space="0" w:color="auto"/>
        <w:right w:val="none" w:sz="0" w:space="0" w:color="auto"/>
      </w:divBdr>
    </w:div>
    <w:div w:id="1093628090">
      <w:bodyDiv w:val="1"/>
      <w:marLeft w:val="0"/>
      <w:marRight w:val="0"/>
      <w:marTop w:val="0"/>
      <w:marBottom w:val="0"/>
      <w:divBdr>
        <w:top w:val="none" w:sz="0" w:space="0" w:color="auto"/>
        <w:left w:val="none" w:sz="0" w:space="0" w:color="auto"/>
        <w:bottom w:val="none" w:sz="0" w:space="0" w:color="auto"/>
        <w:right w:val="none" w:sz="0" w:space="0" w:color="auto"/>
      </w:divBdr>
    </w:div>
    <w:div w:id="1098328406">
      <w:bodyDiv w:val="1"/>
      <w:marLeft w:val="0"/>
      <w:marRight w:val="0"/>
      <w:marTop w:val="0"/>
      <w:marBottom w:val="0"/>
      <w:divBdr>
        <w:top w:val="none" w:sz="0" w:space="0" w:color="auto"/>
        <w:left w:val="none" w:sz="0" w:space="0" w:color="auto"/>
        <w:bottom w:val="none" w:sz="0" w:space="0" w:color="auto"/>
        <w:right w:val="none" w:sz="0" w:space="0" w:color="auto"/>
      </w:divBdr>
    </w:div>
    <w:div w:id="1129739693">
      <w:bodyDiv w:val="1"/>
      <w:marLeft w:val="0"/>
      <w:marRight w:val="0"/>
      <w:marTop w:val="0"/>
      <w:marBottom w:val="0"/>
      <w:divBdr>
        <w:top w:val="none" w:sz="0" w:space="0" w:color="auto"/>
        <w:left w:val="none" w:sz="0" w:space="0" w:color="auto"/>
        <w:bottom w:val="none" w:sz="0" w:space="0" w:color="auto"/>
        <w:right w:val="none" w:sz="0" w:space="0" w:color="auto"/>
      </w:divBdr>
    </w:div>
    <w:div w:id="1154637963">
      <w:bodyDiv w:val="1"/>
      <w:marLeft w:val="0"/>
      <w:marRight w:val="0"/>
      <w:marTop w:val="0"/>
      <w:marBottom w:val="0"/>
      <w:divBdr>
        <w:top w:val="none" w:sz="0" w:space="0" w:color="auto"/>
        <w:left w:val="none" w:sz="0" w:space="0" w:color="auto"/>
        <w:bottom w:val="none" w:sz="0" w:space="0" w:color="auto"/>
        <w:right w:val="none" w:sz="0" w:space="0" w:color="auto"/>
      </w:divBdr>
    </w:div>
    <w:div w:id="1173566076">
      <w:bodyDiv w:val="1"/>
      <w:marLeft w:val="0"/>
      <w:marRight w:val="0"/>
      <w:marTop w:val="0"/>
      <w:marBottom w:val="0"/>
      <w:divBdr>
        <w:top w:val="none" w:sz="0" w:space="0" w:color="auto"/>
        <w:left w:val="none" w:sz="0" w:space="0" w:color="auto"/>
        <w:bottom w:val="none" w:sz="0" w:space="0" w:color="auto"/>
        <w:right w:val="none" w:sz="0" w:space="0" w:color="auto"/>
      </w:divBdr>
    </w:div>
    <w:div w:id="1202672159">
      <w:bodyDiv w:val="1"/>
      <w:marLeft w:val="0"/>
      <w:marRight w:val="0"/>
      <w:marTop w:val="0"/>
      <w:marBottom w:val="0"/>
      <w:divBdr>
        <w:top w:val="none" w:sz="0" w:space="0" w:color="auto"/>
        <w:left w:val="none" w:sz="0" w:space="0" w:color="auto"/>
        <w:bottom w:val="none" w:sz="0" w:space="0" w:color="auto"/>
        <w:right w:val="none" w:sz="0" w:space="0" w:color="auto"/>
      </w:divBdr>
    </w:div>
    <w:div w:id="1206679515">
      <w:bodyDiv w:val="1"/>
      <w:marLeft w:val="0"/>
      <w:marRight w:val="0"/>
      <w:marTop w:val="0"/>
      <w:marBottom w:val="0"/>
      <w:divBdr>
        <w:top w:val="none" w:sz="0" w:space="0" w:color="auto"/>
        <w:left w:val="none" w:sz="0" w:space="0" w:color="auto"/>
        <w:bottom w:val="none" w:sz="0" w:space="0" w:color="auto"/>
        <w:right w:val="none" w:sz="0" w:space="0" w:color="auto"/>
      </w:divBdr>
      <w:divsChild>
        <w:div w:id="1394309988">
          <w:marLeft w:val="0"/>
          <w:marRight w:val="0"/>
          <w:marTop w:val="0"/>
          <w:marBottom w:val="0"/>
          <w:divBdr>
            <w:top w:val="none" w:sz="0" w:space="0" w:color="auto"/>
            <w:left w:val="none" w:sz="0" w:space="0" w:color="auto"/>
            <w:bottom w:val="none" w:sz="0" w:space="0" w:color="auto"/>
            <w:right w:val="none" w:sz="0" w:space="0" w:color="auto"/>
          </w:divBdr>
          <w:divsChild>
            <w:div w:id="33817682">
              <w:marLeft w:val="0"/>
              <w:marRight w:val="0"/>
              <w:marTop w:val="0"/>
              <w:marBottom w:val="0"/>
              <w:divBdr>
                <w:top w:val="none" w:sz="0" w:space="0" w:color="auto"/>
                <w:left w:val="none" w:sz="0" w:space="0" w:color="auto"/>
                <w:bottom w:val="none" w:sz="0" w:space="0" w:color="auto"/>
                <w:right w:val="none" w:sz="0" w:space="0" w:color="auto"/>
              </w:divBdr>
              <w:divsChild>
                <w:div w:id="1639021720">
                  <w:marLeft w:val="0"/>
                  <w:marRight w:val="0"/>
                  <w:marTop w:val="0"/>
                  <w:marBottom w:val="0"/>
                  <w:divBdr>
                    <w:top w:val="none" w:sz="0" w:space="0" w:color="auto"/>
                    <w:left w:val="none" w:sz="0" w:space="0" w:color="auto"/>
                    <w:bottom w:val="none" w:sz="0" w:space="0" w:color="auto"/>
                    <w:right w:val="none" w:sz="0" w:space="0" w:color="auto"/>
                  </w:divBdr>
                  <w:divsChild>
                    <w:div w:id="1375502070">
                      <w:marLeft w:val="150"/>
                      <w:marRight w:val="150"/>
                      <w:marTop w:val="0"/>
                      <w:marBottom w:val="0"/>
                      <w:divBdr>
                        <w:top w:val="none" w:sz="0" w:space="0" w:color="auto"/>
                        <w:left w:val="none" w:sz="0" w:space="0" w:color="auto"/>
                        <w:bottom w:val="none" w:sz="0" w:space="0" w:color="auto"/>
                        <w:right w:val="none" w:sz="0" w:space="0" w:color="auto"/>
                      </w:divBdr>
                      <w:divsChild>
                        <w:div w:id="1052777880">
                          <w:marLeft w:val="0"/>
                          <w:marRight w:val="0"/>
                          <w:marTop w:val="0"/>
                          <w:marBottom w:val="0"/>
                          <w:divBdr>
                            <w:top w:val="none" w:sz="0" w:space="0" w:color="auto"/>
                            <w:left w:val="none" w:sz="0" w:space="0" w:color="auto"/>
                            <w:bottom w:val="none" w:sz="0" w:space="0" w:color="auto"/>
                            <w:right w:val="none" w:sz="0" w:space="0" w:color="auto"/>
                          </w:divBdr>
                          <w:divsChild>
                            <w:div w:id="1183474833">
                              <w:marLeft w:val="0"/>
                              <w:marRight w:val="0"/>
                              <w:marTop w:val="0"/>
                              <w:marBottom w:val="0"/>
                              <w:divBdr>
                                <w:top w:val="none" w:sz="0" w:space="0" w:color="auto"/>
                                <w:left w:val="none" w:sz="0" w:space="0" w:color="auto"/>
                                <w:bottom w:val="none" w:sz="0" w:space="0" w:color="auto"/>
                                <w:right w:val="none" w:sz="0" w:space="0" w:color="auto"/>
                              </w:divBdr>
                              <w:divsChild>
                                <w:div w:id="255746443">
                                  <w:marLeft w:val="0"/>
                                  <w:marRight w:val="0"/>
                                  <w:marTop w:val="0"/>
                                  <w:marBottom w:val="0"/>
                                  <w:divBdr>
                                    <w:top w:val="none" w:sz="0" w:space="0" w:color="auto"/>
                                    <w:left w:val="none" w:sz="0" w:space="0" w:color="auto"/>
                                    <w:bottom w:val="none" w:sz="0" w:space="0" w:color="auto"/>
                                    <w:right w:val="none" w:sz="0" w:space="0" w:color="auto"/>
                                  </w:divBdr>
                                  <w:divsChild>
                                    <w:div w:id="979722714">
                                      <w:marLeft w:val="0"/>
                                      <w:marRight w:val="0"/>
                                      <w:marTop w:val="0"/>
                                      <w:marBottom w:val="0"/>
                                      <w:divBdr>
                                        <w:top w:val="none" w:sz="0" w:space="0" w:color="auto"/>
                                        <w:left w:val="none" w:sz="0" w:space="0" w:color="auto"/>
                                        <w:bottom w:val="none" w:sz="0" w:space="0" w:color="auto"/>
                                        <w:right w:val="none" w:sz="0" w:space="0" w:color="auto"/>
                                      </w:divBdr>
                                      <w:divsChild>
                                        <w:div w:id="1901936422">
                                          <w:marLeft w:val="0"/>
                                          <w:marRight w:val="0"/>
                                          <w:marTop w:val="0"/>
                                          <w:marBottom w:val="0"/>
                                          <w:divBdr>
                                            <w:top w:val="none" w:sz="0" w:space="0" w:color="auto"/>
                                            <w:left w:val="none" w:sz="0" w:space="0" w:color="auto"/>
                                            <w:bottom w:val="none" w:sz="0" w:space="0" w:color="auto"/>
                                            <w:right w:val="none" w:sz="0" w:space="0" w:color="auto"/>
                                          </w:divBdr>
                                          <w:divsChild>
                                            <w:div w:id="500973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6964685">
      <w:bodyDiv w:val="1"/>
      <w:marLeft w:val="0"/>
      <w:marRight w:val="0"/>
      <w:marTop w:val="0"/>
      <w:marBottom w:val="0"/>
      <w:divBdr>
        <w:top w:val="none" w:sz="0" w:space="0" w:color="auto"/>
        <w:left w:val="none" w:sz="0" w:space="0" w:color="auto"/>
        <w:bottom w:val="none" w:sz="0" w:space="0" w:color="auto"/>
        <w:right w:val="none" w:sz="0" w:space="0" w:color="auto"/>
      </w:divBdr>
    </w:div>
    <w:div w:id="1239091485">
      <w:bodyDiv w:val="1"/>
      <w:marLeft w:val="0"/>
      <w:marRight w:val="0"/>
      <w:marTop w:val="0"/>
      <w:marBottom w:val="0"/>
      <w:divBdr>
        <w:top w:val="none" w:sz="0" w:space="0" w:color="auto"/>
        <w:left w:val="none" w:sz="0" w:space="0" w:color="auto"/>
        <w:bottom w:val="none" w:sz="0" w:space="0" w:color="auto"/>
        <w:right w:val="none" w:sz="0" w:space="0" w:color="auto"/>
      </w:divBdr>
    </w:div>
    <w:div w:id="1244795544">
      <w:bodyDiv w:val="1"/>
      <w:marLeft w:val="0"/>
      <w:marRight w:val="0"/>
      <w:marTop w:val="0"/>
      <w:marBottom w:val="0"/>
      <w:divBdr>
        <w:top w:val="none" w:sz="0" w:space="0" w:color="auto"/>
        <w:left w:val="none" w:sz="0" w:space="0" w:color="auto"/>
        <w:bottom w:val="none" w:sz="0" w:space="0" w:color="auto"/>
        <w:right w:val="none" w:sz="0" w:space="0" w:color="auto"/>
      </w:divBdr>
      <w:divsChild>
        <w:div w:id="700398221">
          <w:marLeft w:val="547"/>
          <w:marRight w:val="0"/>
          <w:marTop w:val="0"/>
          <w:marBottom w:val="0"/>
          <w:divBdr>
            <w:top w:val="none" w:sz="0" w:space="0" w:color="auto"/>
            <w:left w:val="none" w:sz="0" w:space="0" w:color="auto"/>
            <w:bottom w:val="none" w:sz="0" w:space="0" w:color="auto"/>
            <w:right w:val="none" w:sz="0" w:space="0" w:color="auto"/>
          </w:divBdr>
        </w:div>
        <w:div w:id="1011614091">
          <w:marLeft w:val="547"/>
          <w:marRight w:val="0"/>
          <w:marTop w:val="0"/>
          <w:marBottom w:val="0"/>
          <w:divBdr>
            <w:top w:val="none" w:sz="0" w:space="0" w:color="auto"/>
            <w:left w:val="none" w:sz="0" w:space="0" w:color="auto"/>
            <w:bottom w:val="none" w:sz="0" w:space="0" w:color="auto"/>
            <w:right w:val="none" w:sz="0" w:space="0" w:color="auto"/>
          </w:divBdr>
        </w:div>
      </w:divsChild>
    </w:div>
    <w:div w:id="1261334687">
      <w:bodyDiv w:val="1"/>
      <w:marLeft w:val="0"/>
      <w:marRight w:val="0"/>
      <w:marTop w:val="0"/>
      <w:marBottom w:val="0"/>
      <w:divBdr>
        <w:top w:val="none" w:sz="0" w:space="0" w:color="auto"/>
        <w:left w:val="none" w:sz="0" w:space="0" w:color="auto"/>
        <w:bottom w:val="none" w:sz="0" w:space="0" w:color="auto"/>
        <w:right w:val="none" w:sz="0" w:space="0" w:color="auto"/>
      </w:divBdr>
    </w:div>
    <w:div w:id="1268467020">
      <w:bodyDiv w:val="1"/>
      <w:marLeft w:val="0"/>
      <w:marRight w:val="0"/>
      <w:marTop w:val="0"/>
      <w:marBottom w:val="0"/>
      <w:divBdr>
        <w:top w:val="none" w:sz="0" w:space="0" w:color="auto"/>
        <w:left w:val="none" w:sz="0" w:space="0" w:color="auto"/>
        <w:bottom w:val="none" w:sz="0" w:space="0" w:color="auto"/>
        <w:right w:val="none" w:sz="0" w:space="0" w:color="auto"/>
      </w:divBdr>
      <w:divsChild>
        <w:div w:id="83914451">
          <w:marLeft w:val="0"/>
          <w:marRight w:val="0"/>
          <w:marTop w:val="0"/>
          <w:marBottom w:val="0"/>
          <w:divBdr>
            <w:top w:val="none" w:sz="0" w:space="0" w:color="auto"/>
            <w:left w:val="none" w:sz="0" w:space="0" w:color="auto"/>
            <w:bottom w:val="none" w:sz="0" w:space="0" w:color="auto"/>
            <w:right w:val="none" w:sz="0" w:space="0" w:color="auto"/>
          </w:divBdr>
        </w:div>
        <w:div w:id="270091233">
          <w:marLeft w:val="0"/>
          <w:marRight w:val="0"/>
          <w:marTop w:val="0"/>
          <w:marBottom w:val="0"/>
          <w:divBdr>
            <w:top w:val="none" w:sz="0" w:space="0" w:color="auto"/>
            <w:left w:val="none" w:sz="0" w:space="0" w:color="auto"/>
            <w:bottom w:val="none" w:sz="0" w:space="0" w:color="auto"/>
            <w:right w:val="none" w:sz="0" w:space="0" w:color="auto"/>
          </w:divBdr>
        </w:div>
        <w:div w:id="508831741">
          <w:marLeft w:val="0"/>
          <w:marRight w:val="0"/>
          <w:marTop w:val="0"/>
          <w:marBottom w:val="0"/>
          <w:divBdr>
            <w:top w:val="none" w:sz="0" w:space="0" w:color="auto"/>
            <w:left w:val="none" w:sz="0" w:space="0" w:color="auto"/>
            <w:bottom w:val="none" w:sz="0" w:space="0" w:color="auto"/>
            <w:right w:val="none" w:sz="0" w:space="0" w:color="auto"/>
          </w:divBdr>
        </w:div>
        <w:div w:id="643779785">
          <w:marLeft w:val="0"/>
          <w:marRight w:val="0"/>
          <w:marTop w:val="0"/>
          <w:marBottom w:val="0"/>
          <w:divBdr>
            <w:top w:val="none" w:sz="0" w:space="0" w:color="auto"/>
            <w:left w:val="none" w:sz="0" w:space="0" w:color="auto"/>
            <w:bottom w:val="none" w:sz="0" w:space="0" w:color="auto"/>
            <w:right w:val="none" w:sz="0" w:space="0" w:color="auto"/>
          </w:divBdr>
        </w:div>
        <w:div w:id="842085775">
          <w:marLeft w:val="0"/>
          <w:marRight w:val="0"/>
          <w:marTop w:val="0"/>
          <w:marBottom w:val="0"/>
          <w:divBdr>
            <w:top w:val="none" w:sz="0" w:space="0" w:color="auto"/>
            <w:left w:val="none" w:sz="0" w:space="0" w:color="auto"/>
            <w:bottom w:val="none" w:sz="0" w:space="0" w:color="auto"/>
            <w:right w:val="none" w:sz="0" w:space="0" w:color="auto"/>
          </w:divBdr>
        </w:div>
        <w:div w:id="910311228">
          <w:marLeft w:val="0"/>
          <w:marRight w:val="0"/>
          <w:marTop w:val="0"/>
          <w:marBottom w:val="0"/>
          <w:divBdr>
            <w:top w:val="none" w:sz="0" w:space="0" w:color="auto"/>
            <w:left w:val="none" w:sz="0" w:space="0" w:color="auto"/>
            <w:bottom w:val="none" w:sz="0" w:space="0" w:color="auto"/>
            <w:right w:val="none" w:sz="0" w:space="0" w:color="auto"/>
          </w:divBdr>
        </w:div>
        <w:div w:id="1189293987">
          <w:marLeft w:val="0"/>
          <w:marRight w:val="0"/>
          <w:marTop w:val="0"/>
          <w:marBottom w:val="0"/>
          <w:divBdr>
            <w:top w:val="none" w:sz="0" w:space="0" w:color="auto"/>
            <w:left w:val="none" w:sz="0" w:space="0" w:color="auto"/>
            <w:bottom w:val="none" w:sz="0" w:space="0" w:color="auto"/>
            <w:right w:val="none" w:sz="0" w:space="0" w:color="auto"/>
          </w:divBdr>
        </w:div>
        <w:div w:id="1492409357">
          <w:marLeft w:val="0"/>
          <w:marRight w:val="0"/>
          <w:marTop w:val="0"/>
          <w:marBottom w:val="0"/>
          <w:divBdr>
            <w:top w:val="none" w:sz="0" w:space="0" w:color="auto"/>
            <w:left w:val="none" w:sz="0" w:space="0" w:color="auto"/>
            <w:bottom w:val="none" w:sz="0" w:space="0" w:color="auto"/>
            <w:right w:val="none" w:sz="0" w:space="0" w:color="auto"/>
          </w:divBdr>
        </w:div>
        <w:div w:id="1500000502">
          <w:marLeft w:val="0"/>
          <w:marRight w:val="0"/>
          <w:marTop w:val="0"/>
          <w:marBottom w:val="0"/>
          <w:divBdr>
            <w:top w:val="none" w:sz="0" w:space="0" w:color="auto"/>
            <w:left w:val="none" w:sz="0" w:space="0" w:color="auto"/>
            <w:bottom w:val="none" w:sz="0" w:space="0" w:color="auto"/>
            <w:right w:val="none" w:sz="0" w:space="0" w:color="auto"/>
          </w:divBdr>
        </w:div>
        <w:div w:id="1882666966">
          <w:marLeft w:val="0"/>
          <w:marRight w:val="0"/>
          <w:marTop w:val="0"/>
          <w:marBottom w:val="0"/>
          <w:divBdr>
            <w:top w:val="none" w:sz="0" w:space="0" w:color="auto"/>
            <w:left w:val="none" w:sz="0" w:space="0" w:color="auto"/>
            <w:bottom w:val="none" w:sz="0" w:space="0" w:color="auto"/>
            <w:right w:val="none" w:sz="0" w:space="0" w:color="auto"/>
          </w:divBdr>
        </w:div>
      </w:divsChild>
    </w:div>
    <w:div w:id="1284729993">
      <w:bodyDiv w:val="1"/>
      <w:marLeft w:val="0"/>
      <w:marRight w:val="0"/>
      <w:marTop w:val="0"/>
      <w:marBottom w:val="0"/>
      <w:divBdr>
        <w:top w:val="none" w:sz="0" w:space="0" w:color="auto"/>
        <w:left w:val="none" w:sz="0" w:space="0" w:color="auto"/>
        <w:bottom w:val="none" w:sz="0" w:space="0" w:color="auto"/>
        <w:right w:val="none" w:sz="0" w:space="0" w:color="auto"/>
      </w:divBdr>
    </w:div>
    <w:div w:id="1289311475">
      <w:bodyDiv w:val="1"/>
      <w:marLeft w:val="0"/>
      <w:marRight w:val="0"/>
      <w:marTop w:val="0"/>
      <w:marBottom w:val="0"/>
      <w:divBdr>
        <w:top w:val="none" w:sz="0" w:space="0" w:color="auto"/>
        <w:left w:val="none" w:sz="0" w:space="0" w:color="auto"/>
        <w:bottom w:val="none" w:sz="0" w:space="0" w:color="auto"/>
        <w:right w:val="none" w:sz="0" w:space="0" w:color="auto"/>
      </w:divBdr>
      <w:divsChild>
        <w:div w:id="1202012507">
          <w:marLeft w:val="547"/>
          <w:marRight w:val="0"/>
          <w:marTop w:val="0"/>
          <w:marBottom w:val="0"/>
          <w:divBdr>
            <w:top w:val="none" w:sz="0" w:space="0" w:color="auto"/>
            <w:left w:val="none" w:sz="0" w:space="0" w:color="auto"/>
            <w:bottom w:val="none" w:sz="0" w:space="0" w:color="auto"/>
            <w:right w:val="none" w:sz="0" w:space="0" w:color="auto"/>
          </w:divBdr>
        </w:div>
      </w:divsChild>
    </w:div>
    <w:div w:id="1314721486">
      <w:bodyDiv w:val="1"/>
      <w:marLeft w:val="0"/>
      <w:marRight w:val="0"/>
      <w:marTop w:val="0"/>
      <w:marBottom w:val="0"/>
      <w:divBdr>
        <w:top w:val="none" w:sz="0" w:space="0" w:color="auto"/>
        <w:left w:val="none" w:sz="0" w:space="0" w:color="auto"/>
        <w:bottom w:val="none" w:sz="0" w:space="0" w:color="auto"/>
        <w:right w:val="none" w:sz="0" w:space="0" w:color="auto"/>
      </w:divBdr>
      <w:divsChild>
        <w:div w:id="130369470">
          <w:marLeft w:val="0"/>
          <w:marRight w:val="0"/>
          <w:marTop w:val="0"/>
          <w:marBottom w:val="0"/>
          <w:divBdr>
            <w:top w:val="none" w:sz="0" w:space="0" w:color="auto"/>
            <w:left w:val="none" w:sz="0" w:space="0" w:color="auto"/>
            <w:bottom w:val="none" w:sz="0" w:space="0" w:color="auto"/>
            <w:right w:val="none" w:sz="0" w:space="0" w:color="auto"/>
          </w:divBdr>
          <w:divsChild>
            <w:div w:id="291135124">
              <w:marLeft w:val="0"/>
              <w:marRight w:val="0"/>
              <w:marTop w:val="0"/>
              <w:marBottom w:val="0"/>
              <w:divBdr>
                <w:top w:val="none" w:sz="0" w:space="0" w:color="auto"/>
                <w:left w:val="none" w:sz="0" w:space="0" w:color="auto"/>
                <w:bottom w:val="none" w:sz="0" w:space="0" w:color="auto"/>
                <w:right w:val="none" w:sz="0" w:space="0" w:color="auto"/>
              </w:divBdr>
              <w:divsChild>
                <w:div w:id="553734016">
                  <w:marLeft w:val="0"/>
                  <w:marRight w:val="0"/>
                  <w:marTop w:val="0"/>
                  <w:marBottom w:val="0"/>
                  <w:divBdr>
                    <w:top w:val="none" w:sz="0" w:space="0" w:color="auto"/>
                    <w:left w:val="none" w:sz="0" w:space="0" w:color="auto"/>
                    <w:bottom w:val="none" w:sz="0" w:space="0" w:color="auto"/>
                    <w:right w:val="none" w:sz="0" w:space="0" w:color="auto"/>
                  </w:divBdr>
                  <w:divsChild>
                    <w:div w:id="369576269">
                      <w:marLeft w:val="150"/>
                      <w:marRight w:val="150"/>
                      <w:marTop w:val="0"/>
                      <w:marBottom w:val="0"/>
                      <w:divBdr>
                        <w:top w:val="none" w:sz="0" w:space="0" w:color="auto"/>
                        <w:left w:val="none" w:sz="0" w:space="0" w:color="auto"/>
                        <w:bottom w:val="none" w:sz="0" w:space="0" w:color="auto"/>
                        <w:right w:val="none" w:sz="0" w:space="0" w:color="auto"/>
                      </w:divBdr>
                      <w:divsChild>
                        <w:div w:id="1814523018">
                          <w:marLeft w:val="0"/>
                          <w:marRight w:val="0"/>
                          <w:marTop w:val="0"/>
                          <w:marBottom w:val="0"/>
                          <w:divBdr>
                            <w:top w:val="none" w:sz="0" w:space="0" w:color="auto"/>
                            <w:left w:val="none" w:sz="0" w:space="0" w:color="auto"/>
                            <w:bottom w:val="none" w:sz="0" w:space="0" w:color="auto"/>
                            <w:right w:val="none" w:sz="0" w:space="0" w:color="auto"/>
                          </w:divBdr>
                          <w:divsChild>
                            <w:div w:id="1707485683">
                              <w:marLeft w:val="0"/>
                              <w:marRight w:val="0"/>
                              <w:marTop w:val="0"/>
                              <w:marBottom w:val="0"/>
                              <w:divBdr>
                                <w:top w:val="none" w:sz="0" w:space="0" w:color="auto"/>
                                <w:left w:val="none" w:sz="0" w:space="0" w:color="auto"/>
                                <w:bottom w:val="none" w:sz="0" w:space="0" w:color="auto"/>
                                <w:right w:val="none" w:sz="0" w:space="0" w:color="auto"/>
                              </w:divBdr>
                              <w:divsChild>
                                <w:div w:id="775976867">
                                  <w:marLeft w:val="0"/>
                                  <w:marRight w:val="0"/>
                                  <w:marTop w:val="0"/>
                                  <w:marBottom w:val="0"/>
                                  <w:divBdr>
                                    <w:top w:val="none" w:sz="0" w:space="0" w:color="auto"/>
                                    <w:left w:val="none" w:sz="0" w:space="0" w:color="auto"/>
                                    <w:bottom w:val="none" w:sz="0" w:space="0" w:color="auto"/>
                                    <w:right w:val="none" w:sz="0" w:space="0" w:color="auto"/>
                                  </w:divBdr>
                                  <w:divsChild>
                                    <w:div w:id="1772697955">
                                      <w:marLeft w:val="0"/>
                                      <w:marRight w:val="0"/>
                                      <w:marTop w:val="0"/>
                                      <w:marBottom w:val="0"/>
                                      <w:divBdr>
                                        <w:top w:val="none" w:sz="0" w:space="0" w:color="auto"/>
                                        <w:left w:val="none" w:sz="0" w:space="0" w:color="auto"/>
                                        <w:bottom w:val="none" w:sz="0" w:space="0" w:color="auto"/>
                                        <w:right w:val="none" w:sz="0" w:space="0" w:color="auto"/>
                                      </w:divBdr>
                                      <w:divsChild>
                                        <w:div w:id="1240139979">
                                          <w:marLeft w:val="0"/>
                                          <w:marRight w:val="0"/>
                                          <w:marTop w:val="0"/>
                                          <w:marBottom w:val="0"/>
                                          <w:divBdr>
                                            <w:top w:val="none" w:sz="0" w:space="0" w:color="auto"/>
                                            <w:left w:val="none" w:sz="0" w:space="0" w:color="auto"/>
                                            <w:bottom w:val="none" w:sz="0" w:space="0" w:color="auto"/>
                                            <w:right w:val="none" w:sz="0" w:space="0" w:color="auto"/>
                                          </w:divBdr>
                                          <w:divsChild>
                                            <w:div w:id="1303541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34381519">
      <w:bodyDiv w:val="1"/>
      <w:marLeft w:val="0"/>
      <w:marRight w:val="0"/>
      <w:marTop w:val="0"/>
      <w:marBottom w:val="0"/>
      <w:divBdr>
        <w:top w:val="none" w:sz="0" w:space="0" w:color="auto"/>
        <w:left w:val="none" w:sz="0" w:space="0" w:color="auto"/>
        <w:bottom w:val="none" w:sz="0" w:space="0" w:color="auto"/>
        <w:right w:val="none" w:sz="0" w:space="0" w:color="auto"/>
      </w:divBdr>
    </w:div>
    <w:div w:id="1348018136">
      <w:bodyDiv w:val="1"/>
      <w:marLeft w:val="0"/>
      <w:marRight w:val="0"/>
      <w:marTop w:val="0"/>
      <w:marBottom w:val="0"/>
      <w:divBdr>
        <w:top w:val="none" w:sz="0" w:space="0" w:color="auto"/>
        <w:left w:val="none" w:sz="0" w:space="0" w:color="auto"/>
        <w:bottom w:val="none" w:sz="0" w:space="0" w:color="auto"/>
        <w:right w:val="none" w:sz="0" w:space="0" w:color="auto"/>
      </w:divBdr>
      <w:divsChild>
        <w:div w:id="1902934740">
          <w:marLeft w:val="547"/>
          <w:marRight w:val="0"/>
          <w:marTop w:val="0"/>
          <w:marBottom w:val="0"/>
          <w:divBdr>
            <w:top w:val="none" w:sz="0" w:space="0" w:color="auto"/>
            <w:left w:val="none" w:sz="0" w:space="0" w:color="auto"/>
            <w:bottom w:val="none" w:sz="0" w:space="0" w:color="auto"/>
            <w:right w:val="none" w:sz="0" w:space="0" w:color="auto"/>
          </w:divBdr>
        </w:div>
      </w:divsChild>
    </w:div>
    <w:div w:id="1357266802">
      <w:bodyDiv w:val="1"/>
      <w:marLeft w:val="0"/>
      <w:marRight w:val="0"/>
      <w:marTop w:val="0"/>
      <w:marBottom w:val="0"/>
      <w:divBdr>
        <w:top w:val="none" w:sz="0" w:space="0" w:color="auto"/>
        <w:left w:val="none" w:sz="0" w:space="0" w:color="auto"/>
        <w:bottom w:val="none" w:sz="0" w:space="0" w:color="auto"/>
        <w:right w:val="none" w:sz="0" w:space="0" w:color="auto"/>
      </w:divBdr>
    </w:div>
    <w:div w:id="1408576459">
      <w:bodyDiv w:val="1"/>
      <w:marLeft w:val="0"/>
      <w:marRight w:val="0"/>
      <w:marTop w:val="0"/>
      <w:marBottom w:val="0"/>
      <w:divBdr>
        <w:top w:val="none" w:sz="0" w:space="0" w:color="auto"/>
        <w:left w:val="none" w:sz="0" w:space="0" w:color="auto"/>
        <w:bottom w:val="none" w:sz="0" w:space="0" w:color="auto"/>
        <w:right w:val="none" w:sz="0" w:space="0" w:color="auto"/>
      </w:divBdr>
    </w:div>
    <w:div w:id="1431583484">
      <w:bodyDiv w:val="1"/>
      <w:marLeft w:val="0"/>
      <w:marRight w:val="0"/>
      <w:marTop w:val="0"/>
      <w:marBottom w:val="0"/>
      <w:divBdr>
        <w:top w:val="none" w:sz="0" w:space="0" w:color="auto"/>
        <w:left w:val="none" w:sz="0" w:space="0" w:color="auto"/>
        <w:bottom w:val="none" w:sz="0" w:space="0" w:color="auto"/>
        <w:right w:val="none" w:sz="0" w:space="0" w:color="auto"/>
      </w:divBdr>
    </w:div>
    <w:div w:id="1432314147">
      <w:bodyDiv w:val="1"/>
      <w:marLeft w:val="0"/>
      <w:marRight w:val="0"/>
      <w:marTop w:val="0"/>
      <w:marBottom w:val="0"/>
      <w:divBdr>
        <w:top w:val="none" w:sz="0" w:space="0" w:color="auto"/>
        <w:left w:val="none" w:sz="0" w:space="0" w:color="auto"/>
        <w:bottom w:val="none" w:sz="0" w:space="0" w:color="auto"/>
        <w:right w:val="none" w:sz="0" w:space="0" w:color="auto"/>
      </w:divBdr>
    </w:div>
    <w:div w:id="1442534544">
      <w:bodyDiv w:val="1"/>
      <w:marLeft w:val="0"/>
      <w:marRight w:val="0"/>
      <w:marTop w:val="0"/>
      <w:marBottom w:val="0"/>
      <w:divBdr>
        <w:top w:val="none" w:sz="0" w:space="0" w:color="auto"/>
        <w:left w:val="none" w:sz="0" w:space="0" w:color="auto"/>
        <w:bottom w:val="none" w:sz="0" w:space="0" w:color="auto"/>
        <w:right w:val="none" w:sz="0" w:space="0" w:color="auto"/>
      </w:divBdr>
    </w:div>
    <w:div w:id="1450053376">
      <w:bodyDiv w:val="1"/>
      <w:marLeft w:val="0"/>
      <w:marRight w:val="0"/>
      <w:marTop w:val="0"/>
      <w:marBottom w:val="0"/>
      <w:divBdr>
        <w:top w:val="none" w:sz="0" w:space="0" w:color="auto"/>
        <w:left w:val="none" w:sz="0" w:space="0" w:color="auto"/>
        <w:bottom w:val="none" w:sz="0" w:space="0" w:color="auto"/>
        <w:right w:val="none" w:sz="0" w:space="0" w:color="auto"/>
      </w:divBdr>
      <w:divsChild>
        <w:div w:id="214582326">
          <w:marLeft w:val="0"/>
          <w:marRight w:val="0"/>
          <w:marTop w:val="300"/>
          <w:marBottom w:val="0"/>
          <w:divBdr>
            <w:top w:val="none" w:sz="0" w:space="0" w:color="auto"/>
            <w:left w:val="none" w:sz="0" w:space="0" w:color="auto"/>
            <w:bottom w:val="none" w:sz="0" w:space="0" w:color="auto"/>
            <w:right w:val="none" w:sz="0" w:space="0" w:color="auto"/>
          </w:divBdr>
          <w:divsChild>
            <w:div w:id="2019383492">
              <w:marLeft w:val="0"/>
              <w:marRight w:val="0"/>
              <w:marTop w:val="0"/>
              <w:marBottom w:val="0"/>
              <w:divBdr>
                <w:top w:val="none" w:sz="0" w:space="0" w:color="auto"/>
                <w:left w:val="none" w:sz="0" w:space="0" w:color="auto"/>
                <w:bottom w:val="none" w:sz="0" w:space="0" w:color="auto"/>
                <w:right w:val="none" w:sz="0" w:space="0" w:color="auto"/>
              </w:divBdr>
              <w:divsChild>
                <w:div w:id="859515390">
                  <w:marLeft w:val="0"/>
                  <w:marRight w:val="0"/>
                  <w:marTop w:val="0"/>
                  <w:marBottom w:val="0"/>
                  <w:divBdr>
                    <w:top w:val="none" w:sz="0" w:space="0" w:color="auto"/>
                    <w:left w:val="none" w:sz="0" w:space="0" w:color="auto"/>
                    <w:bottom w:val="none" w:sz="0" w:space="0" w:color="auto"/>
                    <w:right w:val="none" w:sz="0" w:space="0" w:color="auto"/>
                  </w:divBdr>
                  <w:divsChild>
                    <w:div w:id="1938901505">
                      <w:marLeft w:val="0"/>
                      <w:marRight w:val="0"/>
                      <w:marTop w:val="0"/>
                      <w:marBottom w:val="0"/>
                      <w:divBdr>
                        <w:top w:val="none" w:sz="0" w:space="0" w:color="auto"/>
                        <w:left w:val="none" w:sz="0" w:space="0" w:color="auto"/>
                        <w:bottom w:val="none" w:sz="0" w:space="0" w:color="auto"/>
                        <w:right w:val="none" w:sz="0" w:space="0" w:color="auto"/>
                      </w:divBdr>
                      <w:divsChild>
                        <w:div w:id="90526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5903834">
      <w:bodyDiv w:val="1"/>
      <w:marLeft w:val="0"/>
      <w:marRight w:val="0"/>
      <w:marTop w:val="0"/>
      <w:marBottom w:val="0"/>
      <w:divBdr>
        <w:top w:val="none" w:sz="0" w:space="0" w:color="auto"/>
        <w:left w:val="none" w:sz="0" w:space="0" w:color="auto"/>
        <w:bottom w:val="none" w:sz="0" w:space="0" w:color="auto"/>
        <w:right w:val="none" w:sz="0" w:space="0" w:color="auto"/>
      </w:divBdr>
    </w:div>
    <w:div w:id="1464494186">
      <w:bodyDiv w:val="1"/>
      <w:marLeft w:val="0"/>
      <w:marRight w:val="0"/>
      <w:marTop w:val="0"/>
      <w:marBottom w:val="0"/>
      <w:divBdr>
        <w:top w:val="none" w:sz="0" w:space="0" w:color="auto"/>
        <w:left w:val="none" w:sz="0" w:space="0" w:color="auto"/>
        <w:bottom w:val="none" w:sz="0" w:space="0" w:color="auto"/>
        <w:right w:val="none" w:sz="0" w:space="0" w:color="auto"/>
      </w:divBdr>
    </w:div>
    <w:div w:id="1547644712">
      <w:bodyDiv w:val="1"/>
      <w:marLeft w:val="0"/>
      <w:marRight w:val="0"/>
      <w:marTop w:val="0"/>
      <w:marBottom w:val="0"/>
      <w:divBdr>
        <w:top w:val="none" w:sz="0" w:space="0" w:color="auto"/>
        <w:left w:val="none" w:sz="0" w:space="0" w:color="auto"/>
        <w:bottom w:val="none" w:sz="0" w:space="0" w:color="auto"/>
        <w:right w:val="none" w:sz="0" w:space="0" w:color="auto"/>
      </w:divBdr>
    </w:div>
    <w:div w:id="1551913882">
      <w:bodyDiv w:val="1"/>
      <w:marLeft w:val="0"/>
      <w:marRight w:val="0"/>
      <w:marTop w:val="0"/>
      <w:marBottom w:val="0"/>
      <w:divBdr>
        <w:top w:val="none" w:sz="0" w:space="0" w:color="auto"/>
        <w:left w:val="none" w:sz="0" w:space="0" w:color="auto"/>
        <w:bottom w:val="none" w:sz="0" w:space="0" w:color="auto"/>
        <w:right w:val="none" w:sz="0" w:space="0" w:color="auto"/>
      </w:divBdr>
      <w:divsChild>
        <w:div w:id="176309590">
          <w:marLeft w:val="1195"/>
          <w:marRight w:val="86"/>
          <w:marTop w:val="179"/>
          <w:marBottom w:val="0"/>
          <w:divBdr>
            <w:top w:val="none" w:sz="0" w:space="0" w:color="auto"/>
            <w:left w:val="none" w:sz="0" w:space="0" w:color="auto"/>
            <w:bottom w:val="none" w:sz="0" w:space="0" w:color="auto"/>
            <w:right w:val="none" w:sz="0" w:space="0" w:color="auto"/>
          </w:divBdr>
        </w:div>
        <w:div w:id="452215955">
          <w:marLeft w:val="1195"/>
          <w:marRight w:val="86"/>
          <w:marTop w:val="179"/>
          <w:marBottom w:val="0"/>
          <w:divBdr>
            <w:top w:val="none" w:sz="0" w:space="0" w:color="auto"/>
            <w:left w:val="none" w:sz="0" w:space="0" w:color="auto"/>
            <w:bottom w:val="none" w:sz="0" w:space="0" w:color="auto"/>
            <w:right w:val="none" w:sz="0" w:space="0" w:color="auto"/>
          </w:divBdr>
        </w:div>
        <w:div w:id="1018194649">
          <w:marLeft w:val="475"/>
          <w:marRight w:val="0"/>
          <w:marTop w:val="142"/>
          <w:marBottom w:val="0"/>
          <w:divBdr>
            <w:top w:val="none" w:sz="0" w:space="0" w:color="auto"/>
            <w:left w:val="none" w:sz="0" w:space="0" w:color="auto"/>
            <w:bottom w:val="none" w:sz="0" w:space="0" w:color="auto"/>
            <w:right w:val="none" w:sz="0" w:space="0" w:color="auto"/>
          </w:divBdr>
        </w:div>
        <w:div w:id="1299339646">
          <w:marLeft w:val="475"/>
          <w:marRight w:val="14"/>
          <w:marTop w:val="185"/>
          <w:marBottom w:val="0"/>
          <w:divBdr>
            <w:top w:val="none" w:sz="0" w:space="0" w:color="auto"/>
            <w:left w:val="none" w:sz="0" w:space="0" w:color="auto"/>
            <w:bottom w:val="none" w:sz="0" w:space="0" w:color="auto"/>
            <w:right w:val="none" w:sz="0" w:space="0" w:color="auto"/>
          </w:divBdr>
        </w:div>
        <w:div w:id="1351488174">
          <w:marLeft w:val="475"/>
          <w:marRight w:val="0"/>
          <w:marTop w:val="141"/>
          <w:marBottom w:val="0"/>
          <w:divBdr>
            <w:top w:val="none" w:sz="0" w:space="0" w:color="auto"/>
            <w:left w:val="none" w:sz="0" w:space="0" w:color="auto"/>
            <w:bottom w:val="none" w:sz="0" w:space="0" w:color="auto"/>
            <w:right w:val="none" w:sz="0" w:space="0" w:color="auto"/>
          </w:divBdr>
        </w:div>
        <w:div w:id="1608343408">
          <w:marLeft w:val="1195"/>
          <w:marRight w:val="86"/>
          <w:marTop w:val="179"/>
          <w:marBottom w:val="0"/>
          <w:divBdr>
            <w:top w:val="none" w:sz="0" w:space="0" w:color="auto"/>
            <w:left w:val="none" w:sz="0" w:space="0" w:color="auto"/>
            <w:bottom w:val="none" w:sz="0" w:space="0" w:color="auto"/>
            <w:right w:val="none" w:sz="0" w:space="0" w:color="auto"/>
          </w:divBdr>
        </w:div>
        <w:div w:id="1653020500">
          <w:marLeft w:val="1195"/>
          <w:marRight w:val="86"/>
          <w:marTop w:val="179"/>
          <w:marBottom w:val="0"/>
          <w:divBdr>
            <w:top w:val="none" w:sz="0" w:space="0" w:color="auto"/>
            <w:left w:val="none" w:sz="0" w:space="0" w:color="auto"/>
            <w:bottom w:val="none" w:sz="0" w:space="0" w:color="auto"/>
            <w:right w:val="none" w:sz="0" w:space="0" w:color="auto"/>
          </w:divBdr>
        </w:div>
        <w:div w:id="1970891107">
          <w:marLeft w:val="475"/>
          <w:marRight w:val="86"/>
          <w:marTop w:val="179"/>
          <w:marBottom w:val="0"/>
          <w:divBdr>
            <w:top w:val="none" w:sz="0" w:space="0" w:color="auto"/>
            <w:left w:val="none" w:sz="0" w:space="0" w:color="auto"/>
            <w:bottom w:val="none" w:sz="0" w:space="0" w:color="auto"/>
            <w:right w:val="none" w:sz="0" w:space="0" w:color="auto"/>
          </w:divBdr>
        </w:div>
      </w:divsChild>
    </w:div>
    <w:div w:id="1583416454">
      <w:bodyDiv w:val="1"/>
      <w:marLeft w:val="0"/>
      <w:marRight w:val="0"/>
      <w:marTop w:val="0"/>
      <w:marBottom w:val="0"/>
      <w:divBdr>
        <w:top w:val="none" w:sz="0" w:space="0" w:color="auto"/>
        <w:left w:val="none" w:sz="0" w:space="0" w:color="auto"/>
        <w:bottom w:val="none" w:sz="0" w:space="0" w:color="auto"/>
        <w:right w:val="none" w:sz="0" w:space="0" w:color="auto"/>
      </w:divBdr>
      <w:divsChild>
        <w:div w:id="2008633162">
          <w:marLeft w:val="0"/>
          <w:marRight w:val="0"/>
          <w:marTop w:val="180"/>
          <w:marBottom w:val="180"/>
          <w:divBdr>
            <w:top w:val="none" w:sz="0" w:space="0" w:color="auto"/>
            <w:left w:val="none" w:sz="0" w:space="0" w:color="auto"/>
            <w:bottom w:val="none" w:sz="0" w:space="0" w:color="auto"/>
            <w:right w:val="none" w:sz="0" w:space="0" w:color="auto"/>
          </w:divBdr>
          <w:divsChild>
            <w:div w:id="1584802605">
              <w:marLeft w:val="-225"/>
              <w:marRight w:val="-225"/>
              <w:marTop w:val="0"/>
              <w:marBottom w:val="0"/>
              <w:divBdr>
                <w:top w:val="none" w:sz="0" w:space="0" w:color="auto"/>
                <w:left w:val="none" w:sz="0" w:space="0" w:color="auto"/>
                <w:bottom w:val="none" w:sz="0" w:space="0" w:color="auto"/>
                <w:right w:val="none" w:sz="0" w:space="0" w:color="auto"/>
              </w:divBdr>
              <w:divsChild>
                <w:div w:id="1984505778">
                  <w:marLeft w:val="0"/>
                  <w:marRight w:val="0"/>
                  <w:marTop w:val="0"/>
                  <w:marBottom w:val="0"/>
                  <w:divBdr>
                    <w:top w:val="none" w:sz="0" w:space="0" w:color="auto"/>
                    <w:left w:val="none" w:sz="0" w:space="0" w:color="auto"/>
                    <w:bottom w:val="none" w:sz="0" w:space="0" w:color="auto"/>
                    <w:right w:val="none" w:sz="0" w:space="0" w:color="auto"/>
                  </w:divBdr>
                  <w:divsChild>
                    <w:div w:id="110899673">
                      <w:marLeft w:val="-225"/>
                      <w:marRight w:val="-225"/>
                      <w:marTop w:val="0"/>
                      <w:marBottom w:val="0"/>
                      <w:divBdr>
                        <w:top w:val="none" w:sz="0" w:space="0" w:color="auto"/>
                        <w:left w:val="none" w:sz="0" w:space="0" w:color="auto"/>
                        <w:bottom w:val="none" w:sz="0" w:space="0" w:color="auto"/>
                        <w:right w:val="none" w:sz="0" w:space="0" w:color="auto"/>
                      </w:divBdr>
                      <w:divsChild>
                        <w:div w:id="2126344320">
                          <w:marLeft w:val="0"/>
                          <w:marRight w:val="0"/>
                          <w:marTop w:val="0"/>
                          <w:marBottom w:val="0"/>
                          <w:divBdr>
                            <w:top w:val="none" w:sz="0" w:space="0" w:color="auto"/>
                            <w:left w:val="none" w:sz="0" w:space="0" w:color="auto"/>
                            <w:bottom w:val="none" w:sz="0" w:space="0" w:color="auto"/>
                            <w:right w:val="none" w:sz="0" w:space="0" w:color="auto"/>
                          </w:divBdr>
                          <w:divsChild>
                            <w:div w:id="1420710697">
                              <w:marLeft w:val="0"/>
                              <w:marRight w:val="0"/>
                              <w:marTop w:val="0"/>
                              <w:marBottom w:val="0"/>
                              <w:divBdr>
                                <w:top w:val="none" w:sz="0" w:space="0" w:color="auto"/>
                                <w:left w:val="none" w:sz="0" w:space="0" w:color="auto"/>
                                <w:bottom w:val="none" w:sz="0" w:space="0" w:color="auto"/>
                                <w:right w:val="none" w:sz="0" w:space="0" w:color="auto"/>
                              </w:divBdr>
                              <w:divsChild>
                                <w:div w:id="1447431097">
                                  <w:marLeft w:val="0"/>
                                  <w:marRight w:val="0"/>
                                  <w:marTop w:val="0"/>
                                  <w:marBottom w:val="0"/>
                                  <w:divBdr>
                                    <w:top w:val="none" w:sz="0" w:space="0" w:color="auto"/>
                                    <w:left w:val="none" w:sz="0" w:space="0" w:color="auto"/>
                                    <w:bottom w:val="none" w:sz="0" w:space="0" w:color="auto"/>
                                    <w:right w:val="none" w:sz="0" w:space="0" w:color="auto"/>
                                  </w:divBdr>
                                  <w:divsChild>
                                    <w:div w:id="2086419072">
                                      <w:marLeft w:val="0"/>
                                      <w:marRight w:val="0"/>
                                      <w:marTop w:val="0"/>
                                      <w:marBottom w:val="0"/>
                                      <w:divBdr>
                                        <w:top w:val="none" w:sz="0" w:space="0" w:color="auto"/>
                                        <w:left w:val="none" w:sz="0" w:space="0" w:color="auto"/>
                                        <w:bottom w:val="none" w:sz="0" w:space="0" w:color="auto"/>
                                        <w:right w:val="none" w:sz="0" w:space="0" w:color="auto"/>
                                      </w:divBdr>
                                      <w:divsChild>
                                        <w:div w:id="2112242793">
                                          <w:marLeft w:val="0"/>
                                          <w:marRight w:val="0"/>
                                          <w:marTop w:val="0"/>
                                          <w:marBottom w:val="0"/>
                                          <w:divBdr>
                                            <w:top w:val="none" w:sz="0" w:space="0" w:color="auto"/>
                                            <w:left w:val="none" w:sz="0" w:space="0" w:color="auto"/>
                                            <w:bottom w:val="none" w:sz="0" w:space="0" w:color="auto"/>
                                            <w:right w:val="none" w:sz="0" w:space="0" w:color="auto"/>
                                          </w:divBdr>
                                          <w:divsChild>
                                            <w:div w:id="1828551158">
                                              <w:marLeft w:val="0"/>
                                              <w:marRight w:val="0"/>
                                              <w:marTop w:val="0"/>
                                              <w:marBottom w:val="0"/>
                                              <w:divBdr>
                                                <w:top w:val="none" w:sz="0" w:space="0" w:color="auto"/>
                                                <w:left w:val="none" w:sz="0" w:space="0" w:color="auto"/>
                                                <w:bottom w:val="none" w:sz="0" w:space="0" w:color="auto"/>
                                                <w:right w:val="none" w:sz="0" w:space="0" w:color="auto"/>
                                              </w:divBdr>
                                              <w:divsChild>
                                                <w:div w:id="613100396">
                                                  <w:marLeft w:val="0"/>
                                                  <w:marRight w:val="0"/>
                                                  <w:marTop w:val="0"/>
                                                  <w:marBottom w:val="0"/>
                                                  <w:divBdr>
                                                    <w:top w:val="none" w:sz="0" w:space="0" w:color="auto"/>
                                                    <w:left w:val="none" w:sz="0" w:space="0" w:color="auto"/>
                                                    <w:bottom w:val="none" w:sz="0" w:space="0" w:color="auto"/>
                                                    <w:right w:val="none" w:sz="0" w:space="0" w:color="auto"/>
                                                  </w:divBdr>
                                                  <w:divsChild>
                                                    <w:div w:id="90426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8422897">
      <w:bodyDiv w:val="1"/>
      <w:marLeft w:val="0"/>
      <w:marRight w:val="0"/>
      <w:marTop w:val="0"/>
      <w:marBottom w:val="0"/>
      <w:divBdr>
        <w:top w:val="none" w:sz="0" w:space="0" w:color="auto"/>
        <w:left w:val="none" w:sz="0" w:space="0" w:color="auto"/>
        <w:bottom w:val="none" w:sz="0" w:space="0" w:color="auto"/>
        <w:right w:val="none" w:sz="0" w:space="0" w:color="auto"/>
      </w:divBdr>
    </w:div>
    <w:div w:id="1597592508">
      <w:bodyDiv w:val="1"/>
      <w:marLeft w:val="0"/>
      <w:marRight w:val="0"/>
      <w:marTop w:val="0"/>
      <w:marBottom w:val="0"/>
      <w:divBdr>
        <w:top w:val="none" w:sz="0" w:space="0" w:color="auto"/>
        <w:left w:val="none" w:sz="0" w:space="0" w:color="auto"/>
        <w:bottom w:val="none" w:sz="0" w:space="0" w:color="auto"/>
        <w:right w:val="none" w:sz="0" w:space="0" w:color="auto"/>
      </w:divBdr>
    </w:div>
    <w:div w:id="1598828910">
      <w:bodyDiv w:val="1"/>
      <w:marLeft w:val="0"/>
      <w:marRight w:val="0"/>
      <w:marTop w:val="0"/>
      <w:marBottom w:val="0"/>
      <w:divBdr>
        <w:top w:val="none" w:sz="0" w:space="0" w:color="auto"/>
        <w:left w:val="none" w:sz="0" w:space="0" w:color="auto"/>
        <w:bottom w:val="none" w:sz="0" w:space="0" w:color="auto"/>
        <w:right w:val="none" w:sz="0" w:space="0" w:color="auto"/>
      </w:divBdr>
    </w:div>
    <w:div w:id="1603076635">
      <w:bodyDiv w:val="1"/>
      <w:marLeft w:val="0"/>
      <w:marRight w:val="0"/>
      <w:marTop w:val="0"/>
      <w:marBottom w:val="0"/>
      <w:divBdr>
        <w:top w:val="none" w:sz="0" w:space="0" w:color="auto"/>
        <w:left w:val="none" w:sz="0" w:space="0" w:color="auto"/>
        <w:bottom w:val="none" w:sz="0" w:space="0" w:color="auto"/>
        <w:right w:val="none" w:sz="0" w:space="0" w:color="auto"/>
      </w:divBdr>
    </w:div>
    <w:div w:id="1611082869">
      <w:bodyDiv w:val="1"/>
      <w:marLeft w:val="0"/>
      <w:marRight w:val="0"/>
      <w:marTop w:val="0"/>
      <w:marBottom w:val="0"/>
      <w:divBdr>
        <w:top w:val="none" w:sz="0" w:space="0" w:color="auto"/>
        <w:left w:val="none" w:sz="0" w:space="0" w:color="auto"/>
        <w:bottom w:val="none" w:sz="0" w:space="0" w:color="auto"/>
        <w:right w:val="none" w:sz="0" w:space="0" w:color="auto"/>
      </w:divBdr>
    </w:div>
    <w:div w:id="1611475593">
      <w:bodyDiv w:val="1"/>
      <w:marLeft w:val="0"/>
      <w:marRight w:val="0"/>
      <w:marTop w:val="0"/>
      <w:marBottom w:val="0"/>
      <w:divBdr>
        <w:top w:val="none" w:sz="0" w:space="0" w:color="auto"/>
        <w:left w:val="none" w:sz="0" w:space="0" w:color="auto"/>
        <w:bottom w:val="none" w:sz="0" w:space="0" w:color="auto"/>
        <w:right w:val="none" w:sz="0" w:space="0" w:color="auto"/>
      </w:divBdr>
    </w:div>
    <w:div w:id="1618177010">
      <w:bodyDiv w:val="1"/>
      <w:marLeft w:val="0"/>
      <w:marRight w:val="0"/>
      <w:marTop w:val="0"/>
      <w:marBottom w:val="0"/>
      <w:divBdr>
        <w:top w:val="none" w:sz="0" w:space="0" w:color="auto"/>
        <w:left w:val="none" w:sz="0" w:space="0" w:color="auto"/>
        <w:bottom w:val="none" w:sz="0" w:space="0" w:color="auto"/>
        <w:right w:val="none" w:sz="0" w:space="0" w:color="auto"/>
      </w:divBdr>
    </w:div>
    <w:div w:id="1635789231">
      <w:bodyDiv w:val="1"/>
      <w:marLeft w:val="0"/>
      <w:marRight w:val="0"/>
      <w:marTop w:val="0"/>
      <w:marBottom w:val="0"/>
      <w:divBdr>
        <w:top w:val="none" w:sz="0" w:space="0" w:color="auto"/>
        <w:left w:val="none" w:sz="0" w:space="0" w:color="auto"/>
        <w:bottom w:val="none" w:sz="0" w:space="0" w:color="auto"/>
        <w:right w:val="none" w:sz="0" w:space="0" w:color="auto"/>
      </w:divBdr>
    </w:div>
    <w:div w:id="1641881971">
      <w:bodyDiv w:val="1"/>
      <w:marLeft w:val="0"/>
      <w:marRight w:val="0"/>
      <w:marTop w:val="0"/>
      <w:marBottom w:val="0"/>
      <w:divBdr>
        <w:top w:val="none" w:sz="0" w:space="0" w:color="auto"/>
        <w:left w:val="none" w:sz="0" w:space="0" w:color="auto"/>
        <w:bottom w:val="none" w:sz="0" w:space="0" w:color="auto"/>
        <w:right w:val="none" w:sz="0" w:space="0" w:color="auto"/>
      </w:divBdr>
    </w:div>
    <w:div w:id="1653287625">
      <w:bodyDiv w:val="1"/>
      <w:marLeft w:val="0"/>
      <w:marRight w:val="0"/>
      <w:marTop w:val="0"/>
      <w:marBottom w:val="0"/>
      <w:divBdr>
        <w:top w:val="none" w:sz="0" w:space="0" w:color="auto"/>
        <w:left w:val="none" w:sz="0" w:space="0" w:color="auto"/>
        <w:bottom w:val="none" w:sz="0" w:space="0" w:color="auto"/>
        <w:right w:val="none" w:sz="0" w:space="0" w:color="auto"/>
      </w:divBdr>
    </w:div>
    <w:div w:id="1672021840">
      <w:bodyDiv w:val="1"/>
      <w:marLeft w:val="0"/>
      <w:marRight w:val="0"/>
      <w:marTop w:val="0"/>
      <w:marBottom w:val="0"/>
      <w:divBdr>
        <w:top w:val="none" w:sz="0" w:space="0" w:color="auto"/>
        <w:left w:val="none" w:sz="0" w:space="0" w:color="auto"/>
        <w:bottom w:val="none" w:sz="0" w:space="0" w:color="auto"/>
        <w:right w:val="none" w:sz="0" w:space="0" w:color="auto"/>
      </w:divBdr>
    </w:div>
    <w:div w:id="1677268668">
      <w:bodyDiv w:val="1"/>
      <w:marLeft w:val="0"/>
      <w:marRight w:val="0"/>
      <w:marTop w:val="0"/>
      <w:marBottom w:val="0"/>
      <w:divBdr>
        <w:top w:val="none" w:sz="0" w:space="0" w:color="auto"/>
        <w:left w:val="none" w:sz="0" w:space="0" w:color="auto"/>
        <w:bottom w:val="none" w:sz="0" w:space="0" w:color="auto"/>
        <w:right w:val="none" w:sz="0" w:space="0" w:color="auto"/>
      </w:divBdr>
    </w:div>
    <w:div w:id="1694839396">
      <w:bodyDiv w:val="1"/>
      <w:marLeft w:val="0"/>
      <w:marRight w:val="0"/>
      <w:marTop w:val="0"/>
      <w:marBottom w:val="0"/>
      <w:divBdr>
        <w:top w:val="none" w:sz="0" w:space="0" w:color="auto"/>
        <w:left w:val="none" w:sz="0" w:space="0" w:color="auto"/>
        <w:bottom w:val="none" w:sz="0" w:space="0" w:color="auto"/>
        <w:right w:val="none" w:sz="0" w:space="0" w:color="auto"/>
      </w:divBdr>
    </w:div>
    <w:div w:id="1698004521">
      <w:bodyDiv w:val="1"/>
      <w:marLeft w:val="0"/>
      <w:marRight w:val="0"/>
      <w:marTop w:val="0"/>
      <w:marBottom w:val="0"/>
      <w:divBdr>
        <w:top w:val="none" w:sz="0" w:space="0" w:color="auto"/>
        <w:left w:val="none" w:sz="0" w:space="0" w:color="auto"/>
        <w:bottom w:val="none" w:sz="0" w:space="0" w:color="auto"/>
        <w:right w:val="none" w:sz="0" w:space="0" w:color="auto"/>
      </w:divBdr>
    </w:div>
    <w:div w:id="1712995070">
      <w:bodyDiv w:val="1"/>
      <w:marLeft w:val="0"/>
      <w:marRight w:val="0"/>
      <w:marTop w:val="0"/>
      <w:marBottom w:val="0"/>
      <w:divBdr>
        <w:top w:val="none" w:sz="0" w:space="0" w:color="auto"/>
        <w:left w:val="none" w:sz="0" w:space="0" w:color="auto"/>
        <w:bottom w:val="none" w:sz="0" w:space="0" w:color="auto"/>
        <w:right w:val="none" w:sz="0" w:space="0" w:color="auto"/>
      </w:divBdr>
      <w:divsChild>
        <w:div w:id="1104152806">
          <w:marLeft w:val="0"/>
          <w:marRight w:val="0"/>
          <w:marTop w:val="0"/>
          <w:marBottom w:val="0"/>
          <w:divBdr>
            <w:top w:val="none" w:sz="0" w:space="0" w:color="auto"/>
            <w:left w:val="none" w:sz="0" w:space="0" w:color="auto"/>
            <w:bottom w:val="none" w:sz="0" w:space="0" w:color="auto"/>
            <w:right w:val="none" w:sz="0" w:space="0" w:color="auto"/>
          </w:divBdr>
          <w:divsChild>
            <w:div w:id="971910082">
              <w:marLeft w:val="0"/>
              <w:marRight w:val="0"/>
              <w:marTop w:val="0"/>
              <w:marBottom w:val="0"/>
              <w:divBdr>
                <w:top w:val="none" w:sz="0" w:space="0" w:color="auto"/>
                <w:left w:val="none" w:sz="0" w:space="0" w:color="auto"/>
                <w:bottom w:val="none" w:sz="0" w:space="0" w:color="auto"/>
                <w:right w:val="none" w:sz="0" w:space="0" w:color="auto"/>
              </w:divBdr>
              <w:divsChild>
                <w:div w:id="1300261737">
                  <w:marLeft w:val="0"/>
                  <w:marRight w:val="0"/>
                  <w:marTop w:val="0"/>
                  <w:marBottom w:val="0"/>
                  <w:divBdr>
                    <w:top w:val="none" w:sz="0" w:space="0" w:color="auto"/>
                    <w:left w:val="none" w:sz="0" w:space="0" w:color="auto"/>
                    <w:bottom w:val="none" w:sz="0" w:space="0" w:color="auto"/>
                    <w:right w:val="none" w:sz="0" w:space="0" w:color="auto"/>
                  </w:divBdr>
                  <w:divsChild>
                    <w:div w:id="1067068568">
                      <w:marLeft w:val="150"/>
                      <w:marRight w:val="150"/>
                      <w:marTop w:val="0"/>
                      <w:marBottom w:val="0"/>
                      <w:divBdr>
                        <w:top w:val="none" w:sz="0" w:space="0" w:color="auto"/>
                        <w:left w:val="none" w:sz="0" w:space="0" w:color="auto"/>
                        <w:bottom w:val="none" w:sz="0" w:space="0" w:color="auto"/>
                        <w:right w:val="none" w:sz="0" w:space="0" w:color="auto"/>
                      </w:divBdr>
                      <w:divsChild>
                        <w:div w:id="346255560">
                          <w:marLeft w:val="0"/>
                          <w:marRight w:val="0"/>
                          <w:marTop w:val="0"/>
                          <w:marBottom w:val="0"/>
                          <w:divBdr>
                            <w:top w:val="none" w:sz="0" w:space="0" w:color="auto"/>
                            <w:left w:val="none" w:sz="0" w:space="0" w:color="auto"/>
                            <w:bottom w:val="none" w:sz="0" w:space="0" w:color="auto"/>
                            <w:right w:val="none" w:sz="0" w:space="0" w:color="auto"/>
                          </w:divBdr>
                          <w:divsChild>
                            <w:div w:id="627471849">
                              <w:marLeft w:val="0"/>
                              <w:marRight w:val="0"/>
                              <w:marTop w:val="0"/>
                              <w:marBottom w:val="0"/>
                              <w:divBdr>
                                <w:top w:val="none" w:sz="0" w:space="0" w:color="auto"/>
                                <w:left w:val="none" w:sz="0" w:space="0" w:color="auto"/>
                                <w:bottom w:val="none" w:sz="0" w:space="0" w:color="auto"/>
                                <w:right w:val="none" w:sz="0" w:space="0" w:color="auto"/>
                              </w:divBdr>
                              <w:divsChild>
                                <w:div w:id="413623814">
                                  <w:marLeft w:val="0"/>
                                  <w:marRight w:val="0"/>
                                  <w:marTop w:val="0"/>
                                  <w:marBottom w:val="0"/>
                                  <w:divBdr>
                                    <w:top w:val="none" w:sz="0" w:space="0" w:color="auto"/>
                                    <w:left w:val="none" w:sz="0" w:space="0" w:color="auto"/>
                                    <w:bottom w:val="none" w:sz="0" w:space="0" w:color="auto"/>
                                    <w:right w:val="none" w:sz="0" w:space="0" w:color="auto"/>
                                  </w:divBdr>
                                  <w:divsChild>
                                    <w:div w:id="1436438394">
                                      <w:marLeft w:val="0"/>
                                      <w:marRight w:val="0"/>
                                      <w:marTop w:val="0"/>
                                      <w:marBottom w:val="0"/>
                                      <w:divBdr>
                                        <w:top w:val="none" w:sz="0" w:space="0" w:color="auto"/>
                                        <w:left w:val="none" w:sz="0" w:space="0" w:color="auto"/>
                                        <w:bottom w:val="none" w:sz="0" w:space="0" w:color="auto"/>
                                        <w:right w:val="none" w:sz="0" w:space="0" w:color="auto"/>
                                      </w:divBdr>
                                      <w:divsChild>
                                        <w:div w:id="345251818">
                                          <w:marLeft w:val="0"/>
                                          <w:marRight w:val="0"/>
                                          <w:marTop w:val="0"/>
                                          <w:marBottom w:val="0"/>
                                          <w:divBdr>
                                            <w:top w:val="none" w:sz="0" w:space="0" w:color="auto"/>
                                            <w:left w:val="none" w:sz="0" w:space="0" w:color="auto"/>
                                            <w:bottom w:val="none" w:sz="0" w:space="0" w:color="auto"/>
                                            <w:right w:val="none" w:sz="0" w:space="0" w:color="auto"/>
                                          </w:divBdr>
                                          <w:divsChild>
                                            <w:div w:id="20426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41291661">
      <w:bodyDiv w:val="1"/>
      <w:marLeft w:val="0"/>
      <w:marRight w:val="0"/>
      <w:marTop w:val="0"/>
      <w:marBottom w:val="0"/>
      <w:divBdr>
        <w:top w:val="none" w:sz="0" w:space="0" w:color="auto"/>
        <w:left w:val="none" w:sz="0" w:space="0" w:color="auto"/>
        <w:bottom w:val="none" w:sz="0" w:space="0" w:color="auto"/>
        <w:right w:val="none" w:sz="0" w:space="0" w:color="auto"/>
      </w:divBdr>
    </w:div>
    <w:div w:id="1751658941">
      <w:bodyDiv w:val="1"/>
      <w:marLeft w:val="0"/>
      <w:marRight w:val="0"/>
      <w:marTop w:val="0"/>
      <w:marBottom w:val="0"/>
      <w:divBdr>
        <w:top w:val="none" w:sz="0" w:space="0" w:color="auto"/>
        <w:left w:val="none" w:sz="0" w:space="0" w:color="auto"/>
        <w:bottom w:val="none" w:sz="0" w:space="0" w:color="auto"/>
        <w:right w:val="none" w:sz="0" w:space="0" w:color="auto"/>
      </w:divBdr>
    </w:div>
    <w:div w:id="1753576699">
      <w:bodyDiv w:val="1"/>
      <w:marLeft w:val="0"/>
      <w:marRight w:val="0"/>
      <w:marTop w:val="0"/>
      <w:marBottom w:val="0"/>
      <w:divBdr>
        <w:top w:val="none" w:sz="0" w:space="0" w:color="auto"/>
        <w:left w:val="none" w:sz="0" w:space="0" w:color="auto"/>
        <w:bottom w:val="none" w:sz="0" w:space="0" w:color="auto"/>
        <w:right w:val="none" w:sz="0" w:space="0" w:color="auto"/>
      </w:divBdr>
    </w:div>
    <w:div w:id="1766609093">
      <w:bodyDiv w:val="1"/>
      <w:marLeft w:val="0"/>
      <w:marRight w:val="0"/>
      <w:marTop w:val="0"/>
      <w:marBottom w:val="0"/>
      <w:divBdr>
        <w:top w:val="none" w:sz="0" w:space="0" w:color="auto"/>
        <w:left w:val="none" w:sz="0" w:space="0" w:color="auto"/>
        <w:bottom w:val="none" w:sz="0" w:space="0" w:color="auto"/>
        <w:right w:val="none" w:sz="0" w:space="0" w:color="auto"/>
      </w:divBdr>
      <w:divsChild>
        <w:div w:id="692390101">
          <w:marLeft w:val="0"/>
          <w:marRight w:val="0"/>
          <w:marTop w:val="0"/>
          <w:marBottom w:val="0"/>
          <w:divBdr>
            <w:top w:val="none" w:sz="0" w:space="0" w:color="auto"/>
            <w:left w:val="none" w:sz="0" w:space="0" w:color="auto"/>
            <w:bottom w:val="none" w:sz="0" w:space="0" w:color="auto"/>
            <w:right w:val="none" w:sz="0" w:space="0" w:color="auto"/>
          </w:divBdr>
        </w:div>
        <w:div w:id="931817978">
          <w:marLeft w:val="0"/>
          <w:marRight w:val="0"/>
          <w:marTop w:val="0"/>
          <w:marBottom w:val="0"/>
          <w:divBdr>
            <w:top w:val="none" w:sz="0" w:space="0" w:color="auto"/>
            <w:left w:val="none" w:sz="0" w:space="0" w:color="auto"/>
            <w:bottom w:val="none" w:sz="0" w:space="0" w:color="auto"/>
            <w:right w:val="none" w:sz="0" w:space="0" w:color="auto"/>
          </w:divBdr>
        </w:div>
        <w:div w:id="1319766576">
          <w:marLeft w:val="0"/>
          <w:marRight w:val="0"/>
          <w:marTop w:val="0"/>
          <w:marBottom w:val="0"/>
          <w:divBdr>
            <w:top w:val="none" w:sz="0" w:space="0" w:color="auto"/>
            <w:left w:val="none" w:sz="0" w:space="0" w:color="auto"/>
            <w:bottom w:val="none" w:sz="0" w:space="0" w:color="auto"/>
            <w:right w:val="none" w:sz="0" w:space="0" w:color="auto"/>
          </w:divBdr>
        </w:div>
        <w:div w:id="1379474179">
          <w:marLeft w:val="0"/>
          <w:marRight w:val="0"/>
          <w:marTop w:val="0"/>
          <w:marBottom w:val="0"/>
          <w:divBdr>
            <w:top w:val="none" w:sz="0" w:space="0" w:color="auto"/>
            <w:left w:val="none" w:sz="0" w:space="0" w:color="auto"/>
            <w:bottom w:val="none" w:sz="0" w:space="0" w:color="auto"/>
            <w:right w:val="none" w:sz="0" w:space="0" w:color="auto"/>
          </w:divBdr>
        </w:div>
        <w:div w:id="1664241301">
          <w:marLeft w:val="0"/>
          <w:marRight w:val="0"/>
          <w:marTop w:val="0"/>
          <w:marBottom w:val="0"/>
          <w:divBdr>
            <w:top w:val="none" w:sz="0" w:space="0" w:color="auto"/>
            <w:left w:val="none" w:sz="0" w:space="0" w:color="auto"/>
            <w:bottom w:val="none" w:sz="0" w:space="0" w:color="auto"/>
            <w:right w:val="none" w:sz="0" w:space="0" w:color="auto"/>
          </w:divBdr>
        </w:div>
      </w:divsChild>
    </w:div>
    <w:div w:id="1790777974">
      <w:bodyDiv w:val="1"/>
      <w:marLeft w:val="0"/>
      <w:marRight w:val="0"/>
      <w:marTop w:val="0"/>
      <w:marBottom w:val="0"/>
      <w:divBdr>
        <w:top w:val="none" w:sz="0" w:space="0" w:color="auto"/>
        <w:left w:val="none" w:sz="0" w:space="0" w:color="auto"/>
        <w:bottom w:val="none" w:sz="0" w:space="0" w:color="auto"/>
        <w:right w:val="none" w:sz="0" w:space="0" w:color="auto"/>
      </w:divBdr>
      <w:divsChild>
        <w:div w:id="1706129636">
          <w:marLeft w:val="0"/>
          <w:marRight w:val="0"/>
          <w:marTop w:val="0"/>
          <w:marBottom w:val="0"/>
          <w:divBdr>
            <w:top w:val="none" w:sz="0" w:space="0" w:color="auto"/>
            <w:left w:val="none" w:sz="0" w:space="0" w:color="auto"/>
            <w:bottom w:val="none" w:sz="0" w:space="0" w:color="auto"/>
            <w:right w:val="none" w:sz="0" w:space="0" w:color="auto"/>
          </w:divBdr>
          <w:divsChild>
            <w:div w:id="1665040035">
              <w:marLeft w:val="-225"/>
              <w:marRight w:val="-225"/>
              <w:marTop w:val="0"/>
              <w:marBottom w:val="0"/>
              <w:divBdr>
                <w:top w:val="none" w:sz="0" w:space="0" w:color="auto"/>
                <w:left w:val="none" w:sz="0" w:space="0" w:color="auto"/>
                <w:bottom w:val="none" w:sz="0" w:space="0" w:color="auto"/>
                <w:right w:val="none" w:sz="0" w:space="0" w:color="auto"/>
              </w:divBdr>
              <w:divsChild>
                <w:div w:id="1936400846">
                  <w:marLeft w:val="0"/>
                  <w:marRight w:val="0"/>
                  <w:marTop w:val="0"/>
                  <w:marBottom w:val="0"/>
                  <w:divBdr>
                    <w:top w:val="none" w:sz="0" w:space="0" w:color="auto"/>
                    <w:left w:val="none" w:sz="0" w:space="0" w:color="auto"/>
                    <w:bottom w:val="none" w:sz="0" w:space="0" w:color="auto"/>
                    <w:right w:val="none" w:sz="0" w:space="0" w:color="auto"/>
                  </w:divBdr>
                  <w:divsChild>
                    <w:div w:id="290868162">
                      <w:marLeft w:val="0"/>
                      <w:marRight w:val="0"/>
                      <w:marTop w:val="0"/>
                      <w:marBottom w:val="225"/>
                      <w:divBdr>
                        <w:top w:val="none" w:sz="0" w:space="0" w:color="auto"/>
                        <w:left w:val="none" w:sz="0" w:space="0" w:color="auto"/>
                        <w:bottom w:val="none" w:sz="0" w:space="0" w:color="auto"/>
                        <w:right w:val="none" w:sz="0" w:space="0" w:color="auto"/>
                      </w:divBdr>
                      <w:divsChild>
                        <w:div w:id="1634603410">
                          <w:marLeft w:val="0"/>
                          <w:marRight w:val="0"/>
                          <w:marTop w:val="0"/>
                          <w:marBottom w:val="0"/>
                          <w:divBdr>
                            <w:top w:val="none" w:sz="0" w:space="0" w:color="auto"/>
                            <w:left w:val="none" w:sz="0" w:space="0" w:color="auto"/>
                            <w:bottom w:val="none" w:sz="0" w:space="0" w:color="auto"/>
                            <w:right w:val="none" w:sz="0" w:space="0" w:color="auto"/>
                          </w:divBdr>
                          <w:divsChild>
                            <w:div w:id="1980914003">
                              <w:marLeft w:val="0"/>
                              <w:marRight w:val="0"/>
                              <w:marTop w:val="0"/>
                              <w:marBottom w:val="0"/>
                              <w:divBdr>
                                <w:top w:val="none" w:sz="0" w:space="0" w:color="auto"/>
                                <w:left w:val="none" w:sz="0" w:space="0" w:color="auto"/>
                                <w:bottom w:val="none" w:sz="0" w:space="0" w:color="auto"/>
                                <w:right w:val="none" w:sz="0" w:space="0" w:color="auto"/>
                              </w:divBdr>
                              <w:divsChild>
                                <w:div w:id="442308713">
                                  <w:marLeft w:val="0"/>
                                  <w:marRight w:val="0"/>
                                  <w:marTop w:val="0"/>
                                  <w:marBottom w:val="0"/>
                                  <w:divBdr>
                                    <w:top w:val="none" w:sz="0" w:space="0" w:color="auto"/>
                                    <w:left w:val="none" w:sz="0" w:space="0" w:color="auto"/>
                                    <w:bottom w:val="none" w:sz="0" w:space="0" w:color="auto"/>
                                    <w:right w:val="none" w:sz="0" w:space="0" w:color="auto"/>
                                  </w:divBdr>
                                  <w:divsChild>
                                    <w:div w:id="499854453">
                                      <w:marLeft w:val="0"/>
                                      <w:marRight w:val="0"/>
                                      <w:marTop w:val="0"/>
                                      <w:marBottom w:val="0"/>
                                      <w:divBdr>
                                        <w:top w:val="none" w:sz="0" w:space="0" w:color="auto"/>
                                        <w:left w:val="none" w:sz="0" w:space="0" w:color="auto"/>
                                        <w:bottom w:val="none" w:sz="0" w:space="0" w:color="auto"/>
                                        <w:right w:val="none" w:sz="0" w:space="0" w:color="auto"/>
                                      </w:divBdr>
                                      <w:divsChild>
                                        <w:div w:id="948312627">
                                          <w:marLeft w:val="0"/>
                                          <w:marRight w:val="0"/>
                                          <w:marTop w:val="0"/>
                                          <w:marBottom w:val="0"/>
                                          <w:divBdr>
                                            <w:top w:val="none" w:sz="0" w:space="0" w:color="auto"/>
                                            <w:left w:val="none" w:sz="0" w:space="0" w:color="auto"/>
                                            <w:bottom w:val="none" w:sz="0" w:space="0" w:color="auto"/>
                                            <w:right w:val="none" w:sz="0" w:space="0" w:color="auto"/>
                                          </w:divBdr>
                                          <w:divsChild>
                                            <w:div w:id="607929881">
                                              <w:marLeft w:val="0"/>
                                              <w:marRight w:val="0"/>
                                              <w:marTop w:val="0"/>
                                              <w:marBottom w:val="0"/>
                                              <w:divBdr>
                                                <w:top w:val="none" w:sz="0" w:space="0" w:color="auto"/>
                                                <w:left w:val="none" w:sz="0" w:space="0" w:color="auto"/>
                                                <w:bottom w:val="none" w:sz="0" w:space="0" w:color="auto"/>
                                                <w:right w:val="none" w:sz="0" w:space="0" w:color="auto"/>
                                              </w:divBdr>
                                              <w:divsChild>
                                                <w:div w:id="1239553820">
                                                  <w:marLeft w:val="0"/>
                                                  <w:marRight w:val="0"/>
                                                  <w:marTop w:val="0"/>
                                                  <w:marBottom w:val="0"/>
                                                  <w:divBdr>
                                                    <w:top w:val="none" w:sz="0" w:space="0" w:color="auto"/>
                                                    <w:left w:val="none" w:sz="0" w:space="0" w:color="auto"/>
                                                    <w:bottom w:val="none" w:sz="0" w:space="0" w:color="auto"/>
                                                    <w:right w:val="none" w:sz="0" w:space="0" w:color="auto"/>
                                                  </w:divBdr>
                                                  <w:divsChild>
                                                    <w:div w:id="173778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93090160">
      <w:bodyDiv w:val="1"/>
      <w:marLeft w:val="0"/>
      <w:marRight w:val="0"/>
      <w:marTop w:val="0"/>
      <w:marBottom w:val="0"/>
      <w:divBdr>
        <w:top w:val="none" w:sz="0" w:space="0" w:color="auto"/>
        <w:left w:val="none" w:sz="0" w:space="0" w:color="auto"/>
        <w:bottom w:val="none" w:sz="0" w:space="0" w:color="auto"/>
        <w:right w:val="none" w:sz="0" w:space="0" w:color="auto"/>
      </w:divBdr>
      <w:divsChild>
        <w:div w:id="1307052702">
          <w:marLeft w:val="0"/>
          <w:marRight w:val="0"/>
          <w:marTop w:val="0"/>
          <w:marBottom w:val="0"/>
          <w:divBdr>
            <w:top w:val="none" w:sz="0" w:space="0" w:color="auto"/>
            <w:left w:val="none" w:sz="0" w:space="0" w:color="auto"/>
            <w:bottom w:val="none" w:sz="0" w:space="0" w:color="auto"/>
            <w:right w:val="none" w:sz="0" w:space="0" w:color="auto"/>
          </w:divBdr>
          <w:divsChild>
            <w:div w:id="49496214">
              <w:marLeft w:val="0"/>
              <w:marRight w:val="0"/>
              <w:marTop w:val="0"/>
              <w:marBottom w:val="0"/>
              <w:divBdr>
                <w:top w:val="none" w:sz="0" w:space="0" w:color="auto"/>
                <w:left w:val="none" w:sz="0" w:space="0" w:color="auto"/>
                <w:bottom w:val="none" w:sz="0" w:space="0" w:color="auto"/>
                <w:right w:val="none" w:sz="0" w:space="0" w:color="auto"/>
              </w:divBdr>
              <w:divsChild>
                <w:div w:id="587928797">
                  <w:marLeft w:val="0"/>
                  <w:marRight w:val="0"/>
                  <w:marTop w:val="0"/>
                  <w:marBottom w:val="0"/>
                  <w:divBdr>
                    <w:top w:val="none" w:sz="0" w:space="0" w:color="auto"/>
                    <w:left w:val="none" w:sz="0" w:space="0" w:color="auto"/>
                    <w:bottom w:val="none" w:sz="0" w:space="0" w:color="auto"/>
                    <w:right w:val="none" w:sz="0" w:space="0" w:color="auto"/>
                  </w:divBdr>
                  <w:divsChild>
                    <w:div w:id="862323219">
                      <w:marLeft w:val="150"/>
                      <w:marRight w:val="150"/>
                      <w:marTop w:val="0"/>
                      <w:marBottom w:val="0"/>
                      <w:divBdr>
                        <w:top w:val="none" w:sz="0" w:space="0" w:color="auto"/>
                        <w:left w:val="none" w:sz="0" w:space="0" w:color="auto"/>
                        <w:bottom w:val="none" w:sz="0" w:space="0" w:color="auto"/>
                        <w:right w:val="none" w:sz="0" w:space="0" w:color="auto"/>
                      </w:divBdr>
                      <w:divsChild>
                        <w:div w:id="167671871">
                          <w:marLeft w:val="0"/>
                          <w:marRight w:val="0"/>
                          <w:marTop w:val="0"/>
                          <w:marBottom w:val="0"/>
                          <w:divBdr>
                            <w:top w:val="none" w:sz="0" w:space="0" w:color="auto"/>
                            <w:left w:val="none" w:sz="0" w:space="0" w:color="auto"/>
                            <w:bottom w:val="none" w:sz="0" w:space="0" w:color="auto"/>
                            <w:right w:val="none" w:sz="0" w:space="0" w:color="auto"/>
                          </w:divBdr>
                          <w:divsChild>
                            <w:div w:id="1598514116">
                              <w:marLeft w:val="0"/>
                              <w:marRight w:val="0"/>
                              <w:marTop w:val="0"/>
                              <w:marBottom w:val="0"/>
                              <w:divBdr>
                                <w:top w:val="none" w:sz="0" w:space="0" w:color="auto"/>
                                <w:left w:val="none" w:sz="0" w:space="0" w:color="auto"/>
                                <w:bottom w:val="none" w:sz="0" w:space="0" w:color="auto"/>
                                <w:right w:val="none" w:sz="0" w:space="0" w:color="auto"/>
                              </w:divBdr>
                              <w:divsChild>
                                <w:div w:id="1683969152">
                                  <w:marLeft w:val="0"/>
                                  <w:marRight w:val="0"/>
                                  <w:marTop w:val="0"/>
                                  <w:marBottom w:val="0"/>
                                  <w:divBdr>
                                    <w:top w:val="none" w:sz="0" w:space="0" w:color="auto"/>
                                    <w:left w:val="none" w:sz="0" w:space="0" w:color="auto"/>
                                    <w:bottom w:val="none" w:sz="0" w:space="0" w:color="auto"/>
                                    <w:right w:val="none" w:sz="0" w:space="0" w:color="auto"/>
                                  </w:divBdr>
                                  <w:divsChild>
                                    <w:div w:id="1145976872">
                                      <w:marLeft w:val="0"/>
                                      <w:marRight w:val="0"/>
                                      <w:marTop w:val="0"/>
                                      <w:marBottom w:val="0"/>
                                      <w:divBdr>
                                        <w:top w:val="none" w:sz="0" w:space="0" w:color="auto"/>
                                        <w:left w:val="none" w:sz="0" w:space="0" w:color="auto"/>
                                        <w:bottom w:val="none" w:sz="0" w:space="0" w:color="auto"/>
                                        <w:right w:val="none" w:sz="0" w:space="0" w:color="auto"/>
                                      </w:divBdr>
                                      <w:divsChild>
                                        <w:div w:id="1539389028">
                                          <w:marLeft w:val="0"/>
                                          <w:marRight w:val="0"/>
                                          <w:marTop w:val="0"/>
                                          <w:marBottom w:val="0"/>
                                          <w:divBdr>
                                            <w:top w:val="none" w:sz="0" w:space="0" w:color="auto"/>
                                            <w:left w:val="none" w:sz="0" w:space="0" w:color="auto"/>
                                            <w:bottom w:val="none" w:sz="0" w:space="0" w:color="auto"/>
                                            <w:right w:val="none" w:sz="0" w:space="0" w:color="auto"/>
                                          </w:divBdr>
                                          <w:divsChild>
                                            <w:div w:id="425536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02504407">
      <w:bodyDiv w:val="1"/>
      <w:marLeft w:val="0"/>
      <w:marRight w:val="0"/>
      <w:marTop w:val="0"/>
      <w:marBottom w:val="0"/>
      <w:divBdr>
        <w:top w:val="none" w:sz="0" w:space="0" w:color="auto"/>
        <w:left w:val="none" w:sz="0" w:space="0" w:color="auto"/>
        <w:bottom w:val="none" w:sz="0" w:space="0" w:color="auto"/>
        <w:right w:val="none" w:sz="0" w:space="0" w:color="auto"/>
      </w:divBdr>
    </w:div>
    <w:div w:id="1808204735">
      <w:bodyDiv w:val="1"/>
      <w:marLeft w:val="0"/>
      <w:marRight w:val="0"/>
      <w:marTop w:val="0"/>
      <w:marBottom w:val="0"/>
      <w:divBdr>
        <w:top w:val="none" w:sz="0" w:space="0" w:color="auto"/>
        <w:left w:val="none" w:sz="0" w:space="0" w:color="auto"/>
        <w:bottom w:val="none" w:sz="0" w:space="0" w:color="auto"/>
        <w:right w:val="none" w:sz="0" w:space="0" w:color="auto"/>
      </w:divBdr>
    </w:div>
    <w:div w:id="1821075435">
      <w:bodyDiv w:val="1"/>
      <w:marLeft w:val="0"/>
      <w:marRight w:val="0"/>
      <w:marTop w:val="0"/>
      <w:marBottom w:val="0"/>
      <w:divBdr>
        <w:top w:val="none" w:sz="0" w:space="0" w:color="auto"/>
        <w:left w:val="none" w:sz="0" w:space="0" w:color="auto"/>
        <w:bottom w:val="none" w:sz="0" w:space="0" w:color="auto"/>
        <w:right w:val="none" w:sz="0" w:space="0" w:color="auto"/>
      </w:divBdr>
    </w:div>
    <w:div w:id="1831746330">
      <w:bodyDiv w:val="1"/>
      <w:marLeft w:val="0"/>
      <w:marRight w:val="0"/>
      <w:marTop w:val="0"/>
      <w:marBottom w:val="0"/>
      <w:divBdr>
        <w:top w:val="none" w:sz="0" w:space="0" w:color="auto"/>
        <w:left w:val="none" w:sz="0" w:space="0" w:color="auto"/>
        <w:bottom w:val="none" w:sz="0" w:space="0" w:color="auto"/>
        <w:right w:val="none" w:sz="0" w:space="0" w:color="auto"/>
      </w:divBdr>
    </w:div>
    <w:div w:id="1836804270">
      <w:bodyDiv w:val="1"/>
      <w:marLeft w:val="0"/>
      <w:marRight w:val="0"/>
      <w:marTop w:val="0"/>
      <w:marBottom w:val="0"/>
      <w:divBdr>
        <w:top w:val="none" w:sz="0" w:space="0" w:color="auto"/>
        <w:left w:val="none" w:sz="0" w:space="0" w:color="auto"/>
        <w:bottom w:val="none" w:sz="0" w:space="0" w:color="auto"/>
        <w:right w:val="none" w:sz="0" w:space="0" w:color="auto"/>
      </w:divBdr>
    </w:div>
    <w:div w:id="1841967774">
      <w:bodyDiv w:val="1"/>
      <w:marLeft w:val="0"/>
      <w:marRight w:val="0"/>
      <w:marTop w:val="0"/>
      <w:marBottom w:val="0"/>
      <w:divBdr>
        <w:top w:val="none" w:sz="0" w:space="0" w:color="auto"/>
        <w:left w:val="none" w:sz="0" w:space="0" w:color="auto"/>
        <w:bottom w:val="none" w:sz="0" w:space="0" w:color="auto"/>
        <w:right w:val="none" w:sz="0" w:space="0" w:color="auto"/>
      </w:divBdr>
    </w:div>
    <w:div w:id="1861158745">
      <w:bodyDiv w:val="1"/>
      <w:marLeft w:val="0"/>
      <w:marRight w:val="0"/>
      <w:marTop w:val="0"/>
      <w:marBottom w:val="0"/>
      <w:divBdr>
        <w:top w:val="none" w:sz="0" w:space="0" w:color="auto"/>
        <w:left w:val="none" w:sz="0" w:space="0" w:color="auto"/>
        <w:bottom w:val="none" w:sz="0" w:space="0" w:color="auto"/>
        <w:right w:val="none" w:sz="0" w:space="0" w:color="auto"/>
      </w:divBdr>
    </w:div>
    <w:div w:id="1871183888">
      <w:bodyDiv w:val="1"/>
      <w:marLeft w:val="0"/>
      <w:marRight w:val="0"/>
      <w:marTop w:val="0"/>
      <w:marBottom w:val="0"/>
      <w:divBdr>
        <w:top w:val="none" w:sz="0" w:space="0" w:color="auto"/>
        <w:left w:val="none" w:sz="0" w:space="0" w:color="auto"/>
        <w:bottom w:val="none" w:sz="0" w:space="0" w:color="auto"/>
        <w:right w:val="none" w:sz="0" w:space="0" w:color="auto"/>
      </w:divBdr>
    </w:div>
    <w:div w:id="1877620352">
      <w:bodyDiv w:val="1"/>
      <w:marLeft w:val="0"/>
      <w:marRight w:val="0"/>
      <w:marTop w:val="0"/>
      <w:marBottom w:val="0"/>
      <w:divBdr>
        <w:top w:val="none" w:sz="0" w:space="0" w:color="auto"/>
        <w:left w:val="none" w:sz="0" w:space="0" w:color="auto"/>
        <w:bottom w:val="none" w:sz="0" w:space="0" w:color="auto"/>
        <w:right w:val="none" w:sz="0" w:space="0" w:color="auto"/>
      </w:divBdr>
    </w:div>
    <w:div w:id="1894803712">
      <w:bodyDiv w:val="1"/>
      <w:marLeft w:val="0"/>
      <w:marRight w:val="0"/>
      <w:marTop w:val="0"/>
      <w:marBottom w:val="0"/>
      <w:divBdr>
        <w:top w:val="none" w:sz="0" w:space="0" w:color="auto"/>
        <w:left w:val="none" w:sz="0" w:space="0" w:color="auto"/>
        <w:bottom w:val="none" w:sz="0" w:space="0" w:color="auto"/>
        <w:right w:val="none" w:sz="0" w:space="0" w:color="auto"/>
      </w:divBdr>
      <w:divsChild>
        <w:div w:id="1018774612">
          <w:marLeft w:val="0"/>
          <w:marRight w:val="0"/>
          <w:marTop w:val="0"/>
          <w:marBottom w:val="0"/>
          <w:divBdr>
            <w:top w:val="none" w:sz="0" w:space="0" w:color="auto"/>
            <w:left w:val="none" w:sz="0" w:space="0" w:color="auto"/>
            <w:bottom w:val="none" w:sz="0" w:space="0" w:color="auto"/>
            <w:right w:val="none" w:sz="0" w:space="0" w:color="auto"/>
          </w:divBdr>
          <w:divsChild>
            <w:div w:id="521435453">
              <w:marLeft w:val="0"/>
              <w:marRight w:val="0"/>
              <w:marTop w:val="0"/>
              <w:marBottom w:val="0"/>
              <w:divBdr>
                <w:top w:val="none" w:sz="0" w:space="0" w:color="auto"/>
                <w:left w:val="none" w:sz="0" w:space="0" w:color="auto"/>
                <w:bottom w:val="none" w:sz="0" w:space="0" w:color="auto"/>
                <w:right w:val="none" w:sz="0" w:space="0" w:color="auto"/>
              </w:divBdr>
              <w:divsChild>
                <w:div w:id="1993757225">
                  <w:marLeft w:val="0"/>
                  <w:marRight w:val="0"/>
                  <w:marTop w:val="0"/>
                  <w:marBottom w:val="0"/>
                  <w:divBdr>
                    <w:top w:val="none" w:sz="0" w:space="0" w:color="auto"/>
                    <w:left w:val="none" w:sz="0" w:space="0" w:color="auto"/>
                    <w:bottom w:val="none" w:sz="0" w:space="0" w:color="auto"/>
                    <w:right w:val="none" w:sz="0" w:space="0" w:color="auto"/>
                  </w:divBdr>
                  <w:divsChild>
                    <w:div w:id="346367325">
                      <w:marLeft w:val="150"/>
                      <w:marRight w:val="150"/>
                      <w:marTop w:val="0"/>
                      <w:marBottom w:val="0"/>
                      <w:divBdr>
                        <w:top w:val="none" w:sz="0" w:space="0" w:color="auto"/>
                        <w:left w:val="none" w:sz="0" w:space="0" w:color="auto"/>
                        <w:bottom w:val="none" w:sz="0" w:space="0" w:color="auto"/>
                        <w:right w:val="none" w:sz="0" w:space="0" w:color="auto"/>
                      </w:divBdr>
                      <w:divsChild>
                        <w:div w:id="247467003">
                          <w:marLeft w:val="0"/>
                          <w:marRight w:val="0"/>
                          <w:marTop w:val="0"/>
                          <w:marBottom w:val="0"/>
                          <w:divBdr>
                            <w:top w:val="none" w:sz="0" w:space="0" w:color="auto"/>
                            <w:left w:val="none" w:sz="0" w:space="0" w:color="auto"/>
                            <w:bottom w:val="none" w:sz="0" w:space="0" w:color="auto"/>
                            <w:right w:val="none" w:sz="0" w:space="0" w:color="auto"/>
                          </w:divBdr>
                          <w:divsChild>
                            <w:div w:id="668096111">
                              <w:marLeft w:val="0"/>
                              <w:marRight w:val="0"/>
                              <w:marTop w:val="0"/>
                              <w:marBottom w:val="0"/>
                              <w:divBdr>
                                <w:top w:val="none" w:sz="0" w:space="0" w:color="auto"/>
                                <w:left w:val="none" w:sz="0" w:space="0" w:color="auto"/>
                                <w:bottom w:val="none" w:sz="0" w:space="0" w:color="auto"/>
                                <w:right w:val="none" w:sz="0" w:space="0" w:color="auto"/>
                              </w:divBdr>
                              <w:divsChild>
                                <w:div w:id="846871030">
                                  <w:marLeft w:val="0"/>
                                  <w:marRight w:val="0"/>
                                  <w:marTop w:val="0"/>
                                  <w:marBottom w:val="0"/>
                                  <w:divBdr>
                                    <w:top w:val="none" w:sz="0" w:space="0" w:color="auto"/>
                                    <w:left w:val="none" w:sz="0" w:space="0" w:color="auto"/>
                                    <w:bottom w:val="none" w:sz="0" w:space="0" w:color="auto"/>
                                    <w:right w:val="none" w:sz="0" w:space="0" w:color="auto"/>
                                  </w:divBdr>
                                  <w:divsChild>
                                    <w:div w:id="805850472">
                                      <w:marLeft w:val="0"/>
                                      <w:marRight w:val="0"/>
                                      <w:marTop w:val="0"/>
                                      <w:marBottom w:val="0"/>
                                      <w:divBdr>
                                        <w:top w:val="none" w:sz="0" w:space="0" w:color="auto"/>
                                        <w:left w:val="none" w:sz="0" w:space="0" w:color="auto"/>
                                        <w:bottom w:val="none" w:sz="0" w:space="0" w:color="auto"/>
                                        <w:right w:val="none" w:sz="0" w:space="0" w:color="auto"/>
                                      </w:divBdr>
                                      <w:divsChild>
                                        <w:div w:id="334848815">
                                          <w:marLeft w:val="0"/>
                                          <w:marRight w:val="0"/>
                                          <w:marTop w:val="0"/>
                                          <w:marBottom w:val="0"/>
                                          <w:divBdr>
                                            <w:top w:val="none" w:sz="0" w:space="0" w:color="auto"/>
                                            <w:left w:val="none" w:sz="0" w:space="0" w:color="auto"/>
                                            <w:bottom w:val="none" w:sz="0" w:space="0" w:color="auto"/>
                                            <w:right w:val="none" w:sz="0" w:space="0" w:color="auto"/>
                                          </w:divBdr>
                                          <w:divsChild>
                                            <w:div w:id="1296595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16936080">
      <w:bodyDiv w:val="1"/>
      <w:marLeft w:val="0"/>
      <w:marRight w:val="0"/>
      <w:marTop w:val="0"/>
      <w:marBottom w:val="0"/>
      <w:divBdr>
        <w:top w:val="none" w:sz="0" w:space="0" w:color="auto"/>
        <w:left w:val="none" w:sz="0" w:space="0" w:color="auto"/>
        <w:bottom w:val="none" w:sz="0" w:space="0" w:color="auto"/>
        <w:right w:val="none" w:sz="0" w:space="0" w:color="auto"/>
      </w:divBdr>
    </w:div>
    <w:div w:id="1953855839">
      <w:bodyDiv w:val="1"/>
      <w:marLeft w:val="0"/>
      <w:marRight w:val="0"/>
      <w:marTop w:val="0"/>
      <w:marBottom w:val="0"/>
      <w:divBdr>
        <w:top w:val="none" w:sz="0" w:space="0" w:color="auto"/>
        <w:left w:val="none" w:sz="0" w:space="0" w:color="auto"/>
        <w:bottom w:val="none" w:sz="0" w:space="0" w:color="auto"/>
        <w:right w:val="none" w:sz="0" w:space="0" w:color="auto"/>
      </w:divBdr>
    </w:div>
    <w:div w:id="1961448950">
      <w:bodyDiv w:val="1"/>
      <w:marLeft w:val="0"/>
      <w:marRight w:val="0"/>
      <w:marTop w:val="0"/>
      <w:marBottom w:val="0"/>
      <w:divBdr>
        <w:top w:val="none" w:sz="0" w:space="0" w:color="auto"/>
        <w:left w:val="none" w:sz="0" w:space="0" w:color="auto"/>
        <w:bottom w:val="none" w:sz="0" w:space="0" w:color="auto"/>
        <w:right w:val="none" w:sz="0" w:space="0" w:color="auto"/>
      </w:divBdr>
    </w:div>
    <w:div w:id="1976786758">
      <w:bodyDiv w:val="1"/>
      <w:marLeft w:val="0"/>
      <w:marRight w:val="0"/>
      <w:marTop w:val="0"/>
      <w:marBottom w:val="0"/>
      <w:divBdr>
        <w:top w:val="none" w:sz="0" w:space="0" w:color="auto"/>
        <w:left w:val="none" w:sz="0" w:space="0" w:color="auto"/>
        <w:bottom w:val="none" w:sz="0" w:space="0" w:color="auto"/>
        <w:right w:val="none" w:sz="0" w:space="0" w:color="auto"/>
      </w:divBdr>
    </w:div>
    <w:div w:id="1989744499">
      <w:bodyDiv w:val="1"/>
      <w:marLeft w:val="0"/>
      <w:marRight w:val="0"/>
      <w:marTop w:val="0"/>
      <w:marBottom w:val="0"/>
      <w:divBdr>
        <w:top w:val="none" w:sz="0" w:space="0" w:color="auto"/>
        <w:left w:val="none" w:sz="0" w:space="0" w:color="auto"/>
        <w:bottom w:val="none" w:sz="0" w:space="0" w:color="auto"/>
        <w:right w:val="none" w:sz="0" w:space="0" w:color="auto"/>
      </w:divBdr>
      <w:divsChild>
        <w:div w:id="637760310">
          <w:marLeft w:val="547"/>
          <w:marRight w:val="0"/>
          <w:marTop w:val="0"/>
          <w:marBottom w:val="0"/>
          <w:divBdr>
            <w:top w:val="none" w:sz="0" w:space="0" w:color="auto"/>
            <w:left w:val="none" w:sz="0" w:space="0" w:color="auto"/>
            <w:bottom w:val="none" w:sz="0" w:space="0" w:color="auto"/>
            <w:right w:val="none" w:sz="0" w:space="0" w:color="auto"/>
          </w:divBdr>
        </w:div>
      </w:divsChild>
    </w:div>
    <w:div w:id="1994024555">
      <w:bodyDiv w:val="1"/>
      <w:marLeft w:val="0"/>
      <w:marRight w:val="0"/>
      <w:marTop w:val="0"/>
      <w:marBottom w:val="0"/>
      <w:divBdr>
        <w:top w:val="none" w:sz="0" w:space="0" w:color="auto"/>
        <w:left w:val="none" w:sz="0" w:space="0" w:color="auto"/>
        <w:bottom w:val="none" w:sz="0" w:space="0" w:color="auto"/>
        <w:right w:val="none" w:sz="0" w:space="0" w:color="auto"/>
      </w:divBdr>
      <w:divsChild>
        <w:div w:id="132917691">
          <w:marLeft w:val="0"/>
          <w:marRight w:val="0"/>
          <w:marTop w:val="0"/>
          <w:marBottom w:val="0"/>
          <w:divBdr>
            <w:top w:val="none" w:sz="0" w:space="0" w:color="auto"/>
            <w:left w:val="none" w:sz="0" w:space="0" w:color="auto"/>
            <w:bottom w:val="none" w:sz="0" w:space="0" w:color="auto"/>
            <w:right w:val="none" w:sz="0" w:space="0" w:color="auto"/>
          </w:divBdr>
          <w:divsChild>
            <w:div w:id="589387979">
              <w:marLeft w:val="-225"/>
              <w:marRight w:val="-225"/>
              <w:marTop w:val="0"/>
              <w:marBottom w:val="0"/>
              <w:divBdr>
                <w:top w:val="none" w:sz="0" w:space="0" w:color="auto"/>
                <w:left w:val="none" w:sz="0" w:space="0" w:color="auto"/>
                <w:bottom w:val="none" w:sz="0" w:space="0" w:color="auto"/>
                <w:right w:val="none" w:sz="0" w:space="0" w:color="auto"/>
              </w:divBdr>
              <w:divsChild>
                <w:div w:id="1499687681">
                  <w:marLeft w:val="0"/>
                  <w:marRight w:val="0"/>
                  <w:marTop w:val="0"/>
                  <w:marBottom w:val="0"/>
                  <w:divBdr>
                    <w:top w:val="none" w:sz="0" w:space="0" w:color="auto"/>
                    <w:left w:val="none" w:sz="0" w:space="0" w:color="auto"/>
                    <w:bottom w:val="none" w:sz="0" w:space="0" w:color="auto"/>
                    <w:right w:val="none" w:sz="0" w:space="0" w:color="auto"/>
                  </w:divBdr>
                  <w:divsChild>
                    <w:div w:id="636836389">
                      <w:marLeft w:val="0"/>
                      <w:marRight w:val="0"/>
                      <w:marTop w:val="0"/>
                      <w:marBottom w:val="225"/>
                      <w:divBdr>
                        <w:top w:val="none" w:sz="0" w:space="0" w:color="auto"/>
                        <w:left w:val="none" w:sz="0" w:space="0" w:color="auto"/>
                        <w:bottom w:val="none" w:sz="0" w:space="0" w:color="auto"/>
                        <w:right w:val="none" w:sz="0" w:space="0" w:color="auto"/>
                      </w:divBdr>
                      <w:divsChild>
                        <w:div w:id="1090587379">
                          <w:marLeft w:val="0"/>
                          <w:marRight w:val="0"/>
                          <w:marTop w:val="0"/>
                          <w:marBottom w:val="0"/>
                          <w:divBdr>
                            <w:top w:val="none" w:sz="0" w:space="0" w:color="auto"/>
                            <w:left w:val="none" w:sz="0" w:space="0" w:color="auto"/>
                            <w:bottom w:val="none" w:sz="0" w:space="0" w:color="auto"/>
                            <w:right w:val="none" w:sz="0" w:space="0" w:color="auto"/>
                          </w:divBdr>
                          <w:divsChild>
                            <w:div w:id="981498480">
                              <w:marLeft w:val="0"/>
                              <w:marRight w:val="0"/>
                              <w:marTop w:val="0"/>
                              <w:marBottom w:val="0"/>
                              <w:divBdr>
                                <w:top w:val="none" w:sz="0" w:space="0" w:color="auto"/>
                                <w:left w:val="none" w:sz="0" w:space="0" w:color="auto"/>
                                <w:bottom w:val="none" w:sz="0" w:space="0" w:color="auto"/>
                                <w:right w:val="none" w:sz="0" w:space="0" w:color="auto"/>
                              </w:divBdr>
                              <w:divsChild>
                                <w:div w:id="1884975924">
                                  <w:marLeft w:val="0"/>
                                  <w:marRight w:val="0"/>
                                  <w:marTop w:val="0"/>
                                  <w:marBottom w:val="0"/>
                                  <w:divBdr>
                                    <w:top w:val="none" w:sz="0" w:space="0" w:color="auto"/>
                                    <w:left w:val="none" w:sz="0" w:space="0" w:color="auto"/>
                                    <w:bottom w:val="none" w:sz="0" w:space="0" w:color="auto"/>
                                    <w:right w:val="none" w:sz="0" w:space="0" w:color="auto"/>
                                  </w:divBdr>
                                  <w:divsChild>
                                    <w:div w:id="222644389">
                                      <w:marLeft w:val="0"/>
                                      <w:marRight w:val="0"/>
                                      <w:marTop w:val="0"/>
                                      <w:marBottom w:val="0"/>
                                      <w:divBdr>
                                        <w:top w:val="none" w:sz="0" w:space="0" w:color="auto"/>
                                        <w:left w:val="none" w:sz="0" w:space="0" w:color="auto"/>
                                        <w:bottom w:val="none" w:sz="0" w:space="0" w:color="auto"/>
                                        <w:right w:val="none" w:sz="0" w:space="0" w:color="auto"/>
                                      </w:divBdr>
                                      <w:divsChild>
                                        <w:div w:id="1559433704">
                                          <w:marLeft w:val="0"/>
                                          <w:marRight w:val="0"/>
                                          <w:marTop w:val="0"/>
                                          <w:marBottom w:val="0"/>
                                          <w:divBdr>
                                            <w:top w:val="none" w:sz="0" w:space="0" w:color="auto"/>
                                            <w:left w:val="none" w:sz="0" w:space="0" w:color="auto"/>
                                            <w:bottom w:val="none" w:sz="0" w:space="0" w:color="auto"/>
                                            <w:right w:val="none" w:sz="0" w:space="0" w:color="auto"/>
                                          </w:divBdr>
                                          <w:divsChild>
                                            <w:div w:id="920866480">
                                              <w:marLeft w:val="0"/>
                                              <w:marRight w:val="0"/>
                                              <w:marTop w:val="0"/>
                                              <w:marBottom w:val="0"/>
                                              <w:divBdr>
                                                <w:top w:val="none" w:sz="0" w:space="0" w:color="auto"/>
                                                <w:left w:val="none" w:sz="0" w:space="0" w:color="auto"/>
                                                <w:bottom w:val="none" w:sz="0" w:space="0" w:color="auto"/>
                                                <w:right w:val="none" w:sz="0" w:space="0" w:color="auto"/>
                                              </w:divBdr>
                                              <w:divsChild>
                                                <w:div w:id="834882593">
                                                  <w:marLeft w:val="0"/>
                                                  <w:marRight w:val="0"/>
                                                  <w:marTop w:val="0"/>
                                                  <w:marBottom w:val="0"/>
                                                  <w:divBdr>
                                                    <w:top w:val="none" w:sz="0" w:space="0" w:color="auto"/>
                                                    <w:left w:val="none" w:sz="0" w:space="0" w:color="auto"/>
                                                    <w:bottom w:val="none" w:sz="0" w:space="0" w:color="auto"/>
                                                    <w:right w:val="none" w:sz="0" w:space="0" w:color="auto"/>
                                                  </w:divBdr>
                                                  <w:divsChild>
                                                    <w:div w:id="1780367693">
                                                      <w:marLeft w:val="0"/>
                                                      <w:marRight w:val="0"/>
                                                      <w:marTop w:val="0"/>
                                                      <w:marBottom w:val="0"/>
                                                      <w:divBdr>
                                                        <w:top w:val="none" w:sz="0" w:space="0" w:color="auto"/>
                                                        <w:left w:val="none" w:sz="0" w:space="0" w:color="auto"/>
                                                        <w:bottom w:val="none" w:sz="0" w:space="0" w:color="auto"/>
                                                        <w:right w:val="none" w:sz="0" w:space="0" w:color="auto"/>
                                                      </w:divBdr>
                                                      <w:divsChild>
                                                        <w:div w:id="766274020">
                                                          <w:marLeft w:val="-225"/>
                                                          <w:marRight w:val="-225"/>
                                                          <w:marTop w:val="0"/>
                                                          <w:marBottom w:val="0"/>
                                                          <w:divBdr>
                                                            <w:top w:val="none" w:sz="0" w:space="0" w:color="auto"/>
                                                            <w:left w:val="none" w:sz="0" w:space="0" w:color="auto"/>
                                                            <w:bottom w:val="none" w:sz="0" w:space="0" w:color="auto"/>
                                                            <w:right w:val="none" w:sz="0" w:space="0" w:color="auto"/>
                                                          </w:divBdr>
                                                          <w:divsChild>
                                                            <w:div w:id="1017972127">
                                                              <w:marLeft w:val="0"/>
                                                              <w:marRight w:val="0"/>
                                                              <w:marTop w:val="0"/>
                                                              <w:marBottom w:val="0"/>
                                                              <w:divBdr>
                                                                <w:top w:val="none" w:sz="0" w:space="0" w:color="auto"/>
                                                                <w:left w:val="none" w:sz="0" w:space="0" w:color="auto"/>
                                                                <w:bottom w:val="none" w:sz="0" w:space="0" w:color="auto"/>
                                                                <w:right w:val="none" w:sz="0" w:space="0" w:color="auto"/>
                                                              </w:divBdr>
                                                            </w:div>
                                                          </w:divsChild>
                                                        </w:div>
                                                        <w:div w:id="984625264">
                                                          <w:marLeft w:val="-225"/>
                                                          <w:marRight w:val="-225"/>
                                                          <w:marTop w:val="0"/>
                                                          <w:marBottom w:val="0"/>
                                                          <w:divBdr>
                                                            <w:top w:val="none" w:sz="0" w:space="0" w:color="auto"/>
                                                            <w:left w:val="none" w:sz="0" w:space="0" w:color="auto"/>
                                                            <w:bottom w:val="none" w:sz="0" w:space="0" w:color="auto"/>
                                                            <w:right w:val="none" w:sz="0" w:space="0" w:color="auto"/>
                                                          </w:divBdr>
                                                          <w:divsChild>
                                                            <w:div w:id="1731657743">
                                                              <w:marLeft w:val="0"/>
                                                              <w:marRight w:val="0"/>
                                                              <w:marTop w:val="0"/>
                                                              <w:marBottom w:val="0"/>
                                                              <w:divBdr>
                                                                <w:top w:val="none" w:sz="0" w:space="0" w:color="auto"/>
                                                                <w:left w:val="none" w:sz="0" w:space="0" w:color="auto"/>
                                                                <w:bottom w:val="none" w:sz="0" w:space="0" w:color="auto"/>
                                                                <w:right w:val="none" w:sz="0" w:space="0" w:color="auto"/>
                                                              </w:divBdr>
                                                            </w:div>
                                                          </w:divsChild>
                                                        </w:div>
                                                        <w:div w:id="993415310">
                                                          <w:marLeft w:val="-225"/>
                                                          <w:marRight w:val="-225"/>
                                                          <w:marTop w:val="0"/>
                                                          <w:marBottom w:val="0"/>
                                                          <w:divBdr>
                                                            <w:top w:val="none" w:sz="0" w:space="0" w:color="auto"/>
                                                            <w:left w:val="none" w:sz="0" w:space="0" w:color="auto"/>
                                                            <w:bottom w:val="none" w:sz="0" w:space="0" w:color="auto"/>
                                                            <w:right w:val="none" w:sz="0" w:space="0" w:color="auto"/>
                                                          </w:divBdr>
                                                          <w:divsChild>
                                                            <w:div w:id="50806770">
                                                              <w:marLeft w:val="0"/>
                                                              <w:marRight w:val="0"/>
                                                              <w:marTop w:val="0"/>
                                                              <w:marBottom w:val="0"/>
                                                              <w:divBdr>
                                                                <w:top w:val="none" w:sz="0" w:space="0" w:color="auto"/>
                                                                <w:left w:val="none" w:sz="0" w:space="0" w:color="auto"/>
                                                                <w:bottom w:val="none" w:sz="0" w:space="0" w:color="auto"/>
                                                                <w:right w:val="none" w:sz="0" w:space="0" w:color="auto"/>
                                                              </w:divBdr>
                                                            </w:div>
                                                          </w:divsChild>
                                                        </w:div>
                                                        <w:div w:id="1784566654">
                                                          <w:marLeft w:val="-225"/>
                                                          <w:marRight w:val="-225"/>
                                                          <w:marTop w:val="0"/>
                                                          <w:marBottom w:val="0"/>
                                                          <w:divBdr>
                                                            <w:top w:val="none" w:sz="0" w:space="0" w:color="auto"/>
                                                            <w:left w:val="none" w:sz="0" w:space="0" w:color="auto"/>
                                                            <w:bottom w:val="none" w:sz="0" w:space="0" w:color="auto"/>
                                                            <w:right w:val="none" w:sz="0" w:space="0" w:color="auto"/>
                                                          </w:divBdr>
                                                          <w:divsChild>
                                                            <w:div w:id="178981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99798045">
      <w:bodyDiv w:val="1"/>
      <w:marLeft w:val="0"/>
      <w:marRight w:val="0"/>
      <w:marTop w:val="0"/>
      <w:marBottom w:val="0"/>
      <w:divBdr>
        <w:top w:val="none" w:sz="0" w:space="0" w:color="auto"/>
        <w:left w:val="none" w:sz="0" w:space="0" w:color="auto"/>
        <w:bottom w:val="none" w:sz="0" w:space="0" w:color="auto"/>
        <w:right w:val="none" w:sz="0" w:space="0" w:color="auto"/>
      </w:divBdr>
      <w:divsChild>
        <w:div w:id="1019964200">
          <w:marLeft w:val="0"/>
          <w:marRight w:val="0"/>
          <w:marTop w:val="0"/>
          <w:marBottom w:val="0"/>
          <w:divBdr>
            <w:top w:val="none" w:sz="0" w:space="0" w:color="auto"/>
            <w:left w:val="none" w:sz="0" w:space="0" w:color="auto"/>
            <w:bottom w:val="none" w:sz="0" w:space="0" w:color="auto"/>
            <w:right w:val="none" w:sz="0" w:space="0" w:color="auto"/>
          </w:divBdr>
          <w:divsChild>
            <w:div w:id="1151021414">
              <w:marLeft w:val="0"/>
              <w:marRight w:val="0"/>
              <w:marTop w:val="0"/>
              <w:marBottom w:val="0"/>
              <w:divBdr>
                <w:top w:val="none" w:sz="0" w:space="0" w:color="auto"/>
                <w:left w:val="none" w:sz="0" w:space="0" w:color="auto"/>
                <w:bottom w:val="none" w:sz="0" w:space="0" w:color="auto"/>
                <w:right w:val="none" w:sz="0" w:space="0" w:color="auto"/>
              </w:divBdr>
              <w:divsChild>
                <w:div w:id="749617875">
                  <w:marLeft w:val="0"/>
                  <w:marRight w:val="0"/>
                  <w:marTop w:val="0"/>
                  <w:marBottom w:val="0"/>
                  <w:divBdr>
                    <w:top w:val="none" w:sz="0" w:space="0" w:color="auto"/>
                    <w:left w:val="none" w:sz="0" w:space="0" w:color="auto"/>
                    <w:bottom w:val="none" w:sz="0" w:space="0" w:color="auto"/>
                    <w:right w:val="none" w:sz="0" w:space="0" w:color="auto"/>
                  </w:divBdr>
                  <w:divsChild>
                    <w:div w:id="1702628998">
                      <w:marLeft w:val="150"/>
                      <w:marRight w:val="150"/>
                      <w:marTop w:val="0"/>
                      <w:marBottom w:val="0"/>
                      <w:divBdr>
                        <w:top w:val="none" w:sz="0" w:space="0" w:color="auto"/>
                        <w:left w:val="none" w:sz="0" w:space="0" w:color="auto"/>
                        <w:bottom w:val="none" w:sz="0" w:space="0" w:color="auto"/>
                        <w:right w:val="none" w:sz="0" w:space="0" w:color="auto"/>
                      </w:divBdr>
                      <w:divsChild>
                        <w:div w:id="1255672602">
                          <w:marLeft w:val="0"/>
                          <w:marRight w:val="0"/>
                          <w:marTop w:val="0"/>
                          <w:marBottom w:val="0"/>
                          <w:divBdr>
                            <w:top w:val="none" w:sz="0" w:space="0" w:color="auto"/>
                            <w:left w:val="none" w:sz="0" w:space="0" w:color="auto"/>
                            <w:bottom w:val="none" w:sz="0" w:space="0" w:color="auto"/>
                            <w:right w:val="none" w:sz="0" w:space="0" w:color="auto"/>
                          </w:divBdr>
                          <w:divsChild>
                            <w:div w:id="1383285363">
                              <w:marLeft w:val="0"/>
                              <w:marRight w:val="0"/>
                              <w:marTop w:val="0"/>
                              <w:marBottom w:val="0"/>
                              <w:divBdr>
                                <w:top w:val="none" w:sz="0" w:space="0" w:color="auto"/>
                                <w:left w:val="none" w:sz="0" w:space="0" w:color="auto"/>
                                <w:bottom w:val="none" w:sz="0" w:space="0" w:color="auto"/>
                                <w:right w:val="none" w:sz="0" w:space="0" w:color="auto"/>
                              </w:divBdr>
                              <w:divsChild>
                                <w:div w:id="186985117">
                                  <w:marLeft w:val="0"/>
                                  <w:marRight w:val="0"/>
                                  <w:marTop w:val="0"/>
                                  <w:marBottom w:val="0"/>
                                  <w:divBdr>
                                    <w:top w:val="none" w:sz="0" w:space="0" w:color="auto"/>
                                    <w:left w:val="none" w:sz="0" w:space="0" w:color="auto"/>
                                    <w:bottom w:val="none" w:sz="0" w:space="0" w:color="auto"/>
                                    <w:right w:val="none" w:sz="0" w:space="0" w:color="auto"/>
                                  </w:divBdr>
                                  <w:divsChild>
                                    <w:div w:id="987056911">
                                      <w:marLeft w:val="0"/>
                                      <w:marRight w:val="0"/>
                                      <w:marTop w:val="0"/>
                                      <w:marBottom w:val="0"/>
                                      <w:divBdr>
                                        <w:top w:val="none" w:sz="0" w:space="0" w:color="auto"/>
                                        <w:left w:val="none" w:sz="0" w:space="0" w:color="auto"/>
                                        <w:bottom w:val="none" w:sz="0" w:space="0" w:color="auto"/>
                                        <w:right w:val="none" w:sz="0" w:space="0" w:color="auto"/>
                                      </w:divBdr>
                                      <w:divsChild>
                                        <w:div w:id="1101561773">
                                          <w:marLeft w:val="0"/>
                                          <w:marRight w:val="0"/>
                                          <w:marTop w:val="0"/>
                                          <w:marBottom w:val="0"/>
                                          <w:divBdr>
                                            <w:top w:val="none" w:sz="0" w:space="0" w:color="auto"/>
                                            <w:left w:val="none" w:sz="0" w:space="0" w:color="auto"/>
                                            <w:bottom w:val="none" w:sz="0" w:space="0" w:color="auto"/>
                                            <w:right w:val="none" w:sz="0" w:space="0" w:color="auto"/>
                                          </w:divBdr>
                                          <w:divsChild>
                                            <w:div w:id="571083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1276489">
      <w:bodyDiv w:val="1"/>
      <w:marLeft w:val="0"/>
      <w:marRight w:val="0"/>
      <w:marTop w:val="0"/>
      <w:marBottom w:val="0"/>
      <w:divBdr>
        <w:top w:val="none" w:sz="0" w:space="0" w:color="auto"/>
        <w:left w:val="none" w:sz="0" w:space="0" w:color="auto"/>
        <w:bottom w:val="none" w:sz="0" w:space="0" w:color="auto"/>
        <w:right w:val="none" w:sz="0" w:space="0" w:color="auto"/>
      </w:divBdr>
    </w:div>
    <w:div w:id="2014646020">
      <w:bodyDiv w:val="1"/>
      <w:marLeft w:val="0"/>
      <w:marRight w:val="0"/>
      <w:marTop w:val="0"/>
      <w:marBottom w:val="0"/>
      <w:divBdr>
        <w:top w:val="none" w:sz="0" w:space="0" w:color="auto"/>
        <w:left w:val="none" w:sz="0" w:space="0" w:color="auto"/>
        <w:bottom w:val="none" w:sz="0" w:space="0" w:color="auto"/>
        <w:right w:val="none" w:sz="0" w:space="0" w:color="auto"/>
      </w:divBdr>
    </w:div>
    <w:div w:id="2034264183">
      <w:bodyDiv w:val="1"/>
      <w:marLeft w:val="0"/>
      <w:marRight w:val="0"/>
      <w:marTop w:val="0"/>
      <w:marBottom w:val="0"/>
      <w:divBdr>
        <w:top w:val="none" w:sz="0" w:space="0" w:color="auto"/>
        <w:left w:val="none" w:sz="0" w:space="0" w:color="auto"/>
        <w:bottom w:val="none" w:sz="0" w:space="0" w:color="auto"/>
        <w:right w:val="none" w:sz="0" w:space="0" w:color="auto"/>
      </w:divBdr>
    </w:div>
    <w:div w:id="2036347761">
      <w:bodyDiv w:val="1"/>
      <w:marLeft w:val="0"/>
      <w:marRight w:val="0"/>
      <w:marTop w:val="0"/>
      <w:marBottom w:val="0"/>
      <w:divBdr>
        <w:top w:val="none" w:sz="0" w:space="0" w:color="auto"/>
        <w:left w:val="none" w:sz="0" w:space="0" w:color="auto"/>
        <w:bottom w:val="none" w:sz="0" w:space="0" w:color="auto"/>
        <w:right w:val="none" w:sz="0" w:space="0" w:color="auto"/>
      </w:divBdr>
    </w:div>
    <w:div w:id="2045591460">
      <w:bodyDiv w:val="1"/>
      <w:marLeft w:val="0"/>
      <w:marRight w:val="0"/>
      <w:marTop w:val="0"/>
      <w:marBottom w:val="0"/>
      <w:divBdr>
        <w:top w:val="none" w:sz="0" w:space="0" w:color="auto"/>
        <w:left w:val="none" w:sz="0" w:space="0" w:color="auto"/>
        <w:bottom w:val="none" w:sz="0" w:space="0" w:color="auto"/>
        <w:right w:val="none" w:sz="0" w:space="0" w:color="auto"/>
      </w:divBdr>
    </w:div>
    <w:div w:id="2045985985">
      <w:bodyDiv w:val="1"/>
      <w:marLeft w:val="0"/>
      <w:marRight w:val="0"/>
      <w:marTop w:val="0"/>
      <w:marBottom w:val="0"/>
      <w:divBdr>
        <w:top w:val="none" w:sz="0" w:space="0" w:color="auto"/>
        <w:left w:val="none" w:sz="0" w:space="0" w:color="auto"/>
        <w:bottom w:val="none" w:sz="0" w:space="0" w:color="auto"/>
        <w:right w:val="none" w:sz="0" w:space="0" w:color="auto"/>
      </w:divBdr>
    </w:div>
    <w:div w:id="2098011931">
      <w:bodyDiv w:val="1"/>
      <w:marLeft w:val="0"/>
      <w:marRight w:val="0"/>
      <w:marTop w:val="0"/>
      <w:marBottom w:val="0"/>
      <w:divBdr>
        <w:top w:val="none" w:sz="0" w:space="0" w:color="auto"/>
        <w:left w:val="none" w:sz="0" w:space="0" w:color="auto"/>
        <w:bottom w:val="none" w:sz="0" w:space="0" w:color="auto"/>
        <w:right w:val="none" w:sz="0" w:space="0" w:color="auto"/>
      </w:divBdr>
    </w:div>
    <w:div w:id="2118720369">
      <w:bodyDiv w:val="1"/>
      <w:marLeft w:val="0"/>
      <w:marRight w:val="0"/>
      <w:marTop w:val="0"/>
      <w:marBottom w:val="0"/>
      <w:divBdr>
        <w:top w:val="none" w:sz="0" w:space="0" w:color="auto"/>
        <w:left w:val="none" w:sz="0" w:space="0" w:color="auto"/>
        <w:bottom w:val="none" w:sz="0" w:space="0" w:color="auto"/>
        <w:right w:val="none" w:sz="0" w:space="0" w:color="auto"/>
      </w:divBdr>
    </w:div>
    <w:div w:id="2129813953">
      <w:bodyDiv w:val="1"/>
      <w:marLeft w:val="0"/>
      <w:marRight w:val="0"/>
      <w:marTop w:val="0"/>
      <w:marBottom w:val="0"/>
      <w:divBdr>
        <w:top w:val="none" w:sz="0" w:space="0" w:color="auto"/>
        <w:left w:val="none" w:sz="0" w:space="0" w:color="auto"/>
        <w:bottom w:val="none" w:sz="0" w:space="0" w:color="auto"/>
        <w:right w:val="none" w:sz="0" w:space="0" w:color="auto"/>
      </w:divBdr>
    </w:div>
    <w:div w:id="213255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footer" Target="footer9.xml"/><Relationship Id="rId39" Type="http://schemas.openxmlformats.org/officeDocument/2006/relationships/image" Target="media/image6.png"/><Relationship Id="rId21" Type="http://schemas.openxmlformats.org/officeDocument/2006/relationships/footer" Target="footer6.xml"/><Relationship Id="rId34" Type="http://schemas.openxmlformats.org/officeDocument/2006/relationships/footer" Target="footer11.xml"/><Relationship Id="rId42" Type="http://schemas.openxmlformats.org/officeDocument/2006/relationships/footer" Target="footer14.xml"/><Relationship Id="rId47" Type="http://schemas.openxmlformats.org/officeDocument/2006/relationships/header" Target="header18.xml"/><Relationship Id="rId50" Type="http://schemas.openxmlformats.org/officeDocument/2006/relationships/header" Target="header19.xml"/><Relationship Id="rId55" Type="http://schemas.openxmlformats.org/officeDocument/2006/relationships/footer" Target="footer20.xml"/><Relationship Id="rId63" Type="http://schemas.openxmlformats.org/officeDocument/2006/relationships/footer" Target="footer2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9.xml"/><Relationship Id="rId32" Type="http://schemas.openxmlformats.org/officeDocument/2006/relationships/header" Target="header12.xml"/><Relationship Id="rId37" Type="http://schemas.openxmlformats.org/officeDocument/2006/relationships/header" Target="header15.xml"/><Relationship Id="rId40" Type="http://schemas.openxmlformats.org/officeDocument/2006/relationships/image" Target="media/image7.png"/><Relationship Id="rId45" Type="http://schemas.openxmlformats.org/officeDocument/2006/relationships/header" Target="header17.xml"/><Relationship Id="rId53" Type="http://schemas.openxmlformats.org/officeDocument/2006/relationships/footer" Target="footer19.xml"/><Relationship Id="rId58" Type="http://schemas.openxmlformats.org/officeDocument/2006/relationships/header" Target="header23.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7.xml"/><Relationship Id="rId28" Type="http://schemas.openxmlformats.org/officeDocument/2006/relationships/header" Target="header10.xml"/><Relationship Id="rId36" Type="http://schemas.openxmlformats.org/officeDocument/2006/relationships/footer" Target="footer12.xml"/><Relationship Id="rId49" Type="http://schemas.openxmlformats.org/officeDocument/2006/relationships/footer" Target="footer17.xml"/><Relationship Id="rId57" Type="http://schemas.openxmlformats.org/officeDocument/2006/relationships/footer" Target="footer21.xml"/><Relationship Id="rId61" Type="http://schemas.openxmlformats.org/officeDocument/2006/relationships/footer" Target="footer23.xml"/><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header" Target="header11.xml"/><Relationship Id="rId44" Type="http://schemas.openxmlformats.org/officeDocument/2006/relationships/image" Target="media/image9.PNG"/><Relationship Id="rId52" Type="http://schemas.openxmlformats.org/officeDocument/2006/relationships/header" Target="header20.xml"/><Relationship Id="rId60" Type="http://schemas.openxmlformats.org/officeDocument/2006/relationships/header" Target="header24.xml"/><Relationship Id="rId65" Type="http://schemas.openxmlformats.org/officeDocument/2006/relationships/footer" Target="footer2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header" Target="header8.xml"/><Relationship Id="rId27" Type="http://schemas.openxmlformats.org/officeDocument/2006/relationships/image" Target="media/image4.emf"/><Relationship Id="rId30" Type="http://schemas.openxmlformats.org/officeDocument/2006/relationships/image" Target="media/image5.png"/><Relationship Id="rId35" Type="http://schemas.openxmlformats.org/officeDocument/2006/relationships/header" Target="header14.xml"/><Relationship Id="rId43" Type="http://schemas.openxmlformats.org/officeDocument/2006/relationships/image" Target="media/image8.png"/><Relationship Id="rId48" Type="http://schemas.openxmlformats.org/officeDocument/2006/relationships/footer" Target="footer16.xml"/><Relationship Id="rId56" Type="http://schemas.openxmlformats.org/officeDocument/2006/relationships/header" Target="header22.xml"/><Relationship Id="rId64" Type="http://schemas.openxmlformats.org/officeDocument/2006/relationships/footer" Target="footer25.xml"/><Relationship Id="rId8" Type="http://schemas.openxmlformats.org/officeDocument/2006/relationships/header" Target="header1.xml"/><Relationship Id="rId51" Type="http://schemas.openxmlformats.org/officeDocument/2006/relationships/footer" Target="footer18.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footer" Target="footer8.xml"/><Relationship Id="rId33" Type="http://schemas.openxmlformats.org/officeDocument/2006/relationships/header" Target="header13.xml"/><Relationship Id="rId38" Type="http://schemas.openxmlformats.org/officeDocument/2006/relationships/footer" Target="footer13.xml"/><Relationship Id="rId46" Type="http://schemas.openxmlformats.org/officeDocument/2006/relationships/footer" Target="footer15.xml"/><Relationship Id="rId59" Type="http://schemas.openxmlformats.org/officeDocument/2006/relationships/footer" Target="footer22.xml"/><Relationship Id="rId67" Type="http://schemas.openxmlformats.org/officeDocument/2006/relationships/theme" Target="theme/theme1.xml"/><Relationship Id="rId20" Type="http://schemas.openxmlformats.org/officeDocument/2006/relationships/header" Target="header7.xml"/><Relationship Id="rId41" Type="http://schemas.openxmlformats.org/officeDocument/2006/relationships/header" Target="header16.xml"/><Relationship Id="rId54" Type="http://schemas.openxmlformats.org/officeDocument/2006/relationships/header" Target="header21.xml"/><Relationship Id="rId62" Type="http://schemas.openxmlformats.org/officeDocument/2006/relationships/header" Target="header25.xml"/></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12.xml.rels><?xml version="1.0" encoding="UTF-8" standalone="yes"?>
<Relationships xmlns="http://schemas.openxmlformats.org/package/2006/relationships"><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1" Type="http://schemas.openxmlformats.org/officeDocument/2006/relationships/image" Target="media/image3.jpeg"/></Relationships>
</file>

<file path=word/_rels/header15.xml.rels><?xml version="1.0" encoding="UTF-8" standalone="yes"?>
<Relationships xmlns="http://schemas.openxmlformats.org/package/2006/relationships"><Relationship Id="rId1" Type="http://schemas.openxmlformats.org/officeDocument/2006/relationships/image" Target="media/image3.jpeg"/></Relationships>
</file>

<file path=word/_rels/header16.xml.rels><?xml version="1.0" encoding="UTF-8" standalone="yes"?>
<Relationships xmlns="http://schemas.openxmlformats.org/package/2006/relationships"><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1" Type="http://schemas.openxmlformats.org/officeDocument/2006/relationships/image" Target="media/image3.jpeg"/></Relationships>
</file>

<file path=word/_rels/header18.xml.rels><?xml version="1.0" encoding="UTF-8" standalone="yes"?>
<Relationships xmlns="http://schemas.openxmlformats.org/package/2006/relationships"><Relationship Id="rId1" Type="http://schemas.openxmlformats.org/officeDocument/2006/relationships/image" Target="media/image3.jpeg"/></Relationships>
</file>

<file path=word/_rels/header19.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20.xml.rels><?xml version="1.0" encoding="UTF-8" standalone="yes"?>
<Relationships xmlns="http://schemas.openxmlformats.org/package/2006/relationships"><Relationship Id="rId1" Type="http://schemas.openxmlformats.org/officeDocument/2006/relationships/image" Target="media/image3.jpeg"/></Relationships>
</file>

<file path=word/_rels/header21.xml.rels><?xml version="1.0" encoding="UTF-8" standalone="yes"?>
<Relationships xmlns="http://schemas.openxmlformats.org/package/2006/relationships"><Relationship Id="rId1" Type="http://schemas.openxmlformats.org/officeDocument/2006/relationships/image" Target="media/image3.jpeg"/></Relationships>
</file>

<file path=word/_rels/header22.xml.rels><?xml version="1.0" encoding="UTF-8" standalone="yes"?>
<Relationships xmlns="http://schemas.openxmlformats.org/package/2006/relationships"><Relationship Id="rId1" Type="http://schemas.openxmlformats.org/officeDocument/2006/relationships/image" Target="media/image3.jpeg"/></Relationships>
</file>

<file path=word/_rels/header23.xml.rels><?xml version="1.0" encoding="UTF-8" standalone="yes"?>
<Relationships xmlns="http://schemas.openxmlformats.org/package/2006/relationships"><Relationship Id="rId1" Type="http://schemas.openxmlformats.org/officeDocument/2006/relationships/image" Target="media/image3.jpeg"/></Relationships>
</file>

<file path=word/_rels/header24.xml.rels><?xml version="1.0" encoding="UTF-8" standalone="yes"?>
<Relationships xmlns="http://schemas.openxmlformats.org/package/2006/relationships"><Relationship Id="rId1" Type="http://schemas.openxmlformats.org/officeDocument/2006/relationships/image" Target="media/image3.jpeg"/></Relationships>
</file>

<file path=word/_rels/header25.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3.jpeg"/></Relationships>
</file>

<file path=word/_rels/header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SFS">
  <a:themeElements>
    <a:clrScheme name="Axiom With Burgundy">
      <a:dk1>
        <a:sysClr val="windowText" lastClr="000000"/>
      </a:dk1>
      <a:lt1>
        <a:srgbClr val="FFFFFF"/>
      </a:lt1>
      <a:dk2>
        <a:srgbClr val="214C90"/>
      </a:dk2>
      <a:lt2>
        <a:srgbClr val="E1E2E7"/>
      </a:lt2>
      <a:accent1>
        <a:srgbClr val="214C90"/>
      </a:accent1>
      <a:accent2>
        <a:srgbClr val="46A6A9"/>
      </a:accent2>
      <a:accent3>
        <a:srgbClr val="5D89B4"/>
      </a:accent3>
      <a:accent4>
        <a:srgbClr val="A9A8A9"/>
      </a:accent4>
      <a:accent5>
        <a:srgbClr val="990033"/>
      </a:accent5>
      <a:accent6>
        <a:srgbClr val="800080"/>
      </a:accent6>
      <a:hlink>
        <a:srgbClr val="214C90"/>
      </a:hlink>
      <a:folHlink>
        <a:srgbClr val="46A6A9"/>
      </a:folHlink>
    </a:clrScheme>
    <a:fontScheme name="Axiom Arial and Book Antiqua">
      <a:majorFont>
        <a:latin typeface="Arial"/>
        <a:ea typeface=""/>
        <a:cs typeface=""/>
      </a:majorFont>
      <a:minorFont>
        <a:latin typeface="Book Antiqu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411315-8F81-4CFE-B59E-4F3E15565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9E3DFFEF.dotm</Template>
  <TotalTime>0</TotalTime>
  <Pages>143</Pages>
  <Words>60015</Words>
  <Characters>322531</Characters>
  <Application>Microsoft Office Word</Application>
  <DocSecurity>0</DocSecurity>
  <Lines>2687</Lines>
  <Paragraphs>763</Paragraphs>
  <ScaleCrop>false</ScaleCrop>
  <HeadingPairs>
    <vt:vector size="2" baseType="variant">
      <vt:variant>
        <vt:lpstr>Title</vt:lpstr>
      </vt:variant>
      <vt:variant>
        <vt:i4>1</vt:i4>
      </vt:variant>
    </vt:vector>
  </HeadingPairs>
  <TitlesOfParts>
    <vt:vector size="1" baseType="lpstr">
      <vt:lpstr>Explanatory Note: Capacity trading reform package – Final legal and regulatory framework</vt:lpstr>
    </vt:vector>
  </TitlesOfParts>
  <Company/>
  <LinksUpToDate>false</LinksUpToDate>
  <CharactersWithSpaces>381783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Explanatory Note: Capacity trading reform package – Final legal and regulatory framework</dc:title>
  <dc:subject/>
  <dc:creator/>
  <cp:keywords/>
  <dc:description/>
  <cp:lastModifiedBy/>
  <cp:revision>1</cp:revision>
  <dcterms:created xsi:type="dcterms:W3CDTF">2018-11-30T03:41:00Z</dcterms:created>
  <dcterms:modified xsi:type="dcterms:W3CDTF">2018-11-30T03:41:00Z</dcterms:modified>
</cp:coreProperties>
</file>